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3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_________________________________________________________</w:t>
      </w:r>
    </w:p>
    <w:p>
      <w:pPr>
        <w:spacing w:after="0"/>
        <w:rPr>
          <w:sz w:val="20"/>
          <w:szCs w:val="20"/>
          <w:color w:val="auto"/>
        </w:rPr>
      </w:pPr>
      <w:r>
        <w:rPr>
          <w:rFonts w:ascii="Arial" w:cs="Arial" w:eastAsia="Arial" w:hAnsi="Arial"/>
          <w:sz w:val="13"/>
          <w:szCs w:val="13"/>
          <w:b w:val="1"/>
          <w:bCs w:val="1"/>
          <w:color w:val="auto"/>
        </w:rPr>
        <w:t>(Mark One)</w:t>
      </w:r>
    </w:p>
    <w:p>
      <w:pPr>
        <w:ind w:left="640" w:hanging="614"/>
        <w:spacing w:after="0" w:line="184" w:lineRule="auto"/>
        <w:tabs>
          <w:tab w:leader="none" w:pos="640" w:val="left"/>
        </w:tabs>
        <w:numPr>
          <w:ilvl w:val="0"/>
          <w:numId w:val="1"/>
        </w:numPr>
        <w:rPr>
          <w:rFonts w:ascii="MS PGothic" w:cs="MS PGothic" w:eastAsia="MS PGothic" w:hAnsi="MS PGothic"/>
          <w:sz w:val="27"/>
          <w:szCs w:val="27"/>
          <w:color w:val="auto"/>
          <w:vertAlign w:val="subscript"/>
        </w:rPr>
      </w:pPr>
      <w:r>
        <w:rPr>
          <w:rFonts w:ascii="Arial" w:cs="Arial" w:eastAsia="Arial" w:hAnsi="Arial"/>
          <w:sz w:val="12"/>
          <w:szCs w:val="12"/>
          <w:b w:val="1"/>
          <w:bCs w:val="1"/>
          <w:color w:val="auto"/>
        </w:rPr>
        <w:t>ANNUAL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ind w:left="640" w:hanging="614"/>
        <w:spacing w:after="0" w:line="182" w:lineRule="auto"/>
        <w:tabs>
          <w:tab w:leader="none" w:pos="640" w:val="left"/>
        </w:tabs>
        <w:numPr>
          <w:ilvl w:val="0"/>
          <w:numId w:val="2"/>
        </w:numPr>
        <w:rPr>
          <w:rFonts w:ascii="MS PGothic" w:cs="MS PGothic" w:eastAsia="MS PGothic" w:hAnsi="MS PGothic"/>
          <w:sz w:val="30"/>
          <w:szCs w:val="30"/>
          <w:color w:val="auto"/>
          <w:vertAlign w:val="subscript"/>
        </w:rPr>
      </w:pPr>
      <w:r>
        <w:rPr>
          <w:rFonts w:ascii="Arial" w:cs="Arial" w:eastAsia="Arial" w:hAnsi="Arial"/>
          <w:sz w:val="13"/>
          <w:szCs w:val="13"/>
          <w:b w:val="1"/>
          <w:bCs w:val="1"/>
          <w:color w:val="auto"/>
        </w:rPr>
        <w:t>TRANSITION REPORT PURSUANT TO SECTION 13 OR 15(d) OF THE SECURITIES EXCHANGE ACT OF 1934</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3740" w:type="dxa"/>
            <w:vAlign w:val="bottom"/>
          </w:tcPr>
          <w:p>
            <w:pPr>
              <w:spacing w:after="0"/>
              <w:rPr>
                <w:sz w:val="14"/>
                <w:szCs w:val="14"/>
                <w:color w:val="auto"/>
              </w:rPr>
            </w:pPr>
          </w:p>
        </w:tc>
        <w:tc>
          <w:tcPr>
            <w:tcW w:w="3100" w:type="dxa"/>
            <w:vAlign w:val="bottom"/>
          </w:tcPr>
          <w:p>
            <w:pPr>
              <w:ind w:left="740"/>
              <w:spacing w:after="0"/>
              <w:rPr>
                <w:sz w:val="20"/>
                <w:szCs w:val="20"/>
                <w:color w:val="auto"/>
              </w:rPr>
            </w:pPr>
            <w:r>
              <w:rPr>
                <w:rFonts w:ascii="Arial" w:cs="Arial" w:eastAsia="Arial" w:hAnsi="Arial"/>
                <w:sz w:val="14"/>
                <w:szCs w:val="14"/>
                <w:b w:val="1"/>
                <w:bCs w:val="1"/>
                <w:color w:val="auto"/>
                <w:w w:val="97"/>
              </w:rPr>
              <w:t>Commission File Number 001-31553</w:t>
            </w:r>
          </w:p>
        </w:tc>
        <w:tc>
          <w:tcPr>
            <w:tcW w:w="560" w:type="dxa"/>
            <w:vAlign w:val="bottom"/>
          </w:tcPr>
          <w:p>
            <w:pPr>
              <w:spacing w:after="0"/>
              <w:rPr>
                <w:sz w:val="14"/>
                <w:szCs w:val="14"/>
                <w:color w:val="auto"/>
              </w:rPr>
            </w:pPr>
          </w:p>
        </w:tc>
        <w:tc>
          <w:tcPr>
            <w:tcW w:w="3820" w:type="dxa"/>
            <w:vAlign w:val="bottom"/>
          </w:tcPr>
          <w:p>
            <w:pPr>
              <w:spacing w:after="0"/>
              <w:rPr>
                <w:sz w:val="14"/>
                <w:szCs w:val="14"/>
                <w:color w:val="auto"/>
              </w:rPr>
            </w:pPr>
          </w:p>
        </w:tc>
      </w:tr>
      <w:tr>
        <w:trPr>
          <w:trHeight w:val="565"/>
        </w:trPr>
        <w:tc>
          <w:tcPr>
            <w:tcW w:w="3740" w:type="dxa"/>
            <w:vAlign w:val="bottom"/>
          </w:tcPr>
          <w:p>
            <w:pPr>
              <w:spacing w:after="0"/>
              <w:rPr>
                <w:sz w:val="24"/>
                <w:szCs w:val="24"/>
                <w:color w:val="auto"/>
              </w:rPr>
            </w:pPr>
          </w:p>
        </w:tc>
        <w:tc>
          <w:tcPr>
            <w:tcW w:w="7480" w:type="dxa"/>
            <w:vAlign w:val="bottom"/>
            <w:gridSpan w:val="3"/>
          </w:tcPr>
          <w:p>
            <w:pPr>
              <w:jc w:val="center"/>
              <w:ind w:right="3654"/>
              <w:spacing w:after="0"/>
              <w:rPr>
                <w:sz w:val="20"/>
                <w:szCs w:val="20"/>
                <w:color w:val="auto"/>
              </w:rPr>
            </w:pPr>
            <w:r>
              <w:rPr>
                <w:rFonts w:ascii="Arial" w:cs="Arial" w:eastAsia="Arial" w:hAnsi="Arial"/>
                <w:sz w:val="43"/>
                <w:szCs w:val="43"/>
                <w:b w:val="1"/>
                <w:bCs w:val="1"/>
                <w:color w:val="auto"/>
              </w:rPr>
              <w:t>CME GROUP INC.</w:t>
            </w:r>
          </w:p>
        </w:tc>
      </w:tr>
      <w:tr>
        <w:trPr>
          <w:trHeight w:val="195"/>
        </w:trPr>
        <w:tc>
          <w:tcPr>
            <w:tcW w:w="3740" w:type="dxa"/>
            <w:vAlign w:val="bottom"/>
          </w:tcPr>
          <w:p>
            <w:pPr>
              <w:spacing w:after="0"/>
              <w:rPr>
                <w:sz w:val="17"/>
                <w:szCs w:val="17"/>
                <w:color w:val="auto"/>
              </w:rPr>
            </w:pPr>
          </w:p>
        </w:tc>
        <w:tc>
          <w:tcPr>
            <w:tcW w:w="3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820" w:type="dxa"/>
            <w:vAlign w:val="bottom"/>
          </w:tcPr>
          <w:p>
            <w:pPr>
              <w:spacing w:after="0"/>
              <w:rPr>
                <w:sz w:val="17"/>
                <w:szCs w:val="17"/>
                <w:color w:val="auto"/>
              </w:rPr>
            </w:pPr>
          </w:p>
        </w:tc>
      </w:tr>
      <w:tr>
        <w:trPr>
          <w:trHeight w:val="257"/>
        </w:trPr>
        <w:tc>
          <w:tcPr>
            <w:tcW w:w="3740" w:type="dxa"/>
            <w:vAlign w:val="bottom"/>
          </w:tcPr>
          <w:p>
            <w:pPr>
              <w:jc w:val="center"/>
              <w:ind w:left="1894"/>
              <w:spacing w:after="0"/>
              <w:rPr>
                <w:sz w:val="20"/>
                <w:szCs w:val="20"/>
                <w:color w:val="auto"/>
              </w:rPr>
            </w:pPr>
            <w:r>
              <w:rPr>
                <w:rFonts w:ascii="Arial" w:cs="Arial" w:eastAsia="Arial" w:hAnsi="Arial"/>
                <w:sz w:val="14"/>
                <w:szCs w:val="14"/>
                <w:b w:val="1"/>
                <w:bCs w:val="1"/>
                <w:color w:val="auto"/>
                <w:w w:val="94"/>
              </w:rPr>
              <w:t>Delaware</w:t>
            </w:r>
          </w:p>
        </w:tc>
        <w:tc>
          <w:tcPr>
            <w:tcW w:w="3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20" w:type="dxa"/>
            <w:vAlign w:val="bottom"/>
          </w:tcPr>
          <w:p>
            <w:pPr>
              <w:jc w:val="right"/>
              <w:ind w:right="1374"/>
              <w:spacing w:after="0"/>
              <w:rPr>
                <w:sz w:val="20"/>
                <w:szCs w:val="20"/>
                <w:color w:val="auto"/>
              </w:rPr>
            </w:pPr>
            <w:r>
              <w:rPr>
                <w:rFonts w:ascii="Arial" w:cs="Arial" w:eastAsia="Arial" w:hAnsi="Arial"/>
                <w:sz w:val="14"/>
                <w:szCs w:val="14"/>
                <w:b w:val="1"/>
                <w:bCs w:val="1"/>
                <w:color w:val="auto"/>
              </w:rPr>
              <w:t>36-4459170</w:t>
            </w:r>
          </w:p>
        </w:tc>
      </w:tr>
      <w:tr>
        <w:trPr>
          <w:trHeight w:val="133"/>
        </w:trPr>
        <w:tc>
          <w:tcPr>
            <w:tcW w:w="3740" w:type="dxa"/>
            <w:vAlign w:val="bottom"/>
          </w:tcPr>
          <w:p>
            <w:pPr>
              <w:jc w:val="center"/>
              <w:ind w:left="1894"/>
              <w:spacing w:after="0" w:line="134" w:lineRule="exact"/>
              <w:rPr>
                <w:sz w:val="20"/>
                <w:szCs w:val="20"/>
                <w:color w:val="auto"/>
              </w:rPr>
            </w:pPr>
            <w:r>
              <w:rPr>
                <w:rFonts w:ascii="Arial" w:cs="Arial" w:eastAsia="Arial" w:hAnsi="Arial"/>
                <w:sz w:val="13"/>
                <w:szCs w:val="13"/>
                <w:b w:val="1"/>
                <w:bCs w:val="1"/>
                <w:color w:val="auto"/>
                <w:w w:val="87"/>
              </w:rPr>
              <w:t>(State or Other Jurisdiction of</w:t>
            </w:r>
          </w:p>
        </w:tc>
        <w:tc>
          <w:tcPr>
            <w:tcW w:w="3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20" w:type="dxa"/>
            <w:vAlign w:val="bottom"/>
          </w:tcPr>
          <w:p>
            <w:pPr>
              <w:jc w:val="center"/>
              <w:ind w:left="174"/>
              <w:spacing w:after="0" w:line="134"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3740" w:type="dxa"/>
            <w:vAlign w:val="bottom"/>
          </w:tcPr>
          <w:p>
            <w:pPr>
              <w:jc w:val="center"/>
              <w:ind w:left="1894"/>
              <w:spacing w:after="0"/>
              <w:rPr>
                <w:sz w:val="20"/>
                <w:szCs w:val="20"/>
                <w:color w:val="auto"/>
              </w:rPr>
            </w:pPr>
            <w:r>
              <w:rPr>
                <w:rFonts w:ascii="Arial" w:cs="Arial" w:eastAsia="Arial" w:hAnsi="Arial"/>
                <w:sz w:val="13"/>
                <w:szCs w:val="13"/>
                <w:b w:val="1"/>
                <w:bCs w:val="1"/>
                <w:color w:val="auto"/>
                <w:w w:val="90"/>
              </w:rPr>
              <w:t>Incorporation or Organization)</w:t>
            </w:r>
          </w:p>
        </w:tc>
        <w:tc>
          <w:tcPr>
            <w:tcW w:w="3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20" w:type="dxa"/>
            <w:vAlign w:val="bottom"/>
          </w:tcPr>
          <w:p>
            <w:pPr>
              <w:jc w:val="center"/>
              <w:ind w:left="174"/>
              <w:spacing w:after="0"/>
              <w:rPr>
                <w:sz w:val="20"/>
                <w:szCs w:val="20"/>
                <w:color w:val="auto"/>
              </w:rPr>
            </w:pPr>
            <w:r>
              <w:rPr>
                <w:rFonts w:ascii="Arial" w:cs="Arial" w:eastAsia="Arial" w:hAnsi="Arial"/>
                <w:sz w:val="13"/>
                <w:szCs w:val="13"/>
                <w:b w:val="1"/>
                <w:bCs w:val="1"/>
                <w:color w:val="auto"/>
                <w:w w:val="89"/>
              </w:rPr>
              <w:t>Identification No.)</w:t>
            </w:r>
          </w:p>
        </w:tc>
      </w:tr>
      <w:tr>
        <w:trPr>
          <w:trHeight w:val="188"/>
        </w:trPr>
        <w:tc>
          <w:tcPr>
            <w:tcW w:w="3740" w:type="dxa"/>
            <w:vAlign w:val="bottom"/>
          </w:tcPr>
          <w:p>
            <w:pPr>
              <w:jc w:val="center"/>
              <w:ind w:left="1894"/>
              <w:spacing w:after="0"/>
              <w:rPr>
                <w:sz w:val="20"/>
                <w:szCs w:val="20"/>
                <w:color w:val="auto"/>
              </w:rPr>
            </w:pPr>
            <w:r>
              <w:rPr>
                <w:rFonts w:ascii="Arial" w:cs="Arial" w:eastAsia="Arial" w:hAnsi="Arial"/>
                <w:sz w:val="14"/>
                <w:szCs w:val="14"/>
                <w:b w:val="1"/>
                <w:bCs w:val="1"/>
                <w:color w:val="auto"/>
                <w:w w:val="93"/>
              </w:rPr>
              <w:t>20 South Wacker Drive</w:t>
            </w:r>
          </w:p>
        </w:tc>
        <w:tc>
          <w:tcPr>
            <w:tcW w:w="3100" w:type="dxa"/>
            <w:vAlign w:val="bottom"/>
          </w:tcPr>
          <w:p>
            <w:pPr>
              <w:ind w:left="2240"/>
              <w:spacing w:after="0"/>
              <w:rPr>
                <w:sz w:val="20"/>
                <w:szCs w:val="20"/>
                <w:color w:val="auto"/>
              </w:rPr>
            </w:pPr>
            <w:r>
              <w:rPr>
                <w:rFonts w:ascii="Arial" w:cs="Arial" w:eastAsia="Arial" w:hAnsi="Arial"/>
                <w:sz w:val="14"/>
                <w:szCs w:val="14"/>
                <w:b w:val="1"/>
                <w:bCs w:val="1"/>
                <w:color w:val="auto"/>
              </w:rPr>
              <w:t>Chicago</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w w:val="94"/>
              </w:rPr>
              <w:t>Illinois</w:t>
            </w:r>
          </w:p>
        </w:tc>
        <w:tc>
          <w:tcPr>
            <w:tcW w:w="3820" w:type="dxa"/>
            <w:vAlign w:val="bottom"/>
          </w:tcPr>
          <w:p>
            <w:pPr>
              <w:jc w:val="right"/>
              <w:ind w:right="1534"/>
              <w:spacing w:after="0"/>
              <w:rPr>
                <w:sz w:val="20"/>
                <w:szCs w:val="20"/>
                <w:color w:val="auto"/>
              </w:rPr>
            </w:pPr>
            <w:r>
              <w:rPr>
                <w:rFonts w:ascii="Arial" w:cs="Arial" w:eastAsia="Arial" w:hAnsi="Arial"/>
                <w:sz w:val="14"/>
                <w:szCs w:val="14"/>
                <w:b w:val="1"/>
                <w:bCs w:val="1"/>
                <w:color w:val="auto"/>
              </w:rPr>
              <w:t>60606</w:t>
            </w:r>
          </w:p>
        </w:tc>
      </w:tr>
      <w:tr>
        <w:trPr>
          <w:trHeight w:val="172"/>
        </w:trPr>
        <w:tc>
          <w:tcPr>
            <w:tcW w:w="6840" w:type="dxa"/>
            <w:vAlign w:val="bottom"/>
            <w:gridSpan w:val="2"/>
          </w:tcPr>
          <w:p>
            <w:pPr>
              <w:ind w:left="2760"/>
              <w:spacing w:after="0"/>
              <w:rPr>
                <w:sz w:val="20"/>
                <w:szCs w:val="20"/>
                <w:color w:val="auto"/>
              </w:rPr>
            </w:pPr>
            <w:r>
              <w:rPr>
                <w:rFonts w:ascii="Arial" w:cs="Arial" w:eastAsia="Arial" w:hAnsi="Arial"/>
                <w:sz w:val="13"/>
                <w:szCs w:val="13"/>
                <w:b w:val="1"/>
                <w:bCs w:val="1"/>
                <w:color w:val="auto"/>
              </w:rPr>
              <w:t>(Address of Principal Executive Offices)</w:t>
            </w:r>
          </w:p>
        </w:tc>
        <w:tc>
          <w:tcPr>
            <w:tcW w:w="560" w:type="dxa"/>
            <w:vAlign w:val="bottom"/>
          </w:tcPr>
          <w:p>
            <w:pPr>
              <w:spacing w:after="0"/>
              <w:rPr>
                <w:sz w:val="14"/>
                <w:szCs w:val="14"/>
                <w:color w:val="auto"/>
              </w:rPr>
            </w:pPr>
          </w:p>
        </w:tc>
        <w:tc>
          <w:tcPr>
            <w:tcW w:w="3820" w:type="dxa"/>
            <w:vAlign w:val="bottom"/>
          </w:tcPr>
          <w:p>
            <w:pPr>
              <w:jc w:val="center"/>
              <w:ind w:left="174"/>
              <w:spacing w:after="0"/>
              <w:rPr>
                <w:sz w:val="20"/>
                <w:szCs w:val="20"/>
                <w:color w:val="auto"/>
              </w:rPr>
            </w:pPr>
            <w:r>
              <w:rPr>
                <w:rFonts w:ascii="Arial" w:cs="Arial" w:eastAsia="Arial" w:hAnsi="Arial"/>
                <w:sz w:val="13"/>
                <w:szCs w:val="13"/>
                <w:b w:val="1"/>
                <w:bCs w:val="1"/>
                <w:color w:val="auto"/>
                <w:w w:val="90"/>
              </w:rPr>
              <w:t>(Zip Code)</w:t>
            </w:r>
          </w:p>
        </w:tc>
      </w:tr>
      <w:tr>
        <w:trPr>
          <w:trHeight w:val="341"/>
        </w:trPr>
        <w:tc>
          <w:tcPr>
            <w:tcW w:w="1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Registrant’s telephone number, including area code: (312) 930-1000</w:t>
            </w:r>
          </w:p>
        </w:tc>
      </w:tr>
      <w:tr>
        <w:trPr>
          <w:trHeight w:val="216"/>
        </w:trPr>
        <w:tc>
          <w:tcPr>
            <w:tcW w:w="3740" w:type="dxa"/>
            <w:vAlign w:val="bottom"/>
          </w:tcPr>
          <w:p>
            <w:pPr>
              <w:spacing w:after="0"/>
              <w:rPr>
                <w:sz w:val="18"/>
                <w:szCs w:val="18"/>
                <w:color w:val="auto"/>
              </w:rPr>
            </w:pPr>
          </w:p>
        </w:tc>
        <w:tc>
          <w:tcPr>
            <w:tcW w:w="3660" w:type="dxa"/>
            <w:vAlign w:val="bottom"/>
            <w:gridSpan w:val="2"/>
          </w:tcPr>
          <w:p>
            <w:pPr>
              <w:jc w:val="center"/>
              <w:ind w:left="1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820" w:type="dxa"/>
            <w:vAlign w:val="bottom"/>
          </w:tcPr>
          <w:p>
            <w:pPr>
              <w:spacing w:after="0"/>
              <w:rPr>
                <w:sz w:val="18"/>
                <w:szCs w:val="18"/>
                <w:color w:val="auto"/>
              </w:rPr>
            </w:pPr>
          </w:p>
        </w:tc>
      </w:tr>
      <w:tr>
        <w:trPr>
          <w:trHeight w:val="303"/>
        </w:trPr>
        <w:tc>
          <w:tcPr>
            <w:tcW w:w="3740" w:type="dxa"/>
            <w:vAlign w:val="bottom"/>
            <w:tcBorders>
              <w:bottom w:val="single" w:sz="8" w:color="auto"/>
            </w:tcBorders>
          </w:tcPr>
          <w:p>
            <w:pPr>
              <w:jc w:val="center"/>
              <w:ind w:left="1154"/>
              <w:spacing w:after="0"/>
              <w:rPr>
                <w:sz w:val="20"/>
                <w:szCs w:val="20"/>
                <w:color w:val="auto"/>
              </w:rPr>
            </w:pPr>
            <w:r>
              <w:rPr>
                <w:rFonts w:ascii="Arial" w:cs="Arial" w:eastAsia="Arial" w:hAnsi="Arial"/>
                <w:sz w:val="13"/>
                <w:szCs w:val="13"/>
                <w:b w:val="1"/>
                <w:bCs w:val="1"/>
                <w:color w:val="auto"/>
                <w:w w:val="88"/>
              </w:rPr>
              <w:t>Title Of Each Class</w:t>
            </w:r>
          </w:p>
        </w:tc>
        <w:tc>
          <w:tcPr>
            <w:tcW w:w="3100" w:type="dxa"/>
            <w:vAlign w:val="bottom"/>
            <w:tcBorders>
              <w:bottom w:val="single" w:sz="8" w:color="auto"/>
            </w:tcBorders>
          </w:tcPr>
          <w:p>
            <w:pPr>
              <w:jc w:val="center"/>
              <w:ind w:left="490"/>
              <w:spacing w:after="0"/>
              <w:rPr>
                <w:sz w:val="20"/>
                <w:szCs w:val="20"/>
                <w:color w:val="auto"/>
              </w:rPr>
            </w:pPr>
            <w:r>
              <w:rPr>
                <w:rFonts w:ascii="Arial" w:cs="Arial" w:eastAsia="Arial" w:hAnsi="Arial"/>
                <w:sz w:val="13"/>
                <w:szCs w:val="13"/>
                <w:b w:val="1"/>
                <w:bCs w:val="1"/>
                <w:color w:val="auto"/>
                <w:w w:val="86"/>
              </w:rPr>
              <w:t>Trading symbol</w:t>
            </w:r>
          </w:p>
        </w:tc>
        <w:tc>
          <w:tcPr>
            <w:tcW w:w="5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jc w:val="center"/>
              <w:ind w:right="1134"/>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64"/>
        </w:trPr>
        <w:tc>
          <w:tcPr>
            <w:tcW w:w="3740" w:type="dxa"/>
            <w:vAlign w:val="bottom"/>
          </w:tcPr>
          <w:p>
            <w:pPr>
              <w:jc w:val="center"/>
              <w:ind w:left="1154"/>
              <w:spacing w:after="0"/>
              <w:rPr>
                <w:sz w:val="20"/>
                <w:szCs w:val="20"/>
                <w:color w:val="auto"/>
              </w:rPr>
            </w:pPr>
            <w:r>
              <w:rPr>
                <w:rFonts w:ascii="Arial" w:cs="Arial" w:eastAsia="Arial" w:hAnsi="Arial"/>
                <w:sz w:val="13"/>
                <w:szCs w:val="13"/>
                <w:b w:val="1"/>
                <w:bCs w:val="1"/>
                <w:color w:val="auto"/>
                <w:w w:val="87"/>
              </w:rPr>
              <w:t>Class A Common Stock $0.01 par value</w:t>
            </w:r>
          </w:p>
        </w:tc>
        <w:tc>
          <w:tcPr>
            <w:tcW w:w="3100" w:type="dxa"/>
            <w:vAlign w:val="bottom"/>
          </w:tcPr>
          <w:p>
            <w:pPr>
              <w:jc w:val="center"/>
              <w:ind w:left="490"/>
              <w:spacing w:after="0"/>
              <w:rPr>
                <w:sz w:val="20"/>
                <w:szCs w:val="20"/>
                <w:color w:val="auto"/>
              </w:rPr>
            </w:pPr>
            <w:r>
              <w:rPr>
                <w:rFonts w:ascii="Arial" w:cs="Arial" w:eastAsia="Arial" w:hAnsi="Arial"/>
                <w:sz w:val="13"/>
                <w:szCs w:val="13"/>
                <w:b w:val="1"/>
                <w:bCs w:val="1"/>
                <w:color w:val="auto"/>
                <w:w w:val="96"/>
              </w:rPr>
              <w:t>CME</w:t>
            </w:r>
          </w:p>
        </w:tc>
        <w:tc>
          <w:tcPr>
            <w:tcW w:w="560" w:type="dxa"/>
            <w:vAlign w:val="bottom"/>
          </w:tcPr>
          <w:p>
            <w:pPr>
              <w:spacing w:after="0"/>
              <w:rPr>
                <w:sz w:val="14"/>
                <w:szCs w:val="14"/>
                <w:color w:val="auto"/>
              </w:rPr>
            </w:pPr>
          </w:p>
        </w:tc>
        <w:tc>
          <w:tcPr>
            <w:tcW w:w="3820" w:type="dxa"/>
            <w:vAlign w:val="bottom"/>
          </w:tcPr>
          <w:p>
            <w:pPr>
              <w:jc w:val="center"/>
              <w:ind w:right="1154"/>
              <w:spacing w:after="0"/>
              <w:rPr>
                <w:sz w:val="20"/>
                <w:szCs w:val="20"/>
                <w:color w:val="auto"/>
              </w:rPr>
            </w:pPr>
            <w:r>
              <w:rPr>
                <w:rFonts w:ascii="Arial" w:cs="Arial" w:eastAsia="Arial" w:hAnsi="Arial"/>
                <w:sz w:val="13"/>
                <w:szCs w:val="13"/>
                <w:b w:val="1"/>
                <w:bCs w:val="1"/>
                <w:color w:val="auto"/>
                <w:w w:val="85"/>
              </w:rPr>
              <w:t>Nasdaq</w:t>
            </w:r>
          </w:p>
        </w:tc>
      </w:tr>
    </w:tbl>
    <w:p>
      <w:pPr>
        <w:spacing w:after="0" w:line="105"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____________________________________________________</w:t>
      </w:r>
    </w:p>
    <w:p>
      <w:pPr>
        <w:spacing w:after="0" w:line="49" w:lineRule="exact"/>
        <w:rPr>
          <w:sz w:val="24"/>
          <w:szCs w:val="24"/>
          <w:color w:val="auto"/>
        </w:rPr>
      </w:pPr>
    </w:p>
    <w:p>
      <w:pPr>
        <w:jc w:val="both"/>
        <w:spacing w:after="0" w:line="271" w:lineRule="auto"/>
        <w:rPr>
          <w:sz w:val="20"/>
          <w:szCs w:val="20"/>
          <w:color w:val="auto"/>
        </w:rPr>
      </w:pPr>
      <w:r>
        <w:rPr>
          <w:rFonts w:ascii="Arial" w:cs="Arial" w:eastAsia="Arial" w:hAnsi="Arial"/>
          <w:sz w:val="14"/>
          <w:szCs w:val="14"/>
          <w:color w:val="auto"/>
        </w:rPr>
        <w:t>Securities registered pursuant to Section 12(g) of the Act: Class B common stock, Class B-1, $0.01 par value; Class B common stock, Class B-2, $0.01 par value; Class B common stock, Class B-3, $0.01 par value; and Class B common stock, Class B-4, $0.01 par value.</w:t>
      </w:r>
    </w:p>
    <w:p>
      <w:pPr>
        <w:sectPr>
          <w:pgSz w:w="11900" w:h="16838" w:orient="portrait"/>
          <w:cols w:equalWidth="0" w:num="1">
            <w:col w:w="11240"/>
          </w:cols>
          <w:pgMar w:left="320" w:top="994" w:right="339" w:bottom="1440" w:gutter="0" w:footer="0" w:header="0"/>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5">
            <w:col w:w="6760" w:space="140"/>
            <w:col w:w="200" w:space="80"/>
            <w:col w:w="140" w:space="140"/>
            <w:col w:w="180" w:space="60"/>
            <w:col w:w="3540"/>
          </w:cols>
          <w:pgMar w:left="320" w:top="994" w:right="3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ectPr>
          <w:pgSz w:w="11900" w:h="16838" w:orient="portrait"/>
          <w:cols w:equalWidth="0" w:num="5">
            <w:col w:w="6900" w:space="120"/>
            <w:col w:w="220" w:space="80"/>
            <w:col w:w="120" w:space="140"/>
            <w:col w:w="180" w:space="80"/>
            <w:col w:w="3400"/>
          </w:cols>
          <w:pgMar w:left="320" w:top="994" w:right="339" w:bottom="1440" w:gutter="0" w:footer="0" w:header="0"/>
          <w:type w:val="continuous"/>
        </w:sectPr>
      </w:pPr>
    </w:p>
    <w:p>
      <w:pPr>
        <w:ind w:right="2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10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4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Act.</w:t>
      </w:r>
    </w:p>
    <w:p>
      <w:pPr>
        <w:spacing w:after="0" w:line="82"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2580"/>
              <w:spacing w:after="0"/>
              <w:rPr>
                <w:sz w:val="20"/>
                <w:szCs w:val="20"/>
                <w:color w:val="auto"/>
              </w:rPr>
            </w:pPr>
            <w:r>
              <w:rPr>
                <w:rFonts w:ascii="Arial" w:cs="Arial" w:eastAsia="Arial" w:hAnsi="Arial"/>
                <w:sz w:val="14"/>
                <w:szCs w:val="14"/>
                <w:color w:val="auto"/>
              </w:rPr>
              <w:t>Accelerated filer</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29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2580"/>
              <w:spacing w:after="0"/>
              <w:rPr>
                <w:sz w:val="20"/>
                <w:szCs w:val="20"/>
                <w:color w:val="auto"/>
              </w:rPr>
            </w:pPr>
            <w:r>
              <w:rPr>
                <w:rFonts w:ascii="Arial" w:cs="Arial" w:eastAsia="Arial" w:hAnsi="Arial"/>
                <w:sz w:val="14"/>
                <w:szCs w:val="14"/>
                <w:color w:val="auto"/>
              </w:rPr>
              <w:t>Smaller reporting company</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5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200" w:type="dxa"/>
            <w:vAlign w:val="bottom"/>
          </w:tcPr>
          <w:p>
            <w:pPr>
              <w:ind w:left="2580"/>
              <w:spacing w:after="0"/>
              <w:rPr>
                <w:sz w:val="20"/>
                <w:szCs w:val="20"/>
                <w:color w:val="auto"/>
              </w:rPr>
            </w:pPr>
            <w:r>
              <w:rPr>
                <w:rFonts w:ascii="Arial" w:cs="Arial" w:eastAsia="Arial" w:hAnsi="Arial"/>
                <w:sz w:val="14"/>
                <w:szCs w:val="14"/>
                <w:color w:val="auto"/>
              </w:rPr>
              <w:t>Emerging growth company</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2" w:lineRule="exact"/>
        <w:rPr>
          <w:sz w:val="24"/>
          <w:szCs w:val="24"/>
          <w:color w:val="auto"/>
        </w:rPr>
      </w:pPr>
    </w:p>
    <w:p>
      <w:pPr>
        <w:ind w:right="56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ind w:right="60"/>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right="40"/>
        <w:spacing w:after="0" w:line="307" w:lineRule="auto"/>
        <w:rPr>
          <w:sz w:val="20"/>
          <w:szCs w:val="20"/>
          <w:color w:val="auto"/>
        </w:rPr>
      </w:pPr>
      <w:r>
        <w:rPr>
          <w:rFonts w:ascii="Arial" w:cs="Arial" w:eastAsia="Arial" w:hAnsi="Arial"/>
          <w:sz w:val="12"/>
          <w:szCs w:val="12"/>
          <w:color w:val="auto"/>
        </w:rPr>
        <w:t>The aggregate market value of the voting and non-voting common equity held by non-affiliates of the registrant as of June 30, 2021, was approximately $76.0 billion (based on the closing price per share of CME Group Inc. Class A common stock on the Nasdaq Global Select Market (Nasdaq) on such date). The number of shares outstanding of each of the registrant’s classes of common stock as of February 9, 2022 was as follows: 359,394,585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6020" w:type="dxa"/>
            <w:vAlign w:val="bottom"/>
            <w:gridSpan w:val="2"/>
          </w:tcPr>
          <w:p>
            <w:pPr>
              <w:ind w:left="2660"/>
              <w:spacing w:after="0"/>
              <w:rPr>
                <w:sz w:val="20"/>
                <w:szCs w:val="20"/>
                <w:color w:val="auto"/>
              </w:rPr>
            </w:pPr>
            <w:r>
              <w:rPr>
                <w:rFonts w:ascii="Arial" w:cs="Arial" w:eastAsia="Arial" w:hAnsi="Arial"/>
                <w:sz w:val="13"/>
                <w:szCs w:val="13"/>
                <w:b w:val="1"/>
                <w:bCs w:val="1"/>
                <w:color w:val="auto"/>
              </w:rPr>
              <w:t>Documents</w:t>
            </w:r>
          </w:p>
        </w:tc>
        <w:tc>
          <w:tcPr>
            <w:tcW w:w="52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8"/>
              </w:rPr>
              <w:t>Form 10-K Reference</w:t>
            </w:r>
          </w:p>
        </w:tc>
      </w:tr>
      <w:tr>
        <w:trPr>
          <w:trHeight w:val="182"/>
        </w:trPr>
        <w:tc>
          <w:tcPr>
            <w:tcW w:w="59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Portions of CME Group Inc.’s Proxy Statement for the 2022 Annual Meeting of Shareholders</w:t>
            </w:r>
          </w:p>
        </w:tc>
        <w:tc>
          <w:tcPr>
            <w:tcW w:w="100" w:type="dxa"/>
            <w:vAlign w:val="bottom"/>
          </w:tcPr>
          <w:p>
            <w:pPr>
              <w:spacing w:after="0"/>
              <w:rPr>
                <w:sz w:val="15"/>
                <w:szCs w:val="15"/>
                <w:color w:val="auto"/>
              </w:rPr>
            </w:pPr>
          </w:p>
        </w:tc>
        <w:tc>
          <w:tcPr>
            <w:tcW w:w="5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Part III</w:t>
            </w:r>
          </w:p>
        </w:tc>
        <w:tc>
          <w:tcPr>
            <w:tcW w:w="20" w:type="dxa"/>
            <w:vAlign w:val="bottom"/>
          </w:tcPr>
          <w:p>
            <w:pPr>
              <w:spacing w:after="0"/>
              <w:rPr>
                <w:sz w:val="15"/>
                <w:szCs w:val="15"/>
                <w:color w:val="auto"/>
              </w:rPr>
            </w:pPr>
          </w:p>
        </w:tc>
      </w:tr>
      <w:tr>
        <w:trPr>
          <w:trHeight w:val="392"/>
        </w:trPr>
        <w:tc>
          <w:tcPr>
            <w:tcW w:w="5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6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CME GROUP INC.</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80" w:type="dxa"/>
            <w:vAlign w:val="bottom"/>
            <w:gridSpan w:val="12"/>
          </w:tcPr>
          <w:p>
            <w:pPr>
              <w:jc w:val="center"/>
              <w:ind w:right="2120"/>
              <w:spacing w:after="0"/>
              <w:rPr>
                <w:sz w:val="20"/>
                <w:szCs w:val="20"/>
                <w:color w:val="auto"/>
              </w:rPr>
            </w:pPr>
            <w:r>
              <w:rPr>
                <w:rFonts w:ascii="Arial" w:cs="Arial" w:eastAsia="Arial" w:hAnsi="Arial"/>
                <w:sz w:val="18"/>
                <w:szCs w:val="18"/>
                <w:b w:val="1"/>
                <w:bCs w:val="1"/>
                <w:color w:val="auto"/>
                <w:w w:val="99"/>
              </w:rPr>
              <w:t>ANNUAL REPORT ON FORM 10-K</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gridSpan w:val="9"/>
          </w:tcPr>
          <w:p>
            <w:pPr>
              <w:jc w:val="center"/>
              <w:ind w:right="3560"/>
              <w:spacing w:after="0"/>
              <w:rPr>
                <w:sz w:val="20"/>
                <w:szCs w:val="20"/>
                <w:color w:val="auto"/>
              </w:rPr>
            </w:pPr>
            <w:r>
              <w:rPr>
                <w:rFonts w:ascii="Arial" w:cs="Arial" w:eastAsia="Arial" w:hAnsi="Arial"/>
                <w:sz w:val="18"/>
                <w:szCs w:val="18"/>
                <w:b w:val="1"/>
                <w:bCs w:val="1"/>
                <w:color w:val="auto"/>
              </w:rPr>
              <w:t>INDEX</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gridSpan w:val="2"/>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40" w:type="dxa"/>
            <w:vAlign w:val="bottom"/>
            <w:tcBorders>
              <w:bottom w:val="single" w:sz="8" w:color="0000FF"/>
            </w:tcBorders>
          </w:tcPr>
          <w:p>
            <w:pPr>
              <w:spacing w:after="0"/>
              <w:rPr>
                <w:rFonts w:ascii="Arial" w:cs="Arial" w:eastAsia="Arial" w:hAnsi="Arial"/>
                <w:sz w:val="18"/>
                <w:szCs w:val="18"/>
                <w:b w:val="1"/>
                <w:bCs w:val="1"/>
                <w:color w:val="0000FF"/>
                <w:w w:val="96"/>
              </w:rPr>
            </w:pPr>
            <w:hyperlink w:anchor="page2">
              <w:r>
                <w:rPr>
                  <w:rFonts w:ascii="Arial" w:cs="Arial" w:eastAsia="Arial" w:hAnsi="Arial"/>
                  <w:sz w:val="18"/>
                  <w:szCs w:val="18"/>
                  <w:b w:val="1"/>
                  <w:bCs w:val="1"/>
                  <w:color w:val="0000FF"/>
                  <w:w w:val="96"/>
                </w:rPr>
                <w:t>PART I.</w:t>
              </w:r>
            </w:hyperlink>
          </w:p>
        </w:tc>
        <w:tc>
          <w:tcPr>
            <w:tcW w:w="78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Borders>
              <w:top w:val="single" w:sz="8" w:color="auto"/>
            </w:tcBorders>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w:t>
            </w:r>
          </w:p>
        </w:tc>
        <w:tc>
          <w:tcPr>
            <w:tcW w:w="8340" w:type="dxa"/>
            <w:vAlign w:val="bottom"/>
            <w:gridSpan w:val="24"/>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Business</w:t>
              </w:r>
            </w:hyperlink>
          </w:p>
        </w:tc>
        <w:tc>
          <w:tcPr>
            <w:tcW w:w="144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bottom w:val="single" w:sz="8" w:color="0000FF"/>
            </w:tcBorders>
            <w:gridSpan w:val="5"/>
          </w:tcPr>
          <w:p>
            <w:pPr>
              <w:spacing w:after="0"/>
              <w:rPr>
                <w:rFonts w:ascii="Arial" w:cs="Arial" w:eastAsia="Arial" w:hAnsi="Arial"/>
                <w:sz w:val="18"/>
                <w:szCs w:val="18"/>
                <w:b w:val="1"/>
                <w:bCs w:val="1"/>
                <w:color w:val="0000FF"/>
                <w:w w:val="88"/>
              </w:rPr>
            </w:pPr>
            <w:hyperlink w:anchor="page15">
              <w:r>
                <w:rPr>
                  <w:rFonts w:ascii="Arial" w:cs="Arial" w:eastAsia="Arial" w:hAnsi="Arial"/>
                  <w:sz w:val="18"/>
                  <w:szCs w:val="18"/>
                  <w:b w:val="1"/>
                  <w:bCs w:val="1"/>
                  <w:color w:val="0000FF"/>
                  <w:w w:val="88"/>
                </w:rPr>
                <w:t>Risk Factors</w:t>
              </w:r>
            </w:hyperlink>
          </w:p>
        </w:tc>
        <w:tc>
          <w:tcPr>
            <w:tcW w:w="7360" w:type="dxa"/>
            <w:vAlign w:val="bottom"/>
            <w:gridSpan w:val="19"/>
          </w:tcPr>
          <w:p>
            <w:pPr>
              <w:spacing w:after="0"/>
              <w:rPr>
                <w:sz w:val="22"/>
                <w:szCs w:val="22"/>
                <w:color w:val="auto"/>
              </w:rPr>
            </w:pPr>
          </w:p>
        </w:tc>
        <w:tc>
          <w:tcPr>
            <w:tcW w:w="1440" w:type="dxa"/>
            <w:vAlign w:val="bottom"/>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1B.</w:t>
            </w:r>
          </w:p>
        </w:tc>
        <w:tc>
          <w:tcPr>
            <w:tcW w:w="2160" w:type="dxa"/>
            <w:vAlign w:val="bottom"/>
            <w:tcBorders>
              <w:bottom w:val="single" w:sz="8" w:color="0000FF"/>
            </w:tcBorders>
            <w:gridSpan w:val="12"/>
          </w:tcPr>
          <w:p>
            <w:pPr>
              <w:spacing w:after="0"/>
              <w:rPr>
                <w:rFonts w:ascii="Arial" w:cs="Arial" w:eastAsia="Arial" w:hAnsi="Arial"/>
                <w:sz w:val="18"/>
                <w:szCs w:val="18"/>
                <w:b w:val="1"/>
                <w:bCs w:val="1"/>
                <w:color w:val="0000FF"/>
                <w:w w:val="88"/>
              </w:rPr>
            </w:pPr>
            <w:hyperlink w:anchor="page27">
              <w:r>
                <w:rPr>
                  <w:rFonts w:ascii="Arial" w:cs="Arial" w:eastAsia="Arial" w:hAnsi="Arial"/>
                  <w:sz w:val="18"/>
                  <w:szCs w:val="18"/>
                  <w:b w:val="1"/>
                  <w:bCs w:val="1"/>
                  <w:color w:val="0000FF"/>
                  <w:w w:val="88"/>
                </w:rPr>
                <w:t>Unresolved Staff Comments</w:t>
              </w:r>
            </w:hyperlink>
          </w:p>
        </w:tc>
        <w:tc>
          <w:tcPr>
            <w:tcW w:w="6180" w:type="dxa"/>
            <w:vAlign w:val="bottom"/>
            <w:gridSpan w:val="12"/>
          </w:tcPr>
          <w:p>
            <w:pPr>
              <w:spacing w:after="0"/>
              <w:rPr>
                <w:sz w:val="22"/>
                <w:szCs w:val="22"/>
                <w:color w:val="auto"/>
              </w:rPr>
            </w:pPr>
          </w:p>
        </w:tc>
        <w:tc>
          <w:tcPr>
            <w:tcW w:w="144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2.</w:t>
            </w:r>
          </w:p>
        </w:tc>
        <w:tc>
          <w:tcPr>
            <w:tcW w:w="800" w:type="dxa"/>
            <w:vAlign w:val="bottom"/>
            <w:tcBorders>
              <w:bottom w:val="single" w:sz="8" w:color="0000FF"/>
            </w:tcBorders>
            <w:gridSpan w:val="4"/>
          </w:tcPr>
          <w:p>
            <w:pPr>
              <w:spacing w:after="0"/>
              <w:rPr>
                <w:rFonts w:ascii="Arial" w:cs="Arial" w:eastAsia="Arial" w:hAnsi="Arial"/>
                <w:sz w:val="18"/>
                <w:szCs w:val="18"/>
                <w:b w:val="1"/>
                <w:bCs w:val="1"/>
                <w:color w:val="0000FF"/>
                <w:w w:val="87"/>
              </w:rPr>
            </w:pPr>
            <w:hyperlink w:anchor="page27">
              <w:r>
                <w:rPr>
                  <w:rFonts w:ascii="Arial" w:cs="Arial" w:eastAsia="Arial" w:hAnsi="Arial"/>
                  <w:sz w:val="18"/>
                  <w:szCs w:val="18"/>
                  <w:b w:val="1"/>
                  <w:bCs w:val="1"/>
                  <w:color w:val="0000FF"/>
                  <w:w w:val="87"/>
                </w:rPr>
                <w:t>Properties</w:t>
              </w:r>
            </w:hyperlink>
          </w:p>
        </w:tc>
        <w:tc>
          <w:tcPr>
            <w:tcW w:w="7540" w:type="dxa"/>
            <w:vAlign w:val="bottom"/>
            <w:gridSpan w:val="20"/>
          </w:tcPr>
          <w:p>
            <w:pPr>
              <w:spacing w:after="0"/>
              <w:rPr>
                <w:sz w:val="22"/>
                <w:szCs w:val="22"/>
                <w:color w:val="auto"/>
              </w:rPr>
            </w:pPr>
          </w:p>
        </w:tc>
        <w:tc>
          <w:tcPr>
            <w:tcW w:w="144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3.</w:t>
            </w:r>
          </w:p>
        </w:tc>
        <w:tc>
          <w:tcPr>
            <w:tcW w:w="8340" w:type="dxa"/>
            <w:vAlign w:val="bottom"/>
            <w:gridSpan w:val="24"/>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Legal Proceedings</w:t>
              </w:r>
            </w:hyperlink>
          </w:p>
        </w:tc>
        <w:tc>
          <w:tcPr>
            <w:tcW w:w="144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4.</w:t>
            </w:r>
          </w:p>
        </w:tc>
        <w:tc>
          <w:tcPr>
            <w:tcW w:w="8340" w:type="dxa"/>
            <w:vAlign w:val="bottom"/>
            <w:gridSpan w:val="24"/>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Mine Safety Disclosures</w:t>
              </w:r>
            </w:hyperlink>
          </w:p>
        </w:tc>
        <w:tc>
          <w:tcPr>
            <w:tcW w:w="144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420" w:type="dxa"/>
            <w:vAlign w:val="bottom"/>
            <w:gridSpan w:val="6"/>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PART II.</w:t>
              </w:r>
            </w:hyperlink>
          </w:p>
        </w:tc>
        <w:tc>
          <w:tcPr>
            <w:tcW w:w="6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auto"/>
              </w:rPr>
              <w:t>Item 5.</w:t>
            </w:r>
          </w:p>
        </w:tc>
        <w:tc>
          <w:tcPr>
            <w:tcW w:w="720" w:type="dxa"/>
            <w:vAlign w:val="bottom"/>
            <w:gridSpan w:val="4"/>
          </w:tcPr>
          <w:p>
            <w:pPr>
              <w:spacing w:after="0"/>
              <w:rPr>
                <w:sz w:val="22"/>
                <w:szCs w:val="22"/>
                <w:color w:val="auto"/>
              </w:rPr>
            </w:pPr>
          </w:p>
        </w:tc>
        <w:tc>
          <w:tcPr>
            <w:tcW w:w="8340" w:type="dxa"/>
            <w:vAlign w:val="bottom"/>
            <w:gridSpan w:val="24"/>
          </w:tcPr>
          <w:p>
            <w:pPr>
              <w:spacing w:after="0"/>
              <w:rPr>
                <w:rFonts w:ascii="Arial" w:cs="Arial" w:eastAsia="Arial" w:hAnsi="Arial"/>
                <w:sz w:val="18"/>
                <w:szCs w:val="18"/>
                <w:b w:val="1"/>
                <w:bCs w:val="1"/>
                <w:color w:val="0000FF"/>
                <w:w w:val="96"/>
              </w:rPr>
            </w:pPr>
            <w:hyperlink w:anchor="page27">
              <w:r>
                <w:rPr>
                  <w:rFonts w:ascii="Arial" w:cs="Arial" w:eastAsia="Arial" w:hAnsi="Arial"/>
                  <w:sz w:val="18"/>
                  <w:szCs w:val="18"/>
                  <w:b w:val="1"/>
                  <w:bCs w:val="1"/>
                  <w:color w:val="0000FF"/>
                  <w:w w:val="96"/>
                </w:rPr>
                <w:t>Market for Registrant’s Common Equity, Related Shareholder Matters and Issuer Purchases of Equity</w:t>
              </w:r>
            </w:hyperlink>
          </w:p>
        </w:tc>
        <w:tc>
          <w:tcPr>
            <w:tcW w:w="1440" w:type="dxa"/>
            <w:vAlign w:val="bottom"/>
            <w:vMerge w:val="restart"/>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b w:val="1"/>
                <w:bCs w:val="1"/>
                <w:color w:val="0000FF"/>
                <w:w w:val="85"/>
              </w:rPr>
            </w:pPr>
            <w:hyperlink w:anchor="page27">
              <w:r>
                <w:rPr>
                  <w:rFonts w:ascii="Arial" w:cs="Arial" w:eastAsia="Arial" w:hAnsi="Arial"/>
                  <w:sz w:val="18"/>
                  <w:szCs w:val="18"/>
                  <w:b w:val="1"/>
                  <w:bCs w:val="1"/>
                  <w:color w:val="0000FF"/>
                  <w:w w:val="85"/>
                </w:rPr>
                <w:t>Securities</w:t>
              </w:r>
            </w:hyperlink>
          </w:p>
        </w:tc>
        <w:tc>
          <w:tcPr>
            <w:tcW w:w="7140" w:type="dxa"/>
            <w:vAlign w:val="bottom"/>
            <w:tcBorders>
              <w:top w:val="single" w:sz="8" w:color="0000FF"/>
            </w:tcBorders>
            <w:gridSpan w:val="20"/>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720" w:type="dxa"/>
            <w:vAlign w:val="bottom"/>
            <w:tcBorders>
              <w:bottom w:val="single" w:sz="8" w:color="0000FF"/>
            </w:tcBorders>
            <w:gridSpan w:val="2"/>
          </w:tcPr>
          <w:p>
            <w:pPr>
              <w:spacing w:after="0"/>
              <w:rPr>
                <w:rFonts w:ascii="Arial" w:cs="Arial" w:eastAsia="Arial" w:hAnsi="Arial"/>
                <w:sz w:val="18"/>
                <w:szCs w:val="18"/>
                <w:b w:val="1"/>
                <w:bCs w:val="1"/>
                <w:color w:val="0000FF"/>
                <w:w w:val="86"/>
              </w:rPr>
            </w:pPr>
            <w:hyperlink w:anchor="page29">
              <w:r>
                <w:rPr>
                  <w:rFonts w:ascii="Arial" w:cs="Arial" w:eastAsia="Arial" w:hAnsi="Arial"/>
                  <w:sz w:val="18"/>
                  <w:szCs w:val="18"/>
                  <w:b w:val="1"/>
                  <w:bCs w:val="1"/>
                  <w:color w:val="0000FF"/>
                  <w:w w:val="86"/>
                </w:rPr>
                <w:t>Reserved</w:t>
              </w:r>
            </w:hyperlink>
          </w:p>
        </w:tc>
        <w:tc>
          <w:tcPr>
            <w:tcW w:w="7620" w:type="dxa"/>
            <w:vAlign w:val="bottom"/>
            <w:gridSpan w:val="22"/>
          </w:tcPr>
          <w:p>
            <w:pPr>
              <w:spacing w:after="0"/>
              <w:rPr>
                <w:sz w:val="22"/>
                <w:szCs w:val="22"/>
                <w:color w:val="auto"/>
              </w:rPr>
            </w:pPr>
          </w:p>
        </w:tc>
        <w:tc>
          <w:tcPr>
            <w:tcW w:w="144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7.</w:t>
            </w:r>
          </w:p>
        </w:tc>
        <w:tc>
          <w:tcPr>
            <w:tcW w:w="6840" w:type="dxa"/>
            <w:vAlign w:val="bottom"/>
            <w:tcBorders>
              <w:bottom w:val="single" w:sz="8" w:color="0000FF"/>
            </w:tcBorders>
            <w:gridSpan w:val="20"/>
          </w:tcPr>
          <w:p>
            <w:pPr>
              <w:spacing w:after="0"/>
              <w:rPr>
                <w:rFonts w:ascii="Arial" w:cs="Arial" w:eastAsia="Arial" w:hAnsi="Arial"/>
                <w:sz w:val="18"/>
                <w:szCs w:val="18"/>
                <w:b w:val="1"/>
                <w:bCs w:val="1"/>
                <w:color w:val="0000FF"/>
                <w:w w:val="89"/>
              </w:rPr>
            </w:pPr>
            <w:hyperlink w:anchor="page29">
              <w:r>
                <w:rPr>
                  <w:rFonts w:ascii="Arial" w:cs="Arial" w:eastAsia="Arial" w:hAnsi="Arial"/>
                  <w:sz w:val="18"/>
                  <w:szCs w:val="18"/>
                  <w:b w:val="1"/>
                  <w:bCs w:val="1"/>
                  <w:color w:val="0000FF"/>
                  <w:w w:val="89"/>
                </w:rPr>
                <w:t>Management’s Discussion and Analysis of Financial Condition and Results of Operations</w:t>
              </w:r>
            </w:hyperlink>
          </w:p>
        </w:tc>
        <w:tc>
          <w:tcPr>
            <w:tcW w:w="1500" w:type="dxa"/>
            <w:vAlign w:val="bottom"/>
            <w:gridSpan w:val="4"/>
          </w:tcPr>
          <w:p>
            <w:pPr>
              <w:spacing w:after="0"/>
              <w:rPr>
                <w:sz w:val="22"/>
                <w:szCs w:val="22"/>
                <w:color w:val="auto"/>
              </w:rPr>
            </w:pPr>
          </w:p>
        </w:tc>
        <w:tc>
          <w:tcPr>
            <w:tcW w:w="144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7A.</w:t>
            </w:r>
          </w:p>
        </w:tc>
        <w:tc>
          <w:tcPr>
            <w:tcW w:w="8340" w:type="dxa"/>
            <w:vAlign w:val="bottom"/>
            <w:gridSpan w:val="24"/>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Quantitative and Qualitative Disclosures about Market Risk</w:t>
              </w:r>
            </w:hyperlink>
          </w:p>
        </w:tc>
        <w:tc>
          <w:tcPr>
            <w:tcW w:w="1440" w:type="dxa"/>
            <w:vAlign w:val="bottom"/>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3600" w:type="dxa"/>
            <w:vAlign w:val="bottom"/>
            <w:tcBorders>
              <w:top w:val="single" w:sz="8" w:color="0000FF"/>
              <w:bottom w:val="single" w:sz="8" w:color="0000FF"/>
            </w:tcBorders>
            <w:gridSpan w:val="15"/>
          </w:tcPr>
          <w:p>
            <w:pPr>
              <w:spacing w:after="0"/>
              <w:rPr>
                <w:rFonts w:ascii="Arial" w:cs="Arial" w:eastAsia="Arial" w:hAnsi="Arial"/>
                <w:sz w:val="18"/>
                <w:szCs w:val="18"/>
                <w:b w:val="1"/>
                <w:bCs w:val="1"/>
                <w:color w:val="0000FF"/>
                <w:w w:val="90"/>
              </w:rPr>
            </w:pPr>
            <w:hyperlink w:anchor="page48">
              <w:r>
                <w:rPr>
                  <w:rFonts w:ascii="Arial" w:cs="Arial" w:eastAsia="Arial" w:hAnsi="Arial"/>
                  <w:sz w:val="18"/>
                  <w:szCs w:val="18"/>
                  <w:b w:val="1"/>
                  <w:bCs w:val="1"/>
                  <w:color w:val="0000FF"/>
                  <w:w w:val="90"/>
                </w:rPr>
                <w:t>Financial Statements and Supplementary Data</w:t>
              </w:r>
            </w:hyperlink>
          </w:p>
        </w:tc>
        <w:tc>
          <w:tcPr>
            <w:tcW w:w="1020" w:type="dxa"/>
            <w:vAlign w:val="bottom"/>
            <w:tcBorders>
              <w:top w:val="single" w:sz="8" w:color="0000FF"/>
            </w:tcBorders>
            <w:gridSpan w:val="2"/>
          </w:tcPr>
          <w:p>
            <w:pPr>
              <w:spacing w:after="0"/>
              <w:rPr>
                <w:sz w:val="22"/>
                <w:szCs w:val="22"/>
                <w:color w:val="auto"/>
              </w:rPr>
            </w:pPr>
          </w:p>
        </w:tc>
        <w:tc>
          <w:tcPr>
            <w:tcW w:w="3720" w:type="dxa"/>
            <w:vAlign w:val="bottom"/>
            <w:gridSpan w:val="7"/>
          </w:tcPr>
          <w:p>
            <w:pPr>
              <w:spacing w:after="0"/>
              <w:rPr>
                <w:sz w:val="22"/>
                <w:szCs w:val="22"/>
                <w:color w:val="auto"/>
              </w:rPr>
            </w:pPr>
          </w:p>
        </w:tc>
        <w:tc>
          <w:tcPr>
            <w:tcW w:w="1440" w:type="dxa"/>
            <w:vAlign w:val="bottom"/>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6860" w:type="dxa"/>
            <w:vAlign w:val="bottom"/>
            <w:tcBorders>
              <w:bottom w:val="single" w:sz="8" w:color="0000FF"/>
            </w:tcBorders>
            <w:gridSpan w:val="21"/>
          </w:tcPr>
          <w:p>
            <w:pPr>
              <w:spacing w:after="0"/>
              <w:rPr>
                <w:rFonts w:ascii="Arial" w:cs="Arial" w:eastAsia="Arial" w:hAnsi="Arial"/>
                <w:sz w:val="18"/>
                <w:szCs w:val="18"/>
                <w:b w:val="1"/>
                <w:bCs w:val="1"/>
                <w:color w:val="0000FF"/>
                <w:w w:val="88"/>
              </w:rPr>
            </w:pPr>
            <w:hyperlink w:anchor="page81">
              <w:r>
                <w:rPr>
                  <w:rFonts w:ascii="Arial" w:cs="Arial" w:eastAsia="Arial" w:hAnsi="Arial"/>
                  <w:sz w:val="18"/>
                  <w:szCs w:val="18"/>
                  <w:b w:val="1"/>
                  <w:bCs w:val="1"/>
                  <w:color w:val="0000FF"/>
                  <w:w w:val="88"/>
                </w:rPr>
                <w:t>Changes in and Disagreements with Accountants on Accounting and Financial Disclosure</w:t>
              </w:r>
            </w:hyperlink>
          </w:p>
        </w:tc>
        <w:tc>
          <w:tcPr>
            <w:tcW w:w="1480" w:type="dxa"/>
            <w:vAlign w:val="bottom"/>
            <w:gridSpan w:val="3"/>
          </w:tcPr>
          <w:p>
            <w:pPr>
              <w:spacing w:after="0"/>
              <w:rPr>
                <w:sz w:val="22"/>
                <w:szCs w:val="22"/>
                <w:color w:val="auto"/>
              </w:rPr>
            </w:pPr>
          </w:p>
        </w:tc>
        <w:tc>
          <w:tcPr>
            <w:tcW w:w="1440" w:type="dxa"/>
            <w:vAlign w:val="bottom"/>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82</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9A.</w:t>
            </w:r>
          </w:p>
        </w:tc>
        <w:tc>
          <w:tcPr>
            <w:tcW w:w="1920" w:type="dxa"/>
            <w:vAlign w:val="bottom"/>
            <w:tcBorders>
              <w:bottom w:val="single" w:sz="8" w:color="0000FF"/>
            </w:tcBorders>
            <w:gridSpan w:val="11"/>
          </w:tcPr>
          <w:p>
            <w:pPr>
              <w:spacing w:after="0"/>
              <w:rPr>
                <w:rFonts w:ascii="Arial" w:cs="Arial" w:eastAsia="Arial" w:hAnsi="Arial"/>
                <w:sz w:val="18"/>
                <w:szCs w:val="18"/>
                <w:b w:val="1"/>
                <w:bCs w:val="1"/>
                <w:color w:val="0000FF"/>
                <w:w w:val="88"/>
              </w:rPr>
            </w:pPr>
            <w:hyperlink w:anchor="page82">
              <w:r>
                <w:rPr>
                  <w:rFonts w:ascii="Arial" w:cs="Arial" w:eastAsia="Arial" w:hAnsi="Arial"/>
                  <w:sz w:val="18"/>
                  <w:szCs w:val="18"/>
                  <w:b w:val="1"/>
                  <w:bCs w:val="1"/>
                  <w:color w:val="0000FF"/>
                  <w:w w:val="88"/>
                </w:rPr>
                <w:t>Controls and Procedures</w:t>
              </w:r>
            </w:hyperlink>
          </w:p>
        </w:tc>
        <w:tc>
          <w:tcPr>
            <w:tcW w:w="6420" w:type="dxa"/>
            <w:vAlign w:val="bottom"/>
            <w:gridSpan w:val="13"/>
          </w:tcPr>
          <w:p>
            <w:pPr>
              <w:spacing w:after="0"/>
              <w:rPr>
                <w:sz w:val="22"/>
                <w:szCs w:val="22"/>
                <w:color w:val="auto"/>
              </w:rPr>
            </w:pPr>
          </w:p>
        </w:tc>
        <w:tc>
          <w:tcPr>
            <w:tcW w:w="1440" w:type="dxa"/>
            <w:vAlign w:val="bottom"/>
          </w:tcPr>
          <w:p>
            <w:pPr>
              <w:jc w:val="right"/>
              <w:spacing w:after="0"/>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9B.</w:t>
            </w:r>
          </w:p>
        </w:tc>
        <w:tc>
          <w:tcPr>
            <w:tcW w:w="8340" w:type="dxa"/>
            <w:vAlign w:val="bottom"/>
            <w:gridSpan w:val="24"/>
          </w:tcPr>
          <w:p>
            <w:pPr>
              <w:spacing w:after="0"/>
              <w:rPr>
                <w:rFonts w:ascii="Arial" w:cs="Arial" w:eastAsia="Arial" w:hAnsi="Arial"/>
                <w:sz w:val="18"/>
                <w:szCs w:val="18"/>
                <w:b w:val="1"/>
                <w:bCs w:val="1"/>
                <w:color w:val="0000FF"/>
              </w:rPr>
            </w:pPr>
            <w:hyperlink w:anchor="page86">
              <w:r>
                <w:rPr>
                  <w:rFonts w:ascii="Arial" w:cs="Arial" w:eastAsia="Arial" w:hAnsi="Arial"/>
                  <w:sz w:val="18"/>
                  <w:szCs w:val="18"/>
                  <w:b w:val="1"/>
                  <w:bCs w:val="1"/>
                  <w:color w:val="0000FF"/>
                </w:rPr>
                <w:t>Other Information</w:t>
              </w:r>
            </w:hyperlink>
          </w:p>
        </w:tc>
        <w:tc>
          <w:tcPr>
            <w:tcW w:w="1440" w:type="dxa"/>
            <w:vAlign w:val="bottom"/>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9C.</w:t>
            </w:r>
          </w:p>
        </w:tc>
        <w:tc>
          <w:tcPr>
            <w:tcW w:w="8340" w:type="dxa"/>
            <w:vAlign w:val="bottom"/>
            <w:gridSpan w:val="24"/>
          </w:tcPr>
          <w:p>
            <w:pPr>
              <w:spacing w:after="0"/>
              <w:rPr>
                <w:rFonts w:ascii="Arial" w:cs="Arial" w:eastAsia="Arial" w:hAnsi="Arial"/>
                <w:sz w:val="18"/>
                <w:szCs w:val="18"/>
                <w:b w:val="1"/>
                <w:bCs w:val="1"/>
                <w:color w:val="0000FF"/>
              </w:rPr>
            </w:pPr>
            <w:hyperlink w:anchor="page86">
              <w:r>
                <w:rPr>
                  <w:rFonts w:ascii="Arial" w:cs="Arial" w:eastAsia="Arial" w:hAnsi="Arial"/>
                  <w:sz w:val="18"/>
                  <w:szCs w:val="18"/>
                  <w:b w:val="1"/>
                  <w:bCs w:val="1"/>
                  <w:color w:val="0000FF"/>
                </w:rPr>
                <w:t>Disclosure Regarding Foreign Jurisdictions that Prevent Inspections</w:t>
              </w:r>
            </w:hyperlink>
          </w:p>
        </w:tc>
        <w:tc>
          <w:tcPr>
            <w:tcW w:w="1440" w:type="dxa"/>
            <w:vAlign w:val="bottom"/>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8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86">
              <w:r>
                <w:rPr>
                  <w:rFonts w:ascii="Arial" w:cs="Arial" w:eastAsia="Arial" w:hAnsi="Arial"/>
                  <w:sz w:val="18"/>
                  <w:szCs w:val="18"/>
                  <w:b w:val="1"/>
                  <w:bCs w:val="1"/>
                  <w:color w:val="0000FF"/>
                </w:rPr>
                <w:t>PART III.</w:t>
              </w:r>
            </w:hyperlink>
          </w:p>
        </w:tc>
        <w:tc>
          <w:tcPr>
            <w:tcW w:w="64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10.</w:t>
            </w:r>
          </w:p>
        </w:tc>
        <w:tc>
          <w:tcPr>
            <w:tcW w:w="4380" w:type="dxa"/>
            <w:vAlign w:val="bottom"/>
            <w:tcBorders>
              <w:bottom w:val="single" w:sz="8" w:color="0000FF"/>
            </w:tcBorders>
            <w:gridSpan w:val="16"/>
          </w:tcPr>
          <w:p>
            <w:pPr>
              <w:spacing w:after="0"/>
              <w:rPr>
                <w:rFonts w:ascii="Arial" w:cs="Arial" w:eastAsia="Arial" w:hAnsi="Arial"/>
                <w:sz w:val="18"/>
                <w:szCs w:val="18"/>
                <w:b w:val="1"/>
                <w:bCs w:val="1"/>
                <w:color w:val="0000FF"/>
                <w:w w:val="90"/>
              </w:rPr>
            </w:pPr>
            <w:hyperlink w:anchor="page86">
              <w:r>
                <w:rPr>
                  <w:rFonts w:ascii="Arial" w:cs="Arial" w:eastAsia="Arial" w:hAnsi="Arial"/>
                  <w:sz w:val="18"/>
                  <w:szCs w:val="18"/>
                  <w:b w:val="1"/>
                  <w:bCs w:val="1"/>
                  <w:color w:val="0000FF"/>
                  <w:w w:val="90"/>
                </w:rPr>
                <w:t>Directors, Executive Officers and Corporate Governance</w:t>
              </w:r>
            </w:hyperlink>
          </w:p>
        </w:tc>
        <w:tc>
          <w:tcPr>
            <w:tcW w:w="3960" w:type="dxa"/>
            <w:vAlign w:val="bottom"/>
            <w:gridSpan w:val="8"/>
          </w:tcPr>
          <w:p>
            <w:pPr>
              <w:spacing w:after="0"/>
              <w:rPr>
                <w:sz w:val="22"/>
                <w:szCs w:val="22"/>
                <w:color w:val="auto"/>
              </w:rPr>
            </w:pPr>
          </w:p>
        </w:tc>
        <w:tc>
          <w:tcPr>
            <w:tcW w:w="1440" w:type="dxa"/>
            <w:vAlign w:val="bottom"/>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11.</w:t>
            </w:r>
          </w:p>
        </w:tc>
        <w:tc>
          <w:tcPr>
            <w:tcW w:w="8340" w:type="dxa"/>
            <w:vAlign w:val="bottom"/>
            <w:gridSpan w:val="24"/>
          </w:tcPr>
          <w:p>
            <w:pPr>
              <w:spacing w:after="0"/>
              <w:rPr>
                <w:rFonts w:ascii="Arial" w:cs="Arial" w:eastAsia="Arial" w:hAnsi="Arial"/>
                <w:sz w:val="18"/>
                <w:szCs w:val="18"/>
                <w:b w:val="1"/>
                <w:bCs w:val="1"/>
                <w:color w:val="0000FF"/>
              </w:rPr>
            </w:pPr>
            <w:hyperlink w:anchor="page86">
              <w:r>
                <w:rPr>
                  <w:rFonts w:ascii="Arial" w:cs="Arial" w:eastAsia="Arial" w:hAnsi="Arial"/>
                  <w:sz w:val="18"/>
                  <w:szCs w:val="18"/>
                  <w:b w:val="1"/>
                  <w:bCs w:val="1"/>
                  <w:color w:val="0000FF"/>
                </w:rPr>
                <w:t>Executive Compensation</w:t>
              </w:r>
            </w:hyperlink>
          </w:p>
        </w:tc>
        <w:tc>
          <w:tcPr>
            <w:tcW w:w="1440" w:type="dxa"/>
            <w:vAlign w:val="bottom"/>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12.</w:t>
            </w:r>
          </w:p>
        </w:tc>
        <w:tc>
          <w:tcPr>
            <w:tcW w:w="8340" w:type="dxa"/>
            <w:vAlign w:val="bottom"/>
            <w:gridSpan w:val="24"/>
          </w:tcPr>
          <w:p>
            <w:pPr>
              <w:spacing w:after="0"/>
              <w:rPr>
                <w:rFonts w:ascii="Arial" w:cs="Arial" w:eastAsia="Arial" w:hAnsi="Arial"/>
                <w:sz w:val="18"/>
                <w:szCs w:val="18"/>
                <w:b w:val="1"/>
                <w:bCs w:val="1"/>
                <w:color w:val="0000FF"/>
                <w:w w:val="97"/>
              </w:rPr>
            </w:pPr>
            <w:hyperlink w:anchor="page86">
              <w:r>
                <w:rPr>
                  <w:rFonts w:ascii="Arial" w:cs="Arial" w:eastAsia="Arial" w:hAnsi="Arial"/>
                  <w:sz w:val="18"/>
                  <w:szCs w:val="18"/>
                  <w:b w:val="1"/>
                  <w:bCs w:val="1"/>
                  <w:color w:val="0000FF"/>
                  <w:w w:val="97"/>
                </w:rPr>
                <w:t>Security Ownership of Certain Beneficial Owners and Management and Related Shareholder Matters</w:t>
              </w:r>
            </w:hyperlink>
          </w:p>
        </w:tc>
        <w:tc>
          <w:tcPr>
            <w:tcW w:w="1440" w:type="dxa"/>
            <w:vAlign w:val="bottom"/>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13.</w:t>
            </w:r>
          </w:p>
        </w:tc>
        <w:tc>
          <w:tcPr>
            <w:tcW w:w="7820" w:type="dxa"/>
            <w:vAlign w:val="bottom"/>
            <w:tcBorders>
              <w:top w:val="single" w:sz="8" w:color="0000FF"/>
            </w:tcBorders>
            <w:gridSpan w:val="22"/>
          </w:tcPr>
          <w:p>
            <w:pPr>
              <w:spacing w:after="0"/>
              <w:rPr>
                <w:rFonts w:ascii="Arial" w:cs="Arial" w:eastAsia="Arial" w:hAnsi="Arial"/>
                <w:sz w:val="18"/>
                <w:szCs w:val="18"/>
                <w:b w:val="1"/>
                <w:bCs w:val="1"/>
                <w:color w:val="0000FF"/>
              </w:rPr>
            </w:pPr>
            <w:hyperlink w:anchor="page86">
              <w:r>
                <w:rPr>
                  <w:rFonts w:ascii="Arial" w:cs="Arial" w:eastAsia="Arial" w:hAnsi="Arial"/>
                  <w:sz w:val="18"/>
                  <w:szCs w:val="18"/>
                  <w:b w:val="1"/>
                  <w:bCs w:val="1"/>
                  <w:color w:val="0000FF"/>
                </w:rPr>
                <w:t>Certain Relationships, Related Transactions and Director Independence</w:t>
              </w:r>
            </w:hyperlink>
          </w:p>
        </w:tc>
        <w:tc>
          <w:tcPr>
            <w:tcW w:w="520" w:type="dxa"/>
            <w:vAlign w:val="bottom"/>
            <w:gridSpan w:val="2"/>
          </w:tcPr>
          <w:p>
            <w:pPr>
              <w:spacing w:after="0"/>
              <w:rPr>
                <w:sz w:val="22"/>
                <w:szCs w:val="22"/>
                <w:color w:val="auto"/>
              </w:rPr>
            </w:pPr>
          </w:p>
        </w:tc>
        <w:tc>
          <w:tcPr>
            <w:tcW w:w="1440" w:type="dxa"/>
            <w:vAlign w:val="bottom"/>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14.</w:t>
            </w:r>
          </w:p>
        </w:tc>
        <w:tc>
          <w:tcPr>
            <w:tcW w:w="5520" w:type="dxa"/>
            <w:vAlign w:val="bottom"/>
            <w:tcBorders>
              <w:top w:val="single" w:sz="8" w:color="0000FF"/>
            </w:tcBorders>
            <w:gridSpan w:val="19"/>
          </w:tcPr>
          <w:p>
            <w:pPr>
              <w:spacing w:after="0"/>
              <w:rPr>
                <w:rFonts w:ascii="Arial" w:cs="Arial" w:eastAsia="Arial" w:hAnsi="Arial"/>
                <w:sz w:val="18"/>
                <w:szCs w:val="18"/>
                <w:b w:val="1"/>
                <w:bCs w:val="1"/>
                <w:color w:val="0000FF"/>
              </w:rPr>
            </w:pPr>
            <w:hyperlink w:anchor="page86">
              <w:r>
                <w:rPr>
                  <w:rFonts w:ascii="Arial" w:cs="Arial" w:eastAsia="Arial" w:hAnsi="Arial"/>
                  <w:sz w:val="18"/>
                  <w:szCs w:val="18"/>
                  <w:b w:val="1"/>
                  <w:bCs w:val="1"/>
                  <w:color w:val="0000FF"/>
                </w:rPr>
                <w:t>Principal Accountant Fees and Services</w:t>
              </w:r>
            </w:hyperlink>
          </w:p>
        </w:tc>
        <w:tc>
          <w:tcPr>
            <w:tcW w:w="2820" w:type="dxa"/>
            <w:vAlign w:val="bottom"/>
            <w:gridSpan w:val="5"/>
          </w:tcPr>
          <w:p>
            <w:pPr>
              <w:spacing w:after="0"/>
              <w:rPr>
                <w:sz w:val="22"/>
                <w:szCs w:val="22"/>
                <w:color w:val="auto"/>
              </w:rPr>
            </w:pPr>
          </w:p>
        </w:tc>
        <w:tc>
          <w:tcPr>
            <w:tcW w:w="1440" w:type="dxa"/>
            <w:vAlign w:val="bottom"/>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rFonts w:ascii="Arial" w:cs="Arial" w:eastAsia="Arial" w:hAnsi="Arial"/>
                <w:sz w:val="18"/>
                <w:szCs w:val="18"/>
                <w:b w:val="1"/>
                <w:bCs w:val="1"/>
                <w:color w:val="0000FF"/>
                <w:w w:val="94"/>
              </w:rPr>
            </w:pPr>
            <w:hyperlink w:anchor="page86">
              <w:r>
                <w:rPr>
                  <w:rFonts w:ascii="Arial" w:cs="Arial" w:eastAsia="Arial" w:hAnsi="Arial"/>
                  <w:sz w:val="18"/>
                  <w:szCs w:val="18"/>
                  <w:b w:val="1"/>
                  <w:bCs w:val="1"/>
                  <w:color w:val="0000FF"/>
                  <w:w w:val="94"/>
                </w:rPr>
                <w:t>PART IV.</w:t>
              </w:r>
            </w:hyperlink>
          </w:p>
        </w:tc>
        <w:tc>
          <w:tcPr>
            <w:tcW w:w="680" w:type="dxa"/>
            <w:vAlign w:val="bottom"/>
            <w:gridSpan w:val="3"/>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15.</w:t>
            </w:r>
          </w:p>
        </w:tc>
        <w:tc>
          <w:tcPr>
            <w:tcW w:w="3380" w:type="dxa"/>
            <w:vAlign w:val="bottom"/>
            <w:tcBorders>
              <w:bottom w:val="single" w:sz="8" w:color="0000FF"/>
            </w:tcBorders>
            <w:gridSpan w:val="14"/>
          </w:tcPr>
          <w:p>
            <w:pPr>
              <w:spacing w:after="0"/>
              <w:rPr>
                <w:rFonts w:ascii="Arial" w:cs="Arial" w:eastAsia="Arial" w:hAnsi="Arial"/>
                <w:sz w:val="18"/>
                <w:szCs w:val="18"/>
                <w:b w:val="1"/>
                <w:bCs w:val="1"/>
                <w:color w:val="0000FF"/>
                <w:w w:val="89"/>
              </w:rPr>
            </w:pPr>
            <w:hyperlink w:anchor="page86">
              <w:r>
                <w:rPr>
                  <w:rFonts w:ascii="Arial" w:cs="Arial" w:eastAsia="Arial" w:hAnsi="Arial"/>
                  <w:sz w:val="18"/>
                  <w:szCs w:val="18"/>
                  <w:b w:val="1"/>
                  <w:bCs w:val="1"/>
                  <w:color w:val="0000FF"/>
                  <w:w w:val="89"/>
                </w:rPr>
                <w:t>Exhibits and Financial Statement Schedules</w:t>
              </w:r>
            </w:hyperlink>
          </w:p>
        </w:tc>
        <w:tc>
          <w:tcPr>
            <w:tcW w:w="4960" w:type="dxa"/>
            <w:vAlign w:val="bottom"/>
            <w:gridSpan w:val="10"/>
          </w:tcPr>
          <w:p>
            <w:pPr>
              <w:spacing w:after="0"/>
              <w:rPr>
                <w:sz w:val="22"/>
                <w:szCs w:val="22"/>
                <w:color w:val="auto"/>
              </w:rPr>
            </w:pPr>
          </w:p>
        </w:tc>
        <w:tc>
          <w:tcPr>
            <w:tcW w:w="1440" w:type="dxa"/>
            <w:vAlign w:val="bottom"/>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16.</w:t>
            </w:r>
          </w:p>
        </w:tc>
        <w:tc>
          <w:tcPr>
            <w:tcW w:w="8340" w:type="dxa"/>
            <w:vAlign w:val="bottom"/>
            <w:gridSpan w:val="24"/>
          </w:tcPr>
          <w:p>
            <w:pPr>
              <w:spacing w:after="0"/>
              <w:rPr>
                <w:rFonts w:ascii="Arial" w:cs="Arial" w:eastAsia="Arial" w:hAnsi="Arial"/>
                <w:sz w:val="18"/>
                <w:szCs w:val="18"/>
                <w:b w:val="1"/>
                <w:bCs w:val="1"/>
                <w:color w:val="0000FF"/>
              </w:rPr>
            </w:pPr>
            <w:hyperlink w:anchor="page90">
              <w:r>
                <w:rPr>
                  <w:rFonts w:ascii="Arial" w:cs="Arial" w:eastAsia="Arial" w:hAnsi="Arial"/>
                  <w:sz w:val="18"/>
                  <w:szCs w:val="18"/>
                  <w:b w:val="1"/>
                  <w:bCs w:val="1"/>
                  <w:color w:val="0000FF"/>
                </w:rPr>
                <w:t>Form 10-K Summary</w:t>
              </w:r>
            </w:hyperlink>
          </w:p>
        </w:tc>
        <w:tc>
          <w:tcPr>
            <w:tcW w:w="1440" w:type="dxa"/>
            <w:vAlign w:val="bottom"/>
          </w:tcPr>
          <w:p>
            <w:pPr>
              <w:jc w:val="right"/>
              <w:spacing w:after="0"/>
              <w:rPr>
                <w:rFonts w:ascii="Arial" w:cs="Arial" w:eastAsia="Arial" w:hAnsi="Arial"/>
                <w:sz w:val="18"/>
                <w:szCs w:val="18"/>
                <w:color w:val="0000FF"/>
              </w:rPr>
            </w:pPr>
            <w:hyperlink w:anchor="page90">
              <w:r>
                <w:rPr>
                  <w:rFonts w:ascii="Arial" w:cs="Arial" w:eastAsia="Arial" w:hAnsi="Arial"/>
                  <w:sz w:val="18"/>
                  <w:szCs w:val="18"/>
                  <w:color w:val="0000FF"/>
                </w:rPr>
                <w:t>91</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rFonts w:ascii="Arial" w:cs="Arial" w:eastAsia="Arial" w:hAnsi="Arial"/>
                <w:sz w:val="18"/>
                <w:szCs w:val="18"/>
                <w:b w:val="1"/>
                <w:bCs w:val="1"/>
                <w:color w:val="0000FF"/>
              </w:rPr>
            </w:pPr>
            <w:hyperlink w:anchor="page91">
              <w:r>
                <w:rPr>
                  <w:rFonts w:ascii="Arial" w:cs="Arial" w:eastAsia="Arial" w:hAnsi="Arial"/>
                  <w:sz w:val="18"/>
                  <w:szCs w:val="18"/>
                  <w:b w:val="1"/>
                  <w:bCs w:val="1"/>
                  <w:color w:val="0000FF"/>
                </w:rPr>
                <w:t>Signatures</w:t>
              </w:r>
            </w:hyperlink>
          </w:p>
        </w:tc>
        <w:tc>
          <w:tcPr>
            <w:tcW w:w="6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spacing w:after="0"/>
              <w:rPr>
                <w:rFonts w:ascii="Arial" w:cs="Arial" w:eastAsia="Arial" w:hAnsi="Arial"/>
                <w:sz w:val="18"/>
                <w:szCs w:val="18"/>
                <w:color w:val="0000FF"/>
              </w:rPr>
            </w:pPr>
            <w:hyperlink w:anchor="page91">
              <w:r>
                <w:rPr>
                  <w:rFonts w:ascii="Arial" w:cs="Arial" w:eastAsia="Arial" w:hAnsi="Arial"/>
                  <w:sz w:val="18"/>
                  <w:szCs w:val="18"/>
                  <w:color w:val="0000FF"/>
                </w:rPr>
                <w:t>92</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4380" w:type="dxa"/>
            <w:vAlign w:val="bottom"/>
            <w:gridSpan w:val="16"/>
          </w:tcPr>
          <w:p>
            <w:pPr>
              <w:jc w:val="center"/>
              <w:ind w:left="3890"/>
              <w:spacing w:after="0"/>
              <w:rPr>
                <w:sz w:val="20"/>
                <w:szCs w:val="20"/>
                <w:color w:val="auto"/>
              </w:rPr>
            </w:pPr>
            <w:r>
              <w:rPr>
                <w:rFonts w:ascii="Arial" w:cs="Arial" w:eastAsia="Arial" w:hAnsi="Arial"/>
                <w:sz w:val="18"/>
                <w:szCs w:val="18"/>
                <w:color w:val="auto"/>
                <w:w w:val="79"/>
              </w:rPr>
              <w:t>2</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Further information about CME Group and its products can be found at </w:t>
      </w:r>
      <w:r>
        <w:rPr>
          <w:rFonts w:ascii="Arial" w:cs="Arial" w:eastAsia="Arial" w:hAnsi="Arial"/>
          <w:sz w:val="18"/>
          <w:szCs w:val="18"/>
          <w:i w:val="1"/>
          <w:iCs w:val="1"/>
          <w:color w:val="auto"/>
        </w:rPr>
        <w:t>http://www.cmegroup.com</w:t>
      </w:r>
      <w:r>
        <w:rPr>
          <w:rFonts w:ascii="Arial" w:cs="Arial" w:eastAsia="Arial" w:hAnsi="Arial"/>
          <w:sz w:val="18"/>
          <w:szCs w:val="18"/>
          <w:color w:val="auto"/>
        </w:rPr>
        <w:t>. Information made available on our website does not constitute a part of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amounts regarding contract volume and average rate per contract are for CME Group's listed futures and options on futures contracts unless otherwise noted.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NEX, BrokerTec and EBS are trademarks of various entities of NEX Group Limited (NEX).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("CME"). All other trademarks are the property of their respective owners.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57" w:lineRule="exact"/>
        <w:rPr>
          <w:sz w:val="20"/>
          <w:szCs w:val="20"/>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62"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75"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existing customers at substantially similar trading levels, develop strategic relationships and attract new customers;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globally offer our products and services;</w:t>
      </w:r>
    </w:p>
    <w:p>
      <w:pPr>
        <w:spacing w:after="0" w:line="117" w:lineRule="exact"/>
        <w:rPr>
          <w:rFonts w:ascii="Arial" w:cs="Arial" w:eastAsia="Arial" w:hAnsi="Arial"/>
          <w:sz w:val="18"/>
          <w:szCs w:val="18"/>
          <w:color w:val="auto"/>
        </w:rPr>
      </w:pPr>
    </w:p>
    <w:p>
      <w:pPr>
        <w:ind w:left="660" w:right="46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w:t>
      </w:r>
    </w:p>
    <w:p>
      <w:pPr>
        <w:spacing w:after="0" w:line="15" w:lineRule="exact"/>
        <w:rPr>
          <w:rFonts w:ascii="Arial" w:cs="Arial" w:eastAsia="Arial" w:hAnsi="Arial"/>
          <w:sz w:val="16"/>
          <w:szCs w:val="16"/>
          <w:color w:val="auto"/>
        </w:rPr>
      </w:pPr>
    </w:p>
    <w:p>
      <w:pPr>
        <w:ind w:left="660" w:right="6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 or changes to regulations in various jurisdictions;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10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5" w:lineRule="exact"/>
        <w:rPr>
          <w:rFonts w:ascii="Arial" w:cs="Arial" w:eastAsia="Arial" w:hAnsi="Arial"/>
          <w:sz w:val="16"/>
          <w:szCs w:val="16"/>
          <w:color w:val="auto"/>
        </w:rPr>
      </w:pPr>
    </w:p>
    <w:p>
      <w:pPr>
        <w:ind w:left="660" w:right="44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credit and liquidity risk management practices to adequately protect us from the credit risks of clearing members and other counterparties, and to satisfy the margin and liquidity requirements associated with the BrokerTec matched principal business;</w:t>
      </w:r>
    </w:p>
    <w:p>
      <w:pPr>
        <w:spacing w:after="0" w:line="38" w:lineRule="exact"/>
        <w:rPr>
          <w:rFonts w:ascii="Arial" w:cs="Arial" w:eastAsia="Arial" w:hAnsi="Arial"/>
          <w:sz w:val="17"/>
          <w:szCs w:val="17"/>
          <w:color w:val="auto"/>
        </w:rPr>
      </w:pPr>
    </w:p>
    <w:p>
      <w:pPr>
        <w:ind w:left="660" w:right="16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programs to effectively monitor and manage our risks, including our ability to prevent errors and misconduct and protect our infrastructure against security breaches and misappropriation of our intellectual property assets;</w:t>
      </w:r>
    </w:p>
    <w:p>
      <w:pPr>
        <w:spacing w:after="0" w:line="38" w:lineRule="exact"/>
        <w:rPr>
          <w:rFonts w:ascii="Arial" w:cs="Arial" w:eastAsia="Arial" w:hAnsi="Arial"/>
          <w:sz w:val="17"/>
          <w:szCs w:val="17"/>
          <w:color w:val="auto"/>
        </w:rPr>
      </w:pPr>
    </w:p>
    <w:p>
      <w:pPr>
        <w:ind w:left="660" w:right="4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third-party providers and exposure to risk through third parties, including risks related to the performance, reliability and security of technology used by our third-party providers;</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commodity, equity and fixed income prices, and price volatility of financial benchmarks and instruments such as interest rates, credit spreads, equity indices, fixed income instruments and foreign exchange rates;</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political and market conditions, including the volatility of the capital and credit markets and the impact of economic conditions on the trading activity of our current and potential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and response by governments and other third parties;</w:t>
      </w:r>
    </w:p>
    <w:p>
      <w:pPr>
        <w:spacing w:after="0" w:line="117"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control the costs and achieve the synergies associated with our strategy for acquisitions, investments and alliances, including those associated with our joint venture with IHS Markit and our partnership with Google Cloud;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transition from LIBOR;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imposition of a transaction tax or user fee on futures and options transactions and/or repeal of the 60/40 tax treatment of such transactions;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brand and reputation;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17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a detailed discussion of these and other factors that might affect our performance, see Item 1A. of this Report beginning on page </w:t>
      </w:r>
      <w:hyperlink w:anchor="page15">
        <w:r>
          <w:rPr>
            <w:rFonts w:ascii="Arial" w:cs="Arial" w:eastAsia="Arial" w:hAnsi="Arial"/>
            <w:sz w:val="18"/>
            <w:szCs w:val="18"/>
            <w:color w:val="auto"/>
          </w:rPr>
          <w:t>15.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CME Group provides market participants worldwide the ability to efficiently manage risk within and across multiple asset classes, by trading futures, options, cash and over-the-counter (OTC) products. CME Group provides primary price discovery and referential pricing information through its market data in a variety of formats, including real time, historical and derived data for customers in both listed and cash products. CME Group also offers industry-leading research and analytics tools to provide customers with market education resources.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CME was founded in 1898 as a not-for-profit corporation. It established CME Clearing in 1919, which is operated as part of CME. CME demutualized in</w:t>
      </w:r>
    </w:p>
    <w:p>
      <w:pPr>
        <w:spacing w:after="0" w:line="7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2000, and in 2002 its parent company, CME Group, completed an initial public offering of its Class A common stock (Nasdaq: CME). CME Group subsequently acquired CBOT Holdings, Inc. in 2007, NYMEX Holdings, Inc. (NYMEX and COMEX) in 2008, the Kansas City Board of Trade in 2012 and NEX Group plc (NEX) in 2018. The combination with NEX expanded our global customer base and product offerings through the complementary combination of CME Group’s exchange-traded derivative products and NEX’s cash and OTC products. It also created a leading, client-centric, global markets company, generating capital efficiencies across futures, cash and OTC products for market participants seeking to lower their cost of trading and better manage risk. Our principal executive offices are located at 20 South Wacker Drive, Chicago, Illinois 60606, our telephone number is 312-930-1000 and our website is </w:t>
      </w:r>
      <w:r>
        <w:rPr>
          <w:rFonts w:ascii="Arial" w:cs="Arial" w:eastAsia="Arial" w:hAnsi="Arial"/>
          <w:sz w:val="18"/>
          <w:szCs w:val="18"/>
          <w:i w:val="1"/>
          <w:iCs w:val="1"/>
          <w:color w:val="auto"/>
        </w:rPr>
        <w:t>cmegroup.com</w:t>
      </w:r>
      <w:r>
        <w:rPr>
          <w:rFonts w:ascii="Arial" w:cs="Arial" w:eastAsia="Arial" w:hAnsi="Arial"/>
          <w:sz w:val="18"/>
          <w:szCs w:val="18"/>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CME Group exchanges offer the widest range of global benchmark products across interest rates, equity indexes, foreign exchange (FX), agricultural commodities, energy and metals. We also offer cash and repo fixed income trading via BrokerTec, and cash and OTC FX trading via EBS.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operate one of the world’s leading central counterparty clearing providers, CME Clearing, operated by CME.</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i w:val="1"/>
          <w:iCs w:val="1"/>
          <w:color w:val="auto"/>
        </w:rPr>
        <w:t xml:space="preserve">Derivatives Exchange Business: </w:t>
      </w:r>
      <w:r>
        <w:rPr>
          <w:rFonts w:ascii="Arial" w:cs="Arial" w:eastAsia="Arial" w:hAnsi="Arial"/>
          <w:sz w:val="16"/>
          <w:szCs w:val="16"/>
          <w:color w:val="auto"/>
        </w:rPr>
        <w:t>Through our derivatives exchanges and clearing house, we believe our customers prefer CME Group's diversity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products, liquidity, price transparency and technological capabilities. Market liquidity </w:t>
      </w:r>
      <w:r>
        <w:rPr>
          <w:rFonts w:ascii="Arial" w:cs="Arial" w:eastAsia="Arial" w:hAnsi="Arial"/>
          <w:sz w:val="19"/>
          <w:szCs w:val="19"/>
          <w:b w:val="1"/>
          <w:bCs w:val="1"/>
          <w:color w:val="auto"/>
        </w:rPr>
        <w:t>-</w:t>
      </w:r>
      <w:r>
        <w:rPr>
          <w:rFonts w:ascii="Arial" w:cs="Arial" w:eastAsia="Arial" w:hAnsi="Arial"/>
          <w:sz w:val="16"/>
          <w:szCs w:val="16"/>
          <w:color w:val="auto"/>
        </w:rPr>
        <w:t xml:space="preserve"> or the ability of a market to absorb the execution of large purchases</w:t>
      </w:r>
    </w:p>
    <w:p>
      <w:pPr>
        <w:jc w:val="both"/>
        <w:ind w:right="400"/>
        <w:spacing w:after="0" w:line="272" w:lineRule="auto"/>
        <w:rPr>
          <w:sz w:val="20"/>
          <w:szCs w:val="20"/>
          <w:color w:val="auto"/>
        </w:rPr>
      </w:pPr>
      <w:r>
        <w:rPr>
          <w:rFonts w:ascii="Arial" w:cs="Arial" w:eastAsia="Arial" w:hAnsi="Arial"/>
          <w:sz w:val="17"/>
          <w:szCs w:val="17"/>
          <w:color w:val="auto"/>
        </w:rPr>
        <w:t xml:space="preserve">or sales quickly and efficiently </w:t>
      </w:r>
      <w:r>
        <w:rPr>
          <w:rFonts w:ascii="Arial" w:cs="Arial" w:eastAsia="Arial" w:hAnsi="Arial"/>
          <w:sz w:val="20"/>
          <w:szCs w:val="20"/>
          <w:b w:val="1"/>
          <w:bCs w:val="1"/>
          <w:color w:val="auto"/>
        </w:rPr>
        <w:t>-</w:t>
      </w:r>
      <w:r>
        <w:rPr>
          <w:rFonts w:ascii="Arial" w:cs="Arial" w:eastAsia="Arial" w:hAnsi="Arial"/>
          <w:sz w:val="17"/>
          <w:szCs w:val="17"/>
          <w:color w:val="auto"/>
        </w:rPr>
        <w:t xml:space="preserve"> is key to attracting and retaining customers and contributing to a market's success. Our products provide a means for hedging, speculation and asset allocation related to the risks associated with, among other things, interest rate sensitive instruments, equity ownership, changes in the value of foreign currency and changes in the prices of agricultural, energy and metal commodities.</w:t>
      </w:r>
    </w:p>
    <w:p>
      <w:pPr>
        <w:spacing w:after="0" w:line="109" w:lineRule="exact"/>
        <w:rPr>
          <w:sz w:val="20"/>
          <w:szCs w:val="20"/>
          <w:color w:val="auto"/>
        </w:rPr>
      </w:pPr>
    </w:p>
    <w:p>
      <w:pPr>
        <w:ind w:left="660" w:right="140" w:hanging="328"/>
        <w:spacing w:after="0" w:line="281" w:lineRule="auto"/>
        <w:tabs>
          <w:tab w:leader="none" w:pos="655" w:val="left"/>
        </w:tabs>
        <w:numPr>
          <w:ilvl w:val="0"/>
          <w:numId w:val="5"/>
        </w:numPr>
        <w:rPr>
          <w:rFonts w:ascii="Arial" w:cs="Arial" w:eastAsia="Arial" w:hAnsi="Arial"/>
          <w:sz w:val="19"/>
          <w:szCs w:val="19"/>
          <w:color w:val="auto"/>
        </w:rPr>
      </w:pPr>
      <w:r>
        <w:rPr>
          <w:rFonts w:ascii="Arial" w:cs="Arial" w:eastAsia="Arial" w:hAnsi="Arial"/>
          <w:sz w:val="16"/>
          <w:szCs w:val="16"/>
          <w:b w:val="1"/>
          <w:bCs w:val="1"/>
          <w:i w:val="1"/>
          <w:iCs w:val="1"/>
          <w:color w:val="auto"/>
        </w:rPr>
        <w:t xml:space="preserve">CME's </w:t>
      </w:r>
      <w:r>
        <w:rPr>
          <w:rFonts w:ascii="Arial" w:cs="Arial" w:eastAsia="Arial" w:hAnsi="Arial"/>
          <w:sz w:val="16"/>
          <w:szCs w:val="16"/>
          <w:color w:val="auto"/>
        </w:rPr>
        <w:t>product slate includes agricultural, equities, FX, cryptocurrencies/alternative investments and interest rate products, including Eurodollar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futures and options, Secured Overnight Financing Rate (SOFR) futures and options, Bloomberg Short-Term Bank Yield (BSBY), livestock and</w:t>
      </w:r>
    </w:p>
    <w:p>
      <w:pPr>
        <w:spacing w:after="0" w:line="1" w:lineRule="exact"/>
        <w:rPr>
          <w:rFonts w:ascii="Arial" w:cs="Arial" w:eastAsia="Arial" w:hAnsi="Arial"/>
          <w:sz w:val="19"/>
          <w:szCs w:val="19"/>
          <w:color w:val="auto"/>
        </w:rPr>
      </w:pPr>
    </w:p>
    <w:p>
      <w:pPr>
        <w:ind w:left="660" w:right="20"/>
        <w:spacing w:after="0" w:line="262" w:lineRule="auto"/>
        <w:rPr>
          <w:rFonts w:ascii="Arial" w:cs="Arial" w:eastAsia="Arial" w:hAnsi="Arial"/>
          <w:sz w:val="19"/>
          <w:szCs w:val="19"/>
          <w:color w:val="auto"/>
        </w:rPr>
      </w:pPr>
      <w:r>
        <w:rPr>
          <w:rFonts w:ascii="Arial" w:cs="Arial" w:eastAsia="Arial" w:hAnsi="Arial"/>
          <w:sz w:val="18"/>
          <w:szCs w:val="18"/>
          <w:color w:val="auto"/>
        </w:rPr>
        <w:t>cash-settled contracts based on the S&amp;P 500, including the E-mini S&amp;P 500 ESG (Environmental, Social and Governance) contract, Micro E-mini Equity Index contracts, Nasdaq-100, FTSE Russell and Bitcoin and Ether Reference Rate.</w:t>
      </w:r>
    </w:p>
    <w:p>
      <w:pPr>
        <w:spacing w:after="0" w:line="20" w:lineRule="exact"/>
        <w:rPr>
          <w:rFonts w:ascii="Arial" w:cs="Arial" w:eastAsia="Arial" w:hAnsi="Arial"/>
          <w:sz w:val="19"/>
          <w:szCs w:val="19"/>
          <w:color w:val="auto"/>
        </w:rPr>
      </w:pPr>
    </w:p>
    <w:p>
      <w:pPr>
        <w:ind w:left="660" w:right="32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CBOT's </w:t>
      </w:r>
      <w:r>
        <w:rPr>
          <w:rFonts w:ascii="Arial" w:cs="Arial" w:eastAsia="Arial" w:hAnsi="Arial"/>
          <w:sz w:val="18"/>
          <w:szCs w:val="18"/>
          <w:color w:val="auto"/>
        </w:rPr>
        <w:t>product slate consists of agricultural, equities and interest rate products, including contracts for United States (U.S.) Treasury futures,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soybean, corn, wheat and contracts based on the Dow Jones Industrial Index.</w:t>
      </w:r>
    </w:p>
    <w:p>
      <w:pPr>
        <w:spacing w:after="0" w:line="27" w:lineRule="exact"/>
        <w:rPr>
          <w:rFonts w:ascii="Arial" w:cs="Arial" w:eastAsia="Arial" w:hAnsi="Arial"/>
          <w:sz w:val="22"/>
          <w:szCs w:val="22"/>
          <w:color w:val="auto"/>
        </w:rPr>
      </w:pPr>
    </w:p>
    <w:p>
      <w:pPr>
        <w:ind w:left="660" w:right="14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NYMEX's </w:t>
      </w:r>
      <w:r>
        <w:rPr>
          <w:rFonts w:ascii="Arial" w:cs="Arial" w:eastAsia="Arial" w:hAnsi="Arial"/>
          <w:sz w:val="18"/>
          <w:szCs w:val="18"/>
          <w:color w:val="auto"/>
        </w:rPr>
        <w:t>product slate consists of energy and metals products, including contracts for crude oil, natural gas, heating oil, gasoline and emissions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(GEO and NGO).</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COMEX's </w:t>
      </w:r>
      <w:r>
        <w:rPr>
          <w:rFonts w:ascii="Arial" w:cs="Arial" w:eastAsia="Arial" w:hAnsi="Arial"/>
          <w:sz w:val="18"/>
          <w:szCs w:val="18"/>
          <w:color w:val="auto"/>
        </w:rPr>
        <w:t>product slate consists of metals products, including contracts for gold, silver, copper and other base metals.</w:t>
      </w:r>
    </w:p>
    <w:p>
      <w:pPr>
        <w:spacing w:after="0" w:line="9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believe the breadth and diversity of our products and services lines are beneficial to our customers and CME Group's overall performance. Our asset classes contain products designed to address differing risk management needs, and customers are able to manage risks and achieve operational and capital efficiencies by accessing our diverse products through our platforms and our clearing house.</w:t>
      </w:r>
    </w:p>
    <w:p>
      <w:pPr>
        <w:spacing w:after="0" w:line="5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CME Group products are traded primarily through CME Globex, as well as by open outcry in Chicago for Eurodollar options and SOFR options and through privately negotiated transactions. Due to the COVID-19 pandemic, in March 2020 we closed our open outcry trading floor and reopened it in August 2020 for Eurodollar options. In May 2021, we announced our decision to permanently close the trading floor outside of Eurodollar options and SOFR options.</w:t>
      </w:r>
    </w:p>
    <w:p>
      <w:pPr>
        <w:spacing w:after="0" w:line="7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strive to provide the most flexible and scalable platforms to support the operational and capacity needs of our business along with the delivery of innovative technology solutions to the marketplace. Our CME Globex electronic platform is the trading engine for our central limit order book markets and is available on a global basis nearly 24 hours a day throughout the trading week. The CME Globex platform is accessible through a wide variety of vendor-provided and custom-built trading systems that benefit from our open application programming interface approach. For electronic and privately negotiated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markets, we offer brokers and customers the CME Direct platform for arranging, executing, recording and risk-managing trades across all six major asset classes. We also provide the functionality to connect to CME Direct on a mobile device through our CME Direct Mobile application with full trading and on-the-go order management capabilities.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Together, our platforms offer:</w:t>
      </w:r>
    </w:p>
    <w:p>
      <w:pPr>
        <w:spacing w:after="0" w:line="2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certainty of execution;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extensive capabilities to facilitate complex and demanding trading;</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direct market access;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fairness, price transparency and anonymity;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convenience and efficiency;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connectivity through highly secure, resilient and low-latency network options;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access to market data; and</w:t>
      </w:r>
    </w:p>
    <w:p>
      <w:pPr>
        <w:spacing w:after="0" w:line="27" w:lineRule="exact"/>
        <w:rPr>
          <w:rFonts w:ascii="Arial" w:cs="Arial" w:eastAsia="Arial" w:hAnsi="Arial"/>
          <w:sz w:val="22"/>
          <w:szCs w:val="22"/>
          <w:color w:val="auto"/>
        </w:rPr>
      </w:pPr>
    </w:p>
    <w:p>
      <w:pPr>
        <w:ind w:left="660" w:right="20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global distribution, including connectivity through high-speed international telecommunications hubs in key financial centers or order routing to our global partner exchanges.</w:t>
      </w:r>
    </w:p>
    <w:p>
      <w:pPr>
        <w:spacing w:after="0" w:line="9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maintain comprehensive business continuity and disaster recovery plans and facilities designed to provide nearly continuous availability of our markets in the event of a business disruption or disaster. We also maintain incident and crisis management plans that address responses to disruptive events.</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customer base of our derivatives exchanges includes professional traders, financial institutions, institutional and individual investors, major corporations, manufacturers, producers, governments and central banks. Customers may be members of one or more of our exchanges. Rights to directly access our derivatives markets will depend upon the nature of the customer, such as whether the entity or individual is a member of one of our exchanges or has executed an agreement with us for direct access.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U.S. trading rights and privileges are exchange-specific. Open outcry trading is conducted exclusively by our members. Membership on one of our</w:t>
      </w:r>
    </w:p>
    <w:p>
      <w:pPr>
        <w:spacing w:after="0" w:line="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derivatives exchanges also enables a customer to trade specific products at lower fees. Under the terms of the organizational documents of our exchanges, our members have certain rights that relate primarily to trading right protections, certain trading fee protections and certain membership benefit protections. In 2021, 84% of our contract volume was from trades by our members.</w:t>
      </w:r>
    </w:p>
    <w:p>
      <w:pPr>
        <w:spacing w:after="0" w:line="7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CME Clearing Business: </w:t>
      </w:r>
      <w:r>
        <w:rPr>
          <w:rFonts w:ascii="Arial" w:cs="Arial" w:eastAsia="Arial" w:hAnsi="Arial"/>
          <w:sz w:val="16"/>
          <w:szCs w:val="16"/>
          <w:color w:val="auto"/>
        </w:rPr>
        <w:t>Through our clearing house, CME Clearing, which is operated by CME, we provide clearing and settlement services for a broad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range of exchange-traded futures and options on futures contracts and OTC derivatives. Our integrated clearing function is designed to ensure the safety and the soundness of our markets by serving as the counterparty to every trade, becoming the buyer to each seller and the seller to each buyer, and limiting counterparty credit risk. CME Clearing marks open positions to market at least twice a trading day, requiring payments from clearing firms whose positions have lost value and making payments to clearing firms whose positions have gained value. For select cleared-only markets, positions are marked-to-market daily, with the capacity to mark-to-market more frequently as market conditions warrant. The CME ClearPort front-end system provides access to our flexible clearing services for block transactions, bi-lateral trades and swaps. In 2021, we launched the derivatives industry’s first Sustainable Clearing service to help market participants track and report how their hedging activities are advancing their sustainability goals.</w:t>
      </w:r>
    </w:p>
    <w:p>
      <w:pPr>
        <w:spacing w:after="0" w:line="5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majority of clearing and transaction fees received from clearing firms represents charges for trades executed and cleared on behalf of their customers. One firm represented at least 10% of our clearing and transaction fees revenue for 2021. In the event a clearing firm were to withdraw, our experience indicates that the customer portion of the firm's trading activity would likely transfer to one or more other clearing firms of the exchange.</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Cash Markets Business: </w:t>
      </w:r>
      <w:r>
        <w:rPr>
          <w:rFonts w:ascii="Arial" w:cs="Arial" w:eastAsia="Arial" w:hAnsi="Arial"/>
          <w:sz w:val="16"/>
          <w:szCs w:val="16"/>
          <w:color w:val="auto"/>
        </w:rPr>
        <w:t>Our cash markets business is comprised of BrokerTec and EBS. Certain BrokerTec and EBS contracts are cleared at third-party</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clearing houses. BrokerTec and EBS offer anonymous and disclosed trading venues, offering clients multiple execution and distribution options and the benefit of an established and far-reaching distribution network of liquidity providers and consumers. Our BrokerTec markets were migrated from a third-party platform to our CME Globex electronic platform in the first quarter of 2021 and our EBS market is expected to migrate to the CME Globex platform in the first half of 2022.</w:t>
      </w:r>
    </w:p>
    <w:p>
      <w:pPr>
        <w:spacing w:after="0" w:line="119" w:lineRule="exact"/>
        <w:rPr>
          <w:sz w:val="20"/>
          <w:szCs w:val="20"/>
          <w:color w:val="auto"/>
        </w:rPr>
      </w:pPr>
    </w:p>
    <w:p>
      <w:pPr>
        <w:ind w:left="660" w:right="300" w:hanging="328"/>
        <w:spacing w:after="0" w:line="25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BrokerTec </w:t>
      </w:r>
      <w:r>
        <w:rPr>
          <w:rFonts w:ascii="Arial" w:cs="Arial" w:eastAsia="Arial" w:hAnsi="Arial"/>
          <w:sz w:val="18"/>
          <w:szCs w:val="18"/>
          <w:color w:val="auto"/>
        </w:rPr>
        <w:t>operates global electronic trading for fixed income products on the CME Globex platform, with a leading position in cash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Treasuries, E.U. and U.S. repo fixed income instruments and European Government Bonds. It facilitates trading principally for banks and non-bank professional trading firms.</w:t>
      </w:r>
    </w:p>
    <w:p>
      <w:pPr>
        <w:spacing w:after="0" w:line="20" w:lineRule="exact"/>
        <w:rPr>
          <w:rFonts w:ascii="Arial" w:cs="Arial" w:eastAsia="Arial" w:hAnsi="Arial"/>
          <w:sz w:val="22"/>
          <w:szCs w:val="22"/>
          <w:color w:val="auto"/>
        </w:rPr>
      </w:pPr>
    </w:p>
    <w:p>
      <w:pPr>
        <w:ind w:left="660" w:hanging="328"/>
        <w:spacing w:after="0" w:line="238"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EBS </w:t>
      </w:r>
      <w:r>
        <w:rPr>
          <w:rFonts w:ascii="Arial" w:cs="Arial" w:eastAsia="Arial" w:hAnsi="Arial"/>
          <w:sz w:val="18"/>
          <w:szCs w:val="18"/>
          <w:color w:val="auto"/>
        </w:rPr>
        <w:t>is a global electronic platform for the trading of FX products across major and emerging market currencies. EBS also offers execution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non-deliverable forwards through a Commodity Futures Trading Commission (CFTC) registered swap execution facility (SEF). EBS operates both as a Central Limit Order Book platform (EBS Market) for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spot and non-deliverable forwards currency pairs, as well as a relationship-based trading platform offering spot FX, FX forwards and FX swaps (EBS Direct).</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i w:val="1"/>
          <w:iCs w:val="1"/>
          <w:color w:val="auto"/>
        </w:rPr>
        <w:t xml:space="preserve">Market Data Business: </w:t>
      </w:r>
      <w:r>
        <w:rPr>
          <w:rFonts w:ascii="Arial" w:cs="Arial" w:eastAsia="Arial" w:hAnsi="Arial"/>
          <w:sz w:val="16"/>
          <w:szCs w:val="16"/>
          <w:color w:val="auto"/>
        </w:rPr>
        <w:t>We offer a variety of market data services through industry-leading market data platforms and third-party distribution partners,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are designed to meet the risk-management, trading, investment and business needs of our global client base. As such, we provide proprietary real-time and historical market data related to CME Group’s vibrant and deeply liquid exchanges and cash markets businesses. We further offer derived cash markets pricing, third-party and alternative data sets, as well as a wide range of analytic tools. As customers continue to leverage cloud technology to improve and evolve their businesses, CME Group has taken a leading role by becoming the first derivatives marketplace to provide live market data natively in the cloud with the launch of our cloud connect capabilities on Google Cloud Platform. CME Group is also the distributor of leading benchmark equity and commodity indices on behalf of third parties as well as our own proprietary benchmarks and indices.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Initiatives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strategic initiatives:</w:t>
      </w:r>
    </w:p>
    <w:p>
      <w:pPr>
        <w:spacing w:after="0" w:line="113"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i w:val="1"/>
          <w:iCs w:val="1"/>
          <w:color w:val="auto"/>
        </w:rPr>
        <w:t xml:space="preserve">Maximize Futures and Options Growth Globally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continue to focus on driving growth and new customer acquisition by expanding, innovating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scaling our core offerings, and increasing participation from non-U.S. customers. We do this by expanding our global sales team, cross-selling our products, expanding the strength of our existing benchmark products, launching new products and services and deepening open interest in our core futures and</w:t>
      </w:r>
    </w:p>
    <w:p>
      <w:pPr>
        <w:ind w:right="420"/>
        <w:spacing w:after="0" w:line="277" w:lineRule="auto"/>
        <w:rPr>
          <w:sz w:val="20"/>
          <w:szCs w:val="20"/>
          <w:color w:val="auto"/>
        </w:rPr>
      </w:pPr>
      <w:r>
        <w:rPr>
          <w:rFonts w:ascii="Arial" w:cs="Arial" w:eastAsia="Arial" w:hAnsi="Arial"/>
          <w:sz w:val="18"/>
          <w:szCs w:val="18"/>
          <w:color w:val="auto"/>
        </w:rPr>
        <w:t>options offerings. We have further focused on building upon cloud-based data distribution capabilities as a more flexible and potentially cost-effective means of providing data to our clients.</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2021, CME Group futures and options had an average daily volume of 19.6 million contracts, with a volume record in our equity asset class for the sixth consecutive year. It was also a year of volume records for multiple products, including Ultra 10 Year futures, SOFR futures, Bitcoin futures, Micro E-Mini Equity Index futures and a record number of contracts executed via Basis Trade at Index Close. We set records in the volume traded for our Micro E-Mini Equity Index futures in total, as well as for each of the Micro E-Mini Nasdaq-100, Russell 2000 and Dow 30 contracts.</w:t>
      </w:r>
    </w:p>
    <w:p>
      <w:pPr>
        <w:spacing w:after="0" w:line="6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continue to expand and deepen our customer base worldwide and offer customers around the world the most broad and diversified portfolio of benchmark products. Some of our products introduced over the past two years include:</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3-Year Treasury Note Futures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Interest Rate (AIR) Total Return Futures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Cash-settled Bitcoin Options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SOFR Options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 E-mini Equity Index Options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Brazilian Soybean Futures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Pork Cutout Futures and Options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European Renewable Fuel Futures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Nasdaq-100 Volatility Index (VOLQ) Futures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Nasdaq Veles California Water Index Futures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Interest Rate Total Return Futures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E-mini Nasdaq 100 Weekly Options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E-mini Russell 2000 Weekly Options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 Bitcoin Futures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Ether and Micro Ether Futures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 Treasury Yield Futures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 WTI Futures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Emissions Offset (GEO) and Nature-based Global Emissions Offset (N-GEO) Futures (2021)</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the individual product launches noted above, we have completed many product extensions across our asset classes, including short-dated options products (Monday and Wednesday weekly options on the E-Mini Nasdaq 100 and Russell 2000), expanded Japanese energy futures (including four new Japanese electricity futures contracts and two new LNG futures contracts), and additional implied volatility products in fixed income, energy, metals and agricultural products to our suite of CME Group Volatility Indexes (CVOL).</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continue to expand and deepen our customer base worldwide and offer customers around the world with the most broad and diversified portfolio of benchmark products. We believe we have a significant opportunity to expand the participation of our non-U.S. customer base in our markets. Our penetration of these markets lags our development in the U.S., and we believe that there is room for significant growth and development of these financial markets. In 2021, approximately 29% of our electronic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futures and options volume was from transactions reported as outside the U.S. and approximately 56% of our market data revenue was derived from outside the U.S. We also achieved 5% growth in trading volume during Asian trading hours and 3% growth during European trading hours in 2021 compared to 2020.</w:t>
      </w:r>
    </w:p>
    <w:p>
      <w:pPr>
        <w:spacing w:after="0" w:line="7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CME Group is also the distributor of leading benchmark equity and commodity indices on behalf of third parties, as well as our own proprietary benchmarks and indices including CME Term SOFR.</w:t>
      </w:r>
    </w:p>
    <w:p>
      <w:pPr>
        <w:spacing w:after="0" w:line="10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2021, we updated the FX Market Profile Tool and launched a Metals Market Profile and, in 2022, we launched an UST Market Profile. The FX and Metals Market Profile Tool on Quant Analytics offers a simple but effective method for clients to compare and contrast our leading FX and metals products and liquidity pools side-by-side, which in turn enables clients to analyze their opportunity to minimize costs and achieve best execution by accessing highly complementary liquidity pools across cash and futures markets. We expect to continue to expand this Quant Analytics suite in the future as well.</w:t>
      </w:r>
    </w:p>
    <w:p>
      <w:pPr>
        <w:spacing w:after="0" w:line="49"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Our CME Liquidity Tool enables market participants to analyze liquidity across CME Group products during U.S., London or Singapore trading hours and was expanded to 37 products in 2021 to meet customer demand for our growing product suite. To further our commitment to our global customers, in 2020, we introduced a TreasuryWatch Tool and additional tools to help customers and prospective customers identify key marketplace developments and</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potential risk management and trading opportunities (e.g., SOFR-LIBOR spread). In 2021, we extended our new CVOL family with two additional releases for a total of 40 indexes, including six unique broad-based benchmarks such as the Treasury Volatility Index and Commodity Volatility Index. We also introduced an initiative to launch real-time streaming versions of the CVOL indexes, which is expected to occur in 2022. We have increased our customer base and continue to target cross-asset sales across client segments, driving global sales and generating new client participation across all regions. We have a long history of providing customer value and responsiveness and believe our products and services position us to help our customers adapt to and comply with new regulations, while enabling them to efficiently manage their risks. We have a broad distribution network comprised of a combination of internal and external channels and proprietary front-end capabilities.</w:t>
      </w:r>
    </w:p>
    <w:p>
      <w:pPr>
        <w:spacing w:after="0" w:line="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 xml:space="preserve">Diversify our Business and Revenue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acquisition of NEX strengthened our role in global financial markets infrastructure and information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adding complementary cash and OTC businesses and scale to our listed interest rate and FX products, while broadening our global client base. We are positioned to take direct advantage of growth in treasury issuance, liquid treasury holdings and the trading of treasury instruments, as well as growing repo activity in the U.S. and Europe. The transaction expanded CME Group’s position in the large, highly competitive and highly fragmented global FX marketplace, offering both order book trading and relationship-based trading solutions for customers. The acquisition added strength in underlying customer marketplaces, especially around regional bank customers and other market participants outside of North America, and expanded our market data solutions beyond futures and options into cash and OTC offerings.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During 2021, the Alternative Reference Rates Committee (ARRC) formally recommended the forward-looking term rates based on SOFR published by our</w:t>
      </w:r>
    </w:p>
    <w:p>
      <w:pPr>
        <w:spacing w:after="0" w:line="73"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subsidiary, CME Group Benchmark Administration Limited. The ARRC formalized this recommendation in July 2021. We are working closely with our customers during this transition, and we will continue to offer capital-efficient choices to manage risk via Eurodollar, 30-Day Federal Fund, SOFR and SONIA futures, as well as SOFR- and SONIA-based cleared OTC swaps. We are also licensing the CME Term SOFR rate to third parties.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Our joint venture with S&amp;P Global, Inc., S&amp;P/DJI Indices LLC, combines the world class capabilities of the S&amp;P and Dow Jones Indices, and is a</w:t>
      </w:r>
    </w:p>
    <w:p>
      <w:pPr>
        <w:spacing w:after="0" w:line="6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significant player in passive investing, including the exchange-traded fund (ETF) industry value chain. As part of the joint venture, we acquired a long-term, ownership-linked, exclusive license to list futures and options based on the S&amp;P 500 Index and certain other S&amp;P indices. We also act as the joint ventures' licensing agent and distribution services provider.</w:t>
      </w:r>
    </w:p>
    <w:p>
      <w:pPr>
        <w:spacing w:after="0" w:line="76" w:lineRule="exact"/>
        <w:rPr>
          <w:sz w:val="20"/>
          <w:szCs w:val="20"/>
          <w:color w:val="auto"/>
        </w:rPr>
      </w:pPr>
    </w:p>
    <w:p>
      <w:pPr>
        <w:jc w:val="both"/>
        <w:ind w:right="340"/>
        <w:spacing w:after="0" w:line="308" w:lineRule="auto"/>
        <w:rPr>
          <w:sz w:val="20"/>
          <w:szCs w:val="20"/>
          <w:color w:val="auto"/>
        </w:rPr>
      </w:pPr>
      <w:r>
        <w:rPr>
          <w:rFonts w:ascii="Arial" w:cs="Arial" w:eastAsia="Arial" w:hAnsi="Arial"/>
          <w:sz w:val="16"/>
          <w:szCs w:val="16"/>
          <w:color w:val="auto"/>
        </w:rPr>
        <w:t>In September 2021, we completed the establishment of OSTTRA, a 50/50 joint venture with IHS Markit that combines our post-trade services business (Traiana, TriOptima and Reset) and IHS Markit’s MarkitSERV, and serves as a leading provider of progressive post-trade solutions for the global OTC</w:t>
      </w:r>
    </w:p>
    <w:p>
      <w:pPr>
        <w:ind w:right="400"/>
        <w:spacing w:after="0" w:line="277" w:lineRule="auto"/>
        <w:rPr>
          <w:sz w:val="20"/>
          <w:szCs w:val="20"/>
          <w:color w:val="auto"/>
        </w:rPr>
      </w:pPr>
      <w:r>
        <w:rPr>
          <w:rFonts w:ascii="Arial" w:cs="Arial" w:eastAsia="Arial" w:hAnsi="Arial"/>
          <w:sz w:val="18"/>
          <w:szCs w:val="18"/>
          <w:color w:val="auto"/>
        </w:rPr>
        <w:t>markets across interest rate, FX, equity and credit asset classes. In connection with the establishment of OSTTRA, we contributed the net assets of our post-trade services business to the joint venture in exchange for cash and a 50% equity interest in the company.</w:t>
      </w:r>
    </w:p>
    <w:p>
      <w:pPr>
        <w:spacing w:after="0" w:line="5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 xml:space="preserve">Deliver Unparalleled Customer Efficiencies and Operational Excellence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changing regulatory capital requirements for many of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additional margin requirements on uncleared trades, and the need for greater efficiencies, we have added tools to enable customers to manage trading and clearing positions in our markets in an efficient manner. With the ongoing implementation of regulatory reform in the U.S. and in Europe, along with global implementation of Basel III capital requirements on financial institutions, we expect capital efficiencies and centralized clearing to continue to be important for our global client base.</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provide a comprehensive multi-asset class clearing solution to market participants for maximum operational ease and the capital efficiency that comes with connecting to our clearing house. Our clearing services offer the ability to optimize collateral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and capital efficiencies across portfolios within the clearing house while meeting the heightened regulatory requirements on derivatives. The majority of our clearing volumes and activities are related to our listed futures and options, which represents the majority of our open interest and collateral held against these positions. We also offer clearing services for OTC interest rate swaps, FX forwards and commodity swaps. The addition of our enhanced Standard Portfolio Analysis of Risk (SPAN) margin framework, CME SPAN 2, will provide enhanced risk management capabilities in a single, unified interface by maintaining SPAN's current calculations and functions while incorporating several new modeling, reporting and margin replication</w:t>
      </w:r>
    </w:p>
    <w:p>
      <w:pPr>
        <w:spacing w:after="0" w:line="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enhancements. CME SPAN 2 will initially be launched with certain futures and options on energy products and then expanded to other asset classes. As CME SPAN 2 is implemented, margins for diversified portfolios will consist of products using the enhanced CME SPAN 2 framework in addition to the existing SPAN framework, ensuring appropriate levels of offsets will continue to be provided across products subject to the SPAN and SPAN 2 frameworks.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CME Group provides various tools and services to assist customers with capital and operational efficiencies, including:</w:t>
      </w:r>
    </w:p>
    <w:p>
      <w:pPr>
        <w:spacing w:after="0" w:line="158" w:lineRule="exact"/>
        <w:rPr>
          <w:sz w:val="20"/>
          <w:szCs w:val="20"/>
          <w:color w:val="auto"/>
        </w:rPr>
      </w:pPr>
    </w:p>
    <w:p>
      <w:pPr>
        <w:ind w:left="660" w:right="6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CME Clearing provides compression via coupon blending as well as CME CORE, an interactive margin calculator that enables clients to optimize their capital by providing insights on margin requirements prior to trading.</w:t>
      </w:r>
    </w:p>
    <w:p>
      <w:pPr>
        <w:spacing w:after="0" w:line="27"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19"/>
          <w:szCs w:val="19"/>
          <w:color w:val="auto"/>
        </w:rPr>
      </w:pPr>
      <w:r>
        <w:rPr>
          <w:rFonts w:ascii="Arial" w:cs="Arial" w:eastAsia="Arial" w:hAnsi="Arial"/>
          <w:sz w:val="16"/>
          <w:szCs w:val="16"/>
          <w:color w:val="auto"/>
        </w:rPr>
        <w:t>Portfolio margining allows firms to capitalize on margin offsets between futures, options and cleared OTC instruments with common risk factors.</w:t>
      </w:r>
    </w:p>
    <w:p>
      <w:pPr>
        <w:spacing w:after="0" w:line="38" w:lineRule="exact"/>
        <w:rPr>
          <w:rFonts w:ascii="Arial" w:cs="Arial" w:eastAsia="Arial" w:hAnsi="Arial"/>
          <w:sz w:val="19"/>
          <w:szCs w:val="19"/>
          <w:color w:val="auto"/>
        </w:rPr>
      </w:pPr>
    </w:p>
    <w:p>
      <w:pPr>
        <w:ind w:left="660" w:right="140" w:hanging="328"/>
        <w:spacing w:after="0" w:line="297" w:lineRule="auto"/>
        <w:tabs>
          <w:tab w:leader="none" w:pos="655" w:val="left"/>
        </w:tabs>
        <w:numPr>
          <w:ilvl w:val="0"/>
          <w:numId w:val="9"/>
        </w:numPr>
        <w:rPr>
          <w:rFonts w:ascii="Arial" w:cs="Arial" w:eastAsia="Arial" w:hAnsi="Arial"/>
          <w:sz w:val="19"/>
          <w:szCs w:val="19"/>
          <w:color w:val="auto"/>
        </w:rPr>
      </w:pPr>
      <w:r>
        <w:rPr>
          <w:rFonts w:ascii="Arial" w:cs="Arial" w:eastAsia="Arial" w:hAnsi="Arial"/>
          <w:sz w:val="16"/>
          <w:szCs w:val="16"/>
          <w:color w:val="auto"/>
        </w:rPr>
        <w:t>Cross-margining allows firms to achieve portfolio margin efficiencies for offsetting positions between two clearing houses, including CME and Fixed Income Clearing Corporation (FICC) or CME and Options Clearing Corporation (OCC), through reduced performance bond requirements.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Partnership with Google Cloud - </w:t>
      </w:r>
      <w:r>
        <w:rPr>
          <w:rFonts w:ascii="Arial" w:cs="Arial" w:eastAsia="Arial" w:hAnsi="Arial"/>
          <w:sz w:val="16"/>
          <w:szCs w:val="16"/>
          <w:color w:val="auto"/>
        </w:rPr>
        <w:t>In November 2021, we announced a 10-year strategic partnership with Google Cloud to accelerate CME Group’s move</w:t>
      </w:r>
    </w:p>
    <w:p>
      <w:pPr>
        <w:spacing w:after="0" w:line="7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 the cloud, which we expect will transform derivatives markets by expanding access and creating efficiencies for market participants. The partnership will focus on expanding access to CME Group’s infrastructure, advancing real-time data and analytics capabilities, co-innovating new products and services, increasing efficiencies and driving resiliency in the financial markets’ ecosystem.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12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We own the rights to a large number of trademarks, service marks, domain names and trade names in the U.S., Europe and other parts of the world. We have registered many of our most important trademarks in the U.S. and other countries. We hold the rights to a number of patents and have a number of patent applications pending. Our patents cover match engine, trader user interface, trading floor support, market data, general technology and clearing house functionalities. We also own copyrights to a variety of materials. Those copyrights, some of which are registered, include printed and online publications, websites, advertisements, educational materials, graphic presentations and other literature, both textual and electronic. We protect our intellectual property rights by relying on trademarks, patents, copyrights, database rights, trade secrets, restrictions on disclosure and other methods.</w:t>
      </w:r>
    </w:p>
    <w:p>
      <w:pPr>
        <w:spacing w:after="0" w:line="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offer equity index futures and options on key benchmarks, including S&amp;P, Nasdaq, Dow Jones, FTSE Russell and fixed income index futures on the Bloomberg Short-Term Bank Yield (BSBY) indexes. These products are listed by us subject to license agreements with the applicable owners of the indexes, some of which are exclusive. In connection with our joint venture with S&amp;P Global, Inc., we have a license agreement (S&amp;P License Agreement), which superseded our prior licensing arrangements and was assigned to the joint venture. CME’s license for the S&amp;P 500 Index will be exclusive for futures and options until one year prior to the termination of the S&amp;P License Agreement, and non-exclusive for the last year. The license for the other S&amp;P stock indexes is generally exclusive for futures and options. The term of the S&amp;P License Agreement will continue until the date that is one year after the</w:t>
      </w:r>
    </w:p>
    <w:p>
      <w:pPr>
        <w:spacing w:after="0" w:line="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date that CME Group ceases to own at least 5% (accounting for dilution) of the outstanding joint venture interests. Upon the occurrence of certain events, including certain terminations of the joint venture, the term may be extended up to an additional ten years. CBOT has an exclusive license agreement (Dow Jones License Agreement) with CME Group Index Services LLC (CME Indexes) for certain Dow Jones indexes, which has also been assigned to the joint venture. The initial term of the agreement is through June 30, 2026. Following the initial term, the Dow Jones License Agreement will automatically renew for renewal terms of five years thereafter, so long as there is open interest in any of CBOT’s or its affiliates’ products based on one or more of the Dow Jones licensed indexes. In the event there is no open interest in any such products, then CME Indexes may terminate the agreement. We also have an exclusive license agreement for certain Nasdaq indexes through 2029. In 2015, we entered into an exclusive license agreement with FTSE Russell and launched the E-mini Russell 2000 futures in 2017. We pay the applicable third-party, per-trade fees based on contract volume under the terms of these licensing agreements. A copy of the S&amp;P License Agreement has been filed as a material contract. We also have a multi-year non-exclusive licensing arrangement with ICE Benchmark Administration for the use of LIBOR to settle several of our interest rate products, including our Eurodollar contracts.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cannot guarantee that we will be able to maintain the exclusivity of our licensing agreements with S&amp;P, Dow Jones, Nasdaq and FTSE Russell or be able to maintain existing exclusive and non-exclusive licensing arrangements beyond the term of the current agreements or that any renewal will be on terms as favorable to us. In addition, we cannot guarantee that others will not succeed in creating stock index futures based on information similar to that which we have obtained by license, or that market participants will not increasingly use other instruments, including securities and options based on the S&amp;P, Dow Jones, Nasdaq or FTSE Russell indexes, to manage or speculate on U.S. stock risks. Parties also may succeed in offering indexed products that are similar to our licensed products without being required to obtain a license, or in countries that are beyond our and/or our licensors' jurisdictional reach.</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industry in which we operate is highly competitive and has seen multiple new entrants over time, and we expect competition to continue to intensify and become more global, especially in light of changes in the financial services industry driven by regulatory reforms such as the Dodd-Frank Wall Street Reform and Consumer Protection Act (Dodd-Frank), European Market Infrastructure Regulation (EMIR), EMIR 2.2, Markets in Financial Instruments Directive II (MiFID II), Capital Requirements Directive IV, Market Abuse Regulation, Benchmarks Regulation, Basel III and various other laws and regulations.</w:t>
      </w:r>
    </w:p>
    <w:p>
      <w:pPr>
        <w:spacing w:after="0" w:line="86"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Please also refer to the discussion below and in </w:t>
      </w:r>
      <w:r>
        <w:rPr>
          <w:rFonts w:ascii="Arial" w:cs="Arial" w:eastAsia="Arial" w:hAnsi="Arial"/>
          <w:sz w:val="19"/>
          <w:szCs w:val="19"/>
          <w:color w:val="auto"/>
        </w:rPr>
        <w:t>"</w:t>
      </w:r>
      <w:r>
        <w:rPr>
          <w:rFonts w:ascii="Arial" w:cs="Arial" w:eastAsia="Arial" w:hAnsi="Arial"/>
          <w:sz w:val="16"/>
          <w:szCs w:val="16"/>
          <w:color w:val="auto"/>
        </w:rPr>
        <w:t xml:space="preserve">Item 1A — Risk Factors" beginning on page </w:t>
      </w:r>
      <w:hyperlink w:anchor="page15">
        <w:r>
          <w:rPr>
            <w:rFonts w:ascii="Arial" w:cs="Arial" w:eastAsia="Arial" w:hAnsi="Arial"/>
            <w:sz w:val="16"/>
            <w:szCs w:val="16"/>
            <w:color w:val="auto"/>
          </w:rPr>
          <w:t xml:space="preserve">15 </w:t>
        </w:r>
      </w:hyperlink>
      <w:r>
        <w:rPr>
          <w:rFonts w:ascii="Arial" w:cs="Arial" w:eastAsia="Arial" w:hAnsi="Arial"/>
          <w:sz w:val="16"/>
          <w:szCs w:val="16"/>
          <w:color w:val="auto"/>
        </w:rPr>
        <w:t>for a description of competitive risks and uncertainties.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Derivatives Exchange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believe competition in the derivatives business is based on a number of factors, including, among others:</w:t>
      </w:r>
    </w:p>
    <w:p>
      <w:pPr>
        <w:spacing w:after="0" w:line="1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brand and reputation;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efficient and secure settlement, clearing and support services;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depth and liquidity of markets;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diversity of product offerings and frequency and quality of new product development and innovative services;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ability to position and expand upon existing products to address changing market needs;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efficient and seamless customer experience;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transparency, reliability, anonymity and security in transaction processing;</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regulatory environment;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connectivity, accessibility, flexibility in execution methods, and distribution;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technological capability and innovation;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overall transaction costs.</w:t>
      </w:r>
    </w:p>
    <w:p>
      <w:pPr>
        <w:spacing w:after="0" w:line="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we compete favorably with respect to these factors. Our deep, liquid markets; diverse and complementary product offerings; frequency and quality of new product development; and efficient, secure settlement, clearing and support services, distinguish us from others in the industry. We believe that in order to maintain our competitive position, we must continue to expand globally; develop and offer new and innovative products; enhance our technology infrastructure, including its reliability, functionality and security; maintain liquidity and low transaction costs; continue to strengthen our risk management capabilities and solutions; and implement customer protections designed to ensure the integrity of our market and the confidence of our customers.</w:t>
      </w:r>
    </w:p>
    <w:p>
      <w:pPr>
        <w:spacing w:after="0" w:line="8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compete in a large and expanding financial services trading, clearing and settlement marketplace globally. Our competitors include, among other entities, exchanges such as Intercontinental Exchange, Inc. (ICE), the Hong Kong Exchanges and Clearing Limited and Deutsche Börse AG. We have also seen the emergence of new players in the derivatives exchange business, in some cases backed by market makers and broker-dealers, as well as crypto platforms. Competition also includes alternative means of developing exposures through alternative instruments (depending on market factors) such as cash, OTC, ETFs, options, warrants, contracts for differences, structured products and other offerings and incorporates large customer and channel internalization of trade flows and data. New emerging competitors have targeted different segments of our industry, with multiple execution models and products, and emerging technologies will continue to offer additional alternative products in the future. Competition in our industry continues to be dynamic, and recent developments and alliances may result in a growing number of well-capitalized trading service providers that compete with all or a portion of our business.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CME Clearing Business</w:t>
      </w:r>
    </w:p>
    <w:p>
      <w:pPr>
        <w:spacing w:after="0" w:line="11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the past few years there has been increased competition in the provision of clearing services, and we expect competition to continue to increase in connection with compliance with Dodd-Frank, EMIR 2.2, Basel III, MiFID II and other various laws and regulations.</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competitors in the clearing services space include, among others, companies such as ICE, LCH Group, the OCC, Depository Trust &amp; Clearing Corporation, Hong Kong Exchanges and Clearing, Japan Securities Clearing Corporation, LME Clearing and Deutsche Börse AG. In light of the implementation of new regulatory requirements and other reforms of the financial services industry, we believe that other exchanges and infrastructure providers also may undertake to provide clearing and other related post-trade services, such as Nodal and ERIS in the U.S., as CFTC-regulated designated clearing organizations. We have also seen the acquisition of smaller clearing houses by larger and better capitalized firms, including FTX’s acquisition of LedgerX.</w:t>
      </w:r>
    </w:p>
    <w:p>
      <w:pPr>
        <w:spacing w:after="0" w:line="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believe competition in clearing services is based on, among other things, the value of providing customers with capital and margin efficiencies; quality and reliability of the services; creditworthiness of the clearing house; regulatory costs; timely delivery of the services; reputation; diversity of the service offerings; confidentiality of positions and information security protective measures; and the fees charged for the services provided.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Cash Markets Business</w:t>
      </w:r>
    </w:p>
    <w:p>
      <w:pPr>
        <w:spacing w:after="0" w:line="11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cash markets businesses face substantial competition across a wide and growing array of venues. In the FX space, the marketplace is highly fragmented, and there is competition from other electronic communication networks, single-dealer platforms, bank-owned multi-participant platforms, streaming and request for quote services, trading venues tied to data platforms, voice brokers, other broker enabled platforms and other venues. There is a growing array of platforms and technologies, and they are often owned by many well-capitalized financial institutions and intermediaries that are also driving internalization of client FX trade flows. In the fixed income space, there are also multiple providers of treasury, European and U.S. repo, and European bond trading, as well as other products such as corporate bonds, municipal bonds, mortgage-backed bonds and agencies, and a multitude of competitors and new entrants offering single-dealer liquidity, bank-owned multi-participant platforms, streaming and request for quote services, and other broker and exchange-enabled platforms.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Market Data Business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Technology companies, market data and information vendors and front-end software vendors also represent actual and potential competitors because they have their own substantial market data calculation and distribution capabilities that could serve as alternative means for receiving open market data feeds instead of connecting directly to our exchange. Multiple other industry players offer both referential and indicative pricing alternatives to CME offerings, which are widely distributed and available across a variety of media. Distributors and consumers of our market data may also use our market data as an input into a product that competes against one of our traded or cleared products. Although we may receive license fees for such products, such fees may not offset the impact of any loss in revenue from our comparable product.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Our businesses are regulated and serve a customer base that includes regulated institutions or individuals. Developments in the regulatory environment therefore have the potential to significantly affect our businesses. As such, we are subject to extensive regulation, primarily in the U.S. and Europe.</w:t>
      </w:r>
    </w:p>
    <w:p>
      <w:pPr>
        <w:spacing w:after="0" w:line="16" w:lineRule="exact"/>
        <w:rPr>
          <w:sz w:val="20"/>
          <w:szCs w:val="20"/>
          <w:color w:val="auto"/>
        </w:rPr>
      </w:pPr>
    </w:p>
    <w:p>
      <w:pPr>
        <w:ind w:right="3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Please also refer to the discussion below and in "Item 1A — Risk Factors" beginning on page </w:t>
      </w:r>
      <w:hyperlink w:anchor="page15">
        <w:r>
          <w:rPr>
            <w:rFonts w:ascii="Arial" w:cs="Arial" w:eastAsia="Arial" w:hAnsi="Arial"/>
            <w:sz w:val="18"/>
            <w:szCs w:val="18"/>
            <w:color w:val="auto"/>
          </w:rPr>
          <w:t xml:space="preserve">15 </w:t>
        </w:r>
      </w:hyperlink>
      <w:r>
        <w:rPr>
          <w:rFonts w:ascii="Arial" w:cs="Arial" w:eastAsia="Arial" w:hAnsi="Arial"/>
          <w:sz w:val="18"/>
          <w:szCs w:val="18"/>
          <w:color w:val="auto"/>
        </w:rPr>
        <w:t>for a description of regulatory and legislative risks and uncertainties.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our Derivatives Business, CME Clearing and our SEF</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 of U.S. futures exchanges, CME Clearing and our SEF is subject to extensive regulation by the CFTC that requires our regulated subsidiaries to satisfy the requirements of certain core principles relating to the operation and oversight of our markets and our clearing house. The CFTC carries out the regulation of the futures and swaps markets and clearing houses in accordance with the provisions of the Commodity Exchange Act as amended by, among others, the Commodity Futures Modernization Act and Dodd-Frank.</w:t>
      </w:r>
    </w:p>
    <w:p>
      <w:pPr>
        <w:spacing w:after="0" w:line="7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Regulations implementing Dodd-Frank include rules relating to the implementation of mandatory clearing of certain OTC derivatives, swap reporting, operation of a clearing house, anti-manipulation, large trader reporting, product definitions, the definition of an agricultural commodity and certain provisions of the rules applicable to designated contract markets, swap execution facilities and swap data repositories.</w:t>
      </w:r>
    </w:p>
    <w:p>
      <w:pPr>
        <w:spacing w:after="0" w:line="5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CME has been designated as a systemically important financial market utility and a systemically important derivatives clearing organization. These designations carry with them additional regulatory oversight of certain of our risk-management standards, clearing and settlement activities by the CFTC and the Federal Reserve Board.</w:t>
      </w:r>
    </w:p>
    <w:p>
      <w:pPr>
        <w:spacing w:after="0" w:line="76"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In connection with the global offering of our products and clearing services, this business is also subject to the rules and regulations of the local jurisdictions in which we conduct business, including the European Securities and Markets Authority (ESMA), the U.K. Financial Conduct Authority (FCA) and Bank of England and the Netherlands Authority for the Financial Markets (AFM).</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our Cash Markets Business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operation of our BrokerTec platform subjects us to regulation by the Financial Industry Regulatory Authority (FINRA) and the U.S. Securities and Exchange Commission (SEC) as a broker-dealer and alternative trading system operator. It also subjects us to regulation by authorities in the E.U. as a multilateral trading facility and regulated market and by the applicable regulators in Singapore and Canada. Our EBS business holds various permissions, approvals and exemptions globally, including those that subject certain of its activities to CFTC, FCA, the Dutch Authority for the Financial Markets (AFM) and Hong Kong Monetary Authority (HKMA) oversight.</w:t>
      </w:r>
    </w:p>
    <w:p>
      <w:pPr>
        <w:spacing w:after="0" w:line="80"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The settlement of matched principal and exchange-traded businesses requires access to clearing houses either directly or through third-party providers of clearing and settlement services. BrokerTec Americas is a member of the FICC, through which it clears U.S. Treasury and repo products.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our Market Data Business</w:t>
      </w:r>
    </w:p>
    <w:p>
      <w:pPr>
        <w:spacing w:after="0" w:line="117"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A portion of our market data business, offered by CME Group Benchmark Administration, is subject to regulation by the E.U. Benchmarks Regulation, which regulates our RepoFunds Rate suite of daily Euro repo indices. Our CME Group Benchmark Administration, which is authorized as a Benchmark Administrator by the FCA, administers and calculates the CME Term Secured Overnight Financing Rate (SOFR) Reference Rates group of benchmarks.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Areas of Focus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actively monitor and participate in the domestic and international legislative and rulemaking processes for our industry, including providing government testimony, commenting on proposed legislation and rulemaking, and educating our regulators and policymakers on potential impacts to the marketplace. We are also focused on the U.S. Presidential administration and its new federal regulatory appointees and any anticipated changes that may result.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key areas of focus in the regulatory environment are:</w:t>
      </w:r>
    </w:p>
    <w:p>
      <w:pPr>
        <w:spacing w:after="0" w:line="158" w:lineRule="exact"/>
        <w:rPr>
          <w:sz w:val="20"/>
          <w:szCs w:val="20"/>
          <w:color w:val="auto"/>
        </w:rPr>
      </w:pPr>
    </w:p>
    <w:p>
      <w:pPr>
        <w:ind w:left="660" w:right="20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FCA’s announcement of its phase out of the use of LIBOR, which may unfavorably impact our ability to list our existing suite of Eurodollar futures and options products.</w:t>
      </w:r>
    </w:p>
    <w:p>
      <w:pPr>
        <w:spacing w:after="0" w:line="27" w:lineRule="exact"/>
        <w:rPr>
          <w:rFonts w:ascii="Arial" w:cs="Arial" w:eastAsia="Arial" w:hAnsi="Arial"/>
          <w:sz w:val="22"/>
          <w:szCs w:val="22"/>
          <w:color w:val="auto"/>
        </w:rPr>
      </w:pPr>
    </w:p>
    <w:p>
      <w:pPr>
        <w:ind w:left="660" w:hanging="328"/>
        <w:spacing w:after="0" w:line="267" w:lineRule="auto"/>
        <w:tabs>
          <w:tab w:leader="none" w:pos="655" w:val="left"/>
        </w:tabs>
        <w:numPr>
          <w:ilvl w:val="0"/>
          <w:numId w:val="11"/>
        </w:numPr>
        <w:rPr>
          <w:rFonts w:ascii="Arial" w:cs="Arial" w:eastAsia="Arial" w:hAnsi="Arial"/>
          <w:sz w:val="21"/>
          <w:szCs w:val="21"/>
          <w:color w:val="auto"/>
        </w:rPr>
      </w:pPr>
      <w:r>
        <w:rPr>
          <w:rFonts w:ascii="Arial" w:cs="Arial" w:eastAsia="Arial" w:hAnsi="Arial"/>
          <w:sz w:val="17"/>
          <w:szCs w:val="17"/>
          <w:color w:val="auto"/>
        </w:rPr>
        <w:t>The implementation of a transaction tax or user fee in the U.S., U.K. or E.U. , or in the States of Illinois or New Jersey, which could discourage institutions and individuals from using our markets or products or encourage them to trade in another less costly jurisdiction. Legislation to impose a financial transaction tax has been proposed previously in the U.S. Congress, Illinois General Assembly and State of New Jersey Legislature. Additionally, from time to time, including this fiscal year, the proposed U.S. Presidential budget request has included a proposal to impose a user fee to fund all or a portion of the budget of the CFTC. Legislation would be necessary to impose such a fee.</w:t>
      </w:r>
    </w:p>
    <w:p>
      <w:pPr>
        <w:spacing w:after="0" w:line="22" w:lineRule="exact"/>
        <w:rPr>
          <w:rFonts w:ascii="Arial" w:cs="Arial" w:eastAsia="Arial" w:hAnsi="Arial"/>
          <w:sz w:val="21"/>
          <w:szCs w:val="21"/>
          <w:color w:val="auto"/>
        </w:rPr>
      </w:pPr>
    </w:p>
    <w:p>
      <w:pPr>
        <w:ind w:left="660" w:right="10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potential for further regulation stemming from industry performance disruptions and residual concerns around electronic trading activity and, in particular, "high frequency trading."</w:t>
      </w:r>
    </w:p>
    <w:p>
      <w:pPr>
        <w:spacing w:after="0" w:line="27" w:lineRule="exact"/>
        <w:rPr>
          <w:rFonts w:ascii="Arial" w:cs="Arial" w:eastAsia="Arial" w:hAnsi="Arial"/>
          <w:sz w:val="22"/>
          <w:szCs w:val="22"/>
          <w:color w:val="auto"/>
        </w:rPr>
      </w:pPr>
    </w:p>
    <w:p>
      <w:pPr>
        <w:ind w:left="660" w:right="60" w:hanging="328"/>
        <w:spacing w:after="0" w:line="238"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Legislation that proposes to eliminate the 60/40 tax treatment of certain of our futures and options contracts, which would result in 60% of the gains being taxed at the short-term capital gain rate instead of the long-term capital gain rate. This would impose a significant increase in tax rates applicable to certain market participants and could result in a decrease in their trading activity.</w:t>
      </w:r>
    </w:p>
    <w:p>
      <w:pPr>
        <w:spacing w:after="0" w:line="27" w:lineRule="exact"/>
        <w:rPr>
          <w:rFonts w:ascii="Arial" w:cs="Arial" w:eastAsia="Arial" w:hAnsi="Arial"/>
          <w:sz w:val="22"/>
          <w:szCs w:val="22"/>
          <w:color w:val="auto"/>
        </w:rPr>
      </w:pPr>
    </w:p>
    <w:p>
      <w:pPr>
        <w:ind w:left="660" w:right="22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Certain provisions in relation to the E.U. Regulations on Benchmarks have yet to come into effect, and prices and data provided by CME Group for use by E.U. supervised entities and use of those benchmarks may be impacted.</w:t>
      </w:r>
    </w:p>
    <w:p>
      <w:pPr>
        <w:spacing w:after="0" w:line="27" w:lineRule="exact"/>
        <w:rPr>
          <w:rFonts w:ascii="Arial" w:cs="Arial" w:eastAsia="Arial" w:hAnsi="Arial"/>
          <w:sz w:val="22"/>
          <w:szCs w:val="22"/>
          <w:color w:val="auto"/>
        </w:rPr>
      </w:pPr>
    </w:p>
    <w:p>
      <w:pPr>
        <w:ind w:left="660" w:right="48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Concerns that European legislators will prohibit or restrict exclusive licenses for benchmark indexes, which might impact the profitability of several of our most popular contracts.</w:t>
      </w:r>
    </w:p>
    <w:p>
      <w:pPr>
        <w:spacing w:after="0" w:line="27" w:lineRule="exact"/>
        <w:rPr>
          <w:rFonts w:ascii="Arial" w:cs="Arial" w:eastAsia="Arial" w:hAnsi="Arial"/>
          <w:sz w:val="22"/>
          <w:szCs w:val="22"/>
          <w:color w:val="auto"/>
        </w:rPr>
      </w:pPr>
    </w:p>
    <w:p>
      <w:pPr>
        <w:ind w:left="660" w:right="20" w:hanging="328"/>
        <w:spacing w:after="0" w:line="270" w:lineRule="auto"/>
        <w:tabs>
          <w:tab w:leader="none" w:pos="655" w:val="left"/>
        </w:tabs>
        <w:numPr>
          <w:ilvl w:val="0"/>
          <w:numId w:val="11"/>
        </w:numPr>
        <w:rPr>
          <w:rFonts w:ascii="Arial" w:cs="Arial" w:eastAsia="Arial" w:hAnsi="Arial"/>
          <w:sz w:val="19"/>
          <w:szCs w:val="19"/>
          <w:color w:val="auto"/>
        </w:rPr>
      </w:pPr>
      <w:r>
        <w:rPr>
          <w:rFonts w:ascii="Arial" w:cs="Arial" w:eastAsia="Arial" w:hAnsi="Arial"/>
          <w:sz w:val="16"/>
          <w:szCs w:val="16"/>
          <w:color w:val="auto"/>
        </w:rPr>
        <w:t>The implementation of rules resulting in negative treatment of the liquidity profile of U.S. Treasury securities, including as qualifying liquidity resources, or any potential limitation on the use of U.S. Treasury securities as collateral could result in increased costs to us and our clearing firms.</w:t>
      </w:r>
    </w:p>
    <w:p>
      <w:pPr>
        <w:spacing w:after="0" w:line="19" w:lineRule="exact"/>
        <w:rPr>
          <w:rFonts w:ascii="Arial" w:cs="Arial" w:eastAsia="Arial" w:hAnsi="Arial"/>
          <w:sz w:val="19"/>
          <w:szCs w:val="19"/>
          <w:color w:val="auto"/>
        </w:rPr>
      </w:pPr>
    </w:p>
    <w:p>
      <w:pPr>
        <w:ind w:left="660" w:right="60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implementation of the final phases of uncleared margin rules (UMR Phases 5 &amp; 6) across jurisdictions and implications for customers' management of exposures.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potential regulation of cryptocurrencies, which may impact our existing offerings or our ability to provide future offerings.</w:t>
      </w:r>
    </w:p>
    <w:p>
      <w:pPr>
        <w:spacing w:after="0" w:line="9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also see "Item 1A - Risk Factors" beginning on page </w:t>
      </w:r>
      <w:hyperlink w:anchor="page15">
        <w:r>
          <w:rPr>
            <w:rFonts w:ascii="Arial" w:cs="Arial" w:eastAsia="Arial" w:hAnsi="Arial"/>
            <w:sz w:val="18"/>
            <w:szCs w:val="18"/>
            <w:color w:val="auto"/>
          </w:rPr>
          <w:t xml:space="preserve">15 </w:t>
        </w:r>
      </w:hyperlink>
      <w:r>
        <w:rPr>
          <w:rFonts w:ascii="Arial" w:cs="Arial" w:eastAsia="Arial" w:hAnsi="Arial"/>
          <w:sz w:val="18"/>
          <w:szCs w:val="18"/>
          <w:color w:val="auto"/>
        </w:rPr>
        <w:t>for additional information on our areas of regulatory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CME Group, we rely on our highly skilled and experienced global workforce to meet our business objectives. As of December 31, 2021, our global employee population consisted of approximately 3,480 staff, with 67% (approximately 2,320) of these employees working in the U.S. and the remaining 33% (approximately 1,160) working in our various non-U.S. locations (Australia, Brazil, Canada, China, France, Hong Kong, India, Israel, Japan, Netherlands, Singapore, South Korea, Sweden, Switzerland and the U.K.).</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that fostering a diverse and inclusive global culture is critical to our business success. We provide our workforce with a compelling employee experience that allows us to attract, retain and develop industry-leading talent. We are continually seeking new ways to challenge, develop and support our employees. Select highlights of our employee experience include the following:</w:t>
      </w:r>
    </w:p>
    <w:p>
      <w:pPr>
        <w:spacing w:after="0" w:line="7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offer a wide range of benefits designed to support our employees’ health and well-being, retirement needs, and work/life balance.</w:t>
      </w:r>
    </w:p>
    <w:p>
      <w:pPr>
        <w:spacing w:after="0" w:line="61" w:lineRule="exact"/>
        <w:rPr>
          <w:rFonts w:ascii="Arial" w:cs="Arial" w:eastAsia="Arial" w:hAnsi="Arial"/>
          <w:sz w:val="17"/>
          <w:szCs w:val="17"/>
          <w:color w:val="auto"/>
        </w:rPr>
      </w:pPr>
    </w:p>
    <w:p>
      <w:pPr>
        <w:jc w:val="both"/>
        <w:ind w:left="660" w:right="200" w:hanging="328"/>
        <w:spacing w:after="0" w:line="238"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We provide a variety of avenues for employees to grow their expertise, including tuition assistance for continuing education, onsite professional development training courses, access to external seminars and technical skills training, as well as an integrated series of leadership development programs to prepare employees for each stage of their careers.</w:t>
      </w:r>
    </w:p>
    <w:p>
      <w:pPr>
        <w:spacing w:after="0" w:line="27"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19"/>
          <w:szCs w:val="19"/>
          <w:color w:val="auto"/>
        </w:rPr>
      </w:pPr>
      <w:r>
        <w:rPr>
          <w:rFonts w:ascii="Arial" w:cs="Arial" w:eastAsia="Arial" w:hAnsi="Arial"/>
          <w:sz w:val="16"/>
          <w:szCs w:val="16"/>
          <w:color w:val="auto"/>
        </w:rPr>
        <w:t>Our competitive compensation programs align employee rewards with shareholder interests and emphasize our pay-for-performance philosophy.</w:t>
      </w:r>
    </w:p>
    <w:p>
      <w:pPr>
        <w:spacing w:after="0" w:line="38" w:lineRule="exact"/>
        <w:rPr>
          <w:rFonts w:ascii="Arial" w:cs="Arial" w:eastAsia="Arial" w:hAnsi="Arial"/>
          <w:sz w:val="19"/>
          <w:szCs w:val="19"/>
          <w:color w:val="auto"/>
        </w:rPr>
      </w:pPr>
    </w:p>
    <w:p>
      <w:pPr>
        <w:ind w:left="660" w:right="200" w:hanging="328"/>
        <w:spacing w:after="0" w:line="238"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Employee Resource Groups (ERGs) are essential to fostering an inclusive culture grounded in mutual respect. All employees are eligible to join our ERGs and employees are encouraged to form new ERGs that align with our shared mission and values, creating communities around professional and personal interests.</w:t>
      </w:r>
    </w:p>
    <w:p>
      <w:pPr>
        <w:spacing w:after="0" w:line="9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conduct regular employee engagement surveys and we monitor our performance against specific voluntary turnover, open role placement and internal promotion metrics to understand where further workforce investments may be necessary. During fiscal year 2021, our performance against these metrics was:</w:t>
      </w:r>
    </w:p>
    <w:p>
      <w:pPr>
        <w:spacing w:after="0" w:line="9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10.4% voluntary turnover</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53.5% of open roles filled with internal candidates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11.6% of employees promoted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above metrics exclude approximately 150 staff who do not fully participate in our talent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As the world’s leading and most diverse derivatives marketplace, we embrace an exchange of ideas driven by the rich diversity of our people, cultures and experiences. We know that when our employees bring their authentic selves to work each day, it makes our business and our culture that much stronger. Leveraging the collective mix of perspectives and insights that our individual backgrounds bring, we can continually provide our global clients with innovative products and solutions, strengthen our competitive advantage and best serve the communities in which we live and work.</w:t>
      </w:r>
    </w:p>
    <w:p>
      <w:pPr>
        <w:spacing w:after="0" w:line="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anchored our commitment to diversity and inclusion by incorporating it into our corporate goals, and our Chief Human Resources Officer provides our senior management and Board with regular updates. Our Diversity and Inclusion (D&amp;I) Council is responsible for driving our corporate D&amp;I strategy. Members of our management team and employees from across our global workforce serve on the council, representing a wide variety of backgrounds and perspectives.</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more information regarding our sustainability practices and to review our annual Corporate Citizenship &amp; Sustainability Reports, including our report for 2021 when issued, please visit: https://www.cmegroup.com/company/corporate-citizenship/esg.html.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CME Group's executive officers. Ages are as of February 10, 2022.</w:t>
      </w:r>
    </w:p>
    <w:p>
      <w:pPr>
        <w:spacing w:after="0" w:line="11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 xml:space="preserve">Terrence A. Duffy, 63. </w:t>
      </w:r>
      <w:r>
        <w:rPr>
          <w:rFonts w:ascii="Arial" w:cs="Arial" w:eastAsia="Arial" w:hAnsi="Arial"/>
          <w:sz w:val="17"/>
          <w:szCs w:val="17"/>
          <w:color w:val="auto"/>
        </w:rPr>
        <w:t>Mr. Duffy has served as our Chairman and Chief Executive Officer since 2016. Mr. Duffy previously served as our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and President since 2012 and as Executive Chairman from 2006. Mr. Duffy has been a member of our board of directors since 1995. He also served as President of TDA Trading, Inc. from 1981 to 2002 and has been a member of our CME exchange since 1981.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Kathleen M. Cronin, 58. </w:t>
      </w:r>
      <w:r>
        <w:rPr>
          <w:rFonts w:ascii="Arial" w:cs="Arial" w:eastAsia="Arial" w:hAnsi="Arial"/>
          <w:sz w:val="18"/>
          <w:szCs w:val="18"/>
          <w:color w:val="auto"/>
        </w:rPr>
        <w:t>Ms. Cronin has served as our Senior Managing Director, General Counsel and Corporate Secretary since 2003. Prior to joining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Cronin was a corporate attorney at Skadden, Arps, Slate, Meagher &amp; Flom LLP from 1989 through 1995 and from 1997 through 2002. Ms. Cronin also serves as a director of Kemper Corporation.</w:t>
      </w:r>
    </w:p>
    <w:p>
      <w:pPr>
        <w:spacing w:after="0" w:line="82"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b w:val="1"/>
          <w:bCs w:val="1"/>
          <w:i w:val="1"/>
          <w:iCs w:val="1"/>
          <w:color w:val="auto"/>
        </w:rPr>
        <w:t>Sunil Cutinho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50</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Cutinho has served as our Chief Information Officer since February 2022 and previously has served as President of CME Clearing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2014. He joined CME Group in 2002 and since then has held various positions of increasing responsibility within the organization, and most recently served as Managing Director, Deputy Head of CME Clearing from April 2014 through September 2014.</w:t>
      </w:r>
    </w:p>
    <w:p>
      <w:pPr>
        <w:spacing w:after="0" w:line="7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b w:val="1"/>
          <w:bCs w:val="1"/>
          <w:i w:val="1"/>
          <w:iCs w:val="1"/>
          <w:color w:val="auto"/>
        </w:rPr>
        <w:t xml:space="preserve">Lynne Fitzpatrick, 43. </w:t>
      </w:r>
      <w:r>
        <w:rPr>
          <w:rFonts w:ascii="Arial" w:cs="Arial" w:eastAsia="Arial" w:hAnsi="Arial"/>
          <w:sz w:val="16"/>
          <w:szCs w:val="16"/>
          <w:color w:val="auto"/>
        </w:rPr>
        <w:t>Ms. Fitzpatrick has served as Senior Managing Director &amp; Deputy Chief Financial Officer since February 2022. She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Managing Director of Corporate Development and Treasurer of CME Group since 2017, leading the company’s business development, mergers and acquisitions, CME Ventures and corporate treasury functions. Since joining the company in 2006, Fitzpatrick has held a variety of positions with increasing levels of responsibility within the finance organization. Prior to CME Group she worked as an investment banker at Credit Suisse and UBS.</w:t>
      </w:r>
    </w:p>
    <w:p>
      <w:pPr>
        <w:spacing w:after="0" w:line="76"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i w:val="1"/>
          <w:iCs w:val="1"/>
          <w:color w:val="auto"/>
        </w:rPr>
        <w:t xml:space="preserve">Julie Holzrichter, 53. </w:t>
      </w:r>
      <w:r>
        <w:rPr>
          <w:rFonts w:ascii="Arial" w:cs="Arial" w:eastAsia="Arial" w:hAnsi="Arial"/>
          <w:sz w:val="18"/>
          <w:szCs w:val="18"/>
          <w:color w:val="auto"/>
        </w:rPr>
        <w:t>Ms. Holzrichter has served as our Senior Managing Director, Chief Operating Officer since 2014 and in February 2022, her role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expanded to oversee Global Operations and CME Clearing. She previously served as our Senior Managing Director, Global Operations from 2007. Ms. Holzrichter rejoined us in 2006 as our Managing Director, CME Globex Services and Technology Integration. Ms. Holzrichter previously held positions of increasing responsibility in our organization from 1986 to 2003 in trading operations. Ms. Holzrichter also serves as a director of Constellation Energy Corporation, an Exelon company.</w:t>
      </w:r>
    </w:p>
    <w:p>
      <w:pPr>
        <w:spacing w:after="0" w:line="7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Tim McCourt, 43</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McCourt has served as Senior Managing Director, Global Head of Equity and FX Products since February 2022. He is responsible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leading the development and execution of the company’s global equity index, foreign exchange, cryptocurrency and alternative investment product strategies. He serves on the CME Ventures Investment Committee and the S&amp;P Dow Jones Indices U.S. Advisory Panel. Before joining CME Group in 2013 as Global Head of Equity Products, Mr. McCourt worked for the Royal Bank of Scotland, where he was responsible for building and managing the Americas Index and Delta One trading book. Prior to RBS, he held a senior trading role with JPMorgan in New York, spending 10 years with the Equity Derivatives Group.</w:t>
      </w:r>
    </w:p>
    <w:p>
      <w:pPr>
        <w:spacing w:after="0" w:line="79"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i w:val="1"/>
          <w:iCs w:val="1"/>
          <w:color w:val="auto"/>
        </w:rPr>
        <w:t>Hilda Harris Piell, 54</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Piell has served as Senior Managing Director and Chief Human Resources Officer since 2007. Previously she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 and Senior Associate General Counsel, as Director and Associate General Counsel and as Associate Director and Assistant General Counsel since joining us in 2000.</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John W. Pietrowicz, 57. </w:t>
      </w:r>
      <w:r>
        <w:rPr>
          <w:rFonts w:ascii="Arial" w:cs="Arial" w:eastAsia="Arial" w:hAnsi="Arial"/>
          <w:sz w:val="18"/>
          <w:szCs w:val="18"/>
          <w:color w:val="auto"/>
        </w:rPr>
        <w:t>Mr. Pietrowicz has served as Senior Managing Director and Chief Financial Officer since 2014. Previously, Mr. Pietrowicz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our Senior Managing Director, Business Development and Corporate Finance since 2010. Mr. Pietrowicz joined us in 2003 and since then has held various positions of increasing responsibility, including Managing Director and Deputy Chief Financial Officer from 2009 to 2010 and Managing Director, Corporate Finance and Treasury from 2006 to 2009. Mr. Pietrowicz also serves as a director of S&amp;P/Dow Jones Indices LLC. Mr. Pietrowicz announced his plans to retire in 2023 and Ms. Fitzpatrick will succeed him.</w:t>
      </w:r>
    </w:p>
    <w:p>
      <w:pPr>
        <w:spacing w:after="0" w:line="7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i w:val="1"/>
          <w:iCs w:val="1"/>
          <w:color w:val="auto"/>
        </w:rPr>
        <w:t>Derek Sammann, 53</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Sammann has served as our Senior Managing Director, Global Head of Commodities and Options and International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November 2021 and previously served as our Senior Managing Director, Commodities and Options Products since 2014. He previously served as our Senior Managing Director, Financial Products and Services since 2009 and Global Head of Foreign Exchange Products since joining us in 2006. Prior to joining us, Mr. Sammann served as Managing Director, Global Head of FX Options and Structured Products at Calyon Corporate and Investment Bank in London from 1997 to 2006.</w:t>
      </w:r>
    </w:p>
    <w:p>
      <w:pPr>
        <w:spacing w:after="0" w:line="7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i w:val="1"/>
          <w:iCs w:val="1"/>
          <w:color w:val="auto"/>
        </w:rPr>
        <w:t xml:space="preserve">Suzanne Sprague, 41. </w:t>
      </w:r>
      <w:r>
        <w:rPr>
          <w:rFonts w:ascii="Arial" w:cs="Arial" w:eastAsia="Arial" w:hAnsi="Arial"/>
          <w:sz w:val="16"/>
          <w:szCs w:val="16"/>
          <w:color w:val="auto"/>
        </w:rPr>
        <w:t>Ms. Sprague has served as Senior Managing Director &amp; Global Head of Clearing and Post-Trade Services for CME Group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2022. She joined the company in 2002 and has held numerous roles and leadership positions in financial management and risk management since that time. During her tenure, she has played a key role in the company’s development of risk management policy. Since 2015, she served as Managing Director, Credit &amp; Liquidity Risk, Risk Policy &amp; Banking, overseeing CME Clearing’s exposure to counterparty credit risk, liquidity risk management and financial performance, acceptable collateral and collateral services, risk management policies and procedures, financial operations, and banking.</w:t>
      </w:r>
    </w:p>
    <w:p>
      <w:pPr>
        <w:spacing w:after="0" w:line="4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Jack Tobin, 58</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Tobin has served as Managing Director and Chief Accounting Officer since 2015. Mr. Tobin most recently served as our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Corporate Finance since 2007. Prior to our merger with CBOT Holdings, Mr. Tobin served as the Director, Corporate Finance for CBOT Holdings and CBOT from 2002 to 2007. Prior to joining CBOT, Mr. Tobin served as a principal consultant with PricewaterhouseCoopers from 1997 to 2002. Mr. Tobin is a registered certified public accountant.</w:t>
      </w:r>
    </w:p>
    <w:p>
      <w:pPr>
        <w:spacing w:after="0" w:line="7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i w:val="1"/>
          <w:iCs w:val="1"/>
          <w:color w:val="auto"/>
        </w:rPr>
        <w:t>Sean Tully, 58</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Tully has served as Senior Managing Director, Global Head of Rates and OTC Products since February 2022. He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Managing Director, Financial and OTC Products of CME Group since 2014. 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previously served as Senior Managing Director, Interest Rates and OTC Products during 2014. Previously, he served as Managing Director, Interest Rate and OTC Products since 2013 and as our Managing Director, Interest Rate Products since joining us in 2011. Before joining the company, Mr. Tully most recently served as Managing Director, Global Head of Fixed Income Trading at WestLB in London.</w:t>
      </w:r>
    </w:p>
    <w:p>
      <w:pPr>
        <w:spacing w:after="0" w:line="57"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i w:val="1"/>
          <w:iCs w:val="1"/>
          <w:color w:val="auto"/>
        </w:rPr>
        <w:t xml:space="preserve">Kendal Vroman, 50. </w:t>
      </w:r>
      <w:r>
        <w:rPr>
          <w:rFonts w:ascii="Arial" w:cs="Arial" w:eastAsia="Arial" w:hAnsi="Arial"/>
          <w:sz w:val="16"/>
          <w:szCs w:val="16"/>
          <w:color w:val="auto"/>
        </w:rPr>
        <w:t>Mr. Vroman has served as our Senior Managing Director, Chief Transformation Officer since November 2021. He previously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Senior Managing Director, International and Optimization Services since February 2020 and as our Senior Managing Director, Cash Markets and Optimization Services. Since joining the company in 2001, he has held a variety of senior leadership roles, including Managing Director, Planning and Execution, Global Head, Commodity Products and OTC Solutions and Managing Director and Chief Corporate Development Officer. Prior to joining us, Mr. Vroman most recently served as Vice President, Corporate Operations/Chief of Staff to the Chief Executive Officer for marchFirst Inc.</w:t>
      </w:r>
    </w:p>
    <w:p>
      <w:pPr>
        <w:spacing w:after="0" w:line="4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Julie Winkler, 47</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Winkler has served as our Senior Managing Director, Chief Commercial Officer since 2016. She previously served as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 Research and Product Development and Index Services of CME Group since 2014 and as Managing Director, Research and Product Development since 2007. Prior to our merger with CBOT Holdings, Ms. Winkler held positions of increasing responsibility for CBOT Holdings since 1996. Ms. Winkler also serves as a director of S&amp;P/Dow Jones Indices LLC.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Our website is </w:t>
      </w:r>
      <w:r>
        <w:rPr>
          <w:rFonts w:ascii="Arial" w:cs="Arial" w:eastAsia="Arial" w:hAnsi="Arial"/>
          <w:sz w:val="16"/>
          <w:szCs w:val="16"/>
          <w:i w:val="1"/>
          <w:iCs w:val="1"/>
          <w:color w:val="auto"/>
        </w:rPr>
        <w:t>www.cmegroup.com</w:t>
      </w:r>
      <w:r>
        <w:rPr>
          <w:rFonts w:ascii="Arial" w:cs="Arial" w:eastAsia="Arial" w:hAnsi="Arial"/>
          <w:sz w:val="16"/>
          <w:szCs w:val="16"/>
          <w:color w:val="auto"/>
        </w:rPr>
        <w:t>. Information made available on our website does not constitute part of this document. We make available on our website our Annual Reports on Form 10-K, Quarterly Reports on Form 10-Q, Current Reports on Form 8-K and amendments to those reports as soon as reasonably practicable after we electronically file or furnish such materials to the SEC. Our corporate governance materials may also be found on our website. The SEC also maintains an Internet site that contains reports, proxy and information statements, and other reports that we file or furnish with the SEC at http://www.sec.gov. Copies of these materials also are available to shareholders free of charge upon request to Shareholder Relations, office.ofthesecretary@cmegroup.com. Information regarding our sustainability practices is available in our annual Corporate Citizenship &amp; Sustainability Reports, including our report for 2021 when issued, at the following: https://www.cmegroup.com/company/corporate-citizenship/esg.html.</w:t>
      </w:r>
    </w:p>
    <w:p>
      <w:pPr>
        <w:spacing w:after="0" w:line="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other information contained in this Annual Report on Form 10-K, you should carefully consider the factors discussed below, which are the risks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is subject to the impact of global market, economic and political conditions that are beyond our control and that could significantly impact our business and make our financial results more volatile.</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revenue is substantially derived from fees for transactions executed and cleared in our markets. The trading volumes in our markets are directly affected by domestic and international factors that are beyond our control, including:</w:t>
      </w:r>
    </w:p>
    <w:p>
      <w:pPr>
        <w:spacing w:after="0" w:line="2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economic, political and geopolitical market conditions;</w:t>
      </w:r>
    </w:p>
    <w:p>
      <w:pPr>
        <w:spacing w:after="0" w:line="2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legislative and regulatory changes, including any direct or indirect restrictions on or increased costs associated with trading in our markets or our clearing services;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broad trends in the industry and financial markets;</w:t>
      </w:r>
    </w:p>
    <w:p>
      <w:pPr>
        <w:spacing w:after="0" w:line="26" w:lineRule="exact"/>
        <w:rPr>
          <w:rFonts w:ascii="Arial" w:cs="Arial" w:eastAsia="Arial" w:hAnsi="Arial"/>
          <w:sz w:val="22"/>
          <w:szCs w:val="22"/>
          <w:color w:val="auto"/>
        </w:rPr>
      </w:pPr>
    </w:p>
    <w:p>
      <w:pPr>
        <w:ind w:left="660" w:right="48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changes in price levels, trading volumes and volatility in the derivatives, cash and over-the-counter (OTC) markets and in their underlying markets;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shifts in demand or supply in commodities underlying our products;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competition;</w:t>
      </w:r>
    </w:p>
    <w:p>
      <w:pPr>
        <w:spacing w:after="0" w:line="27" w:lineRule="exact"/>
        <w:rPr>
          <w:rFonts w:ascii="Arial" w:cs="Arial" w:eastAsia="Arial" w:hAnsi="Arial"/>
          <w:sz w:val="22"/>
          <w:szCs w:val="22"/>
          <w:color w:val="auto"/>
        </w:rPr>
      </w:pPr>
    </w:p>
    <w:p>
      <w:pPr>
        <w:ind w:left="660" w:right="4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changes in government monetary policies, including central bank decisions related to quantitative easing and the U.S. Federal Reserve and other international banks' forecasted interest rates;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availability of capital to our market participants and their appetite for risk-taking;</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levels of assets under our customers' management;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volatile weather patterns, droughts, natural disasters and other catastrophes;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pandemics affecting our customer base or our ability to operate our markets;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consolidation or expansion in our customer base and within our industry.</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2" w:right="49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Any one or more of these factors may contribute to reduced activity in our markets. Historically, periods of heightened uncertainty have tended to increase our trading volume due to increased hedging activity and the increased need to manage the risks associated with, or speculate on, volatility. However, as evidenced by our past performance, in the period after a material market disturbance, there may persist extreme uncertainties, which may lead to decreased volume due to factors such as reduced risk exposure, lower interest rates, central bank asset purchase programs and lack of available capital. The shifts in market trading patterns we experienced as a result of the financial crisis of 2008 may or may not recur in the future, and our business will be affected by future economic uncertainties, which may result in decreased trading volume and a more challenging business environment for us. We believe that our interest rate product line could continue to be negatively impacted by a return to a zero interest rate policy. A reduction in overall trading volume or in certain products could render our markets less attractive to market participants as a source of liquidity, which could result in further loss of trading volume and associated transaction-based revenue. Material decreases in trading volume would have a material adverse effect on our financial condition and operating results.</w:t>
      </w:r>
    </w:p>
    <w:p>
      <w:pPr>
        <w:spacing w:after="0" w:line="7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see "Item 1A - Risk Factors - Risks Relating To Our Business" beginning on page </w:t>
      </w:r>
      <w:hyperlink w:anchor="page19">
        <w:r>
          <w:rPr>
            <w:rFonts w:ascii="Arial" w:cs="Arial" w:eastAsia="Arial" w:hAnsi="Arial"/>
            <w:sz w:val="18"/>
            <w:szCs w:val="18"/>
            <w:color w:val="auto"/>
          </w:rPr>
          <w:t xml:space="preserve">19 </w:t>
        </w:r>
      </w:hyperlink>
      <w:r>
        <w:rPr>
          <w:rFonts w:ascii="Arial" w:cs="Arial" w:eastAsia="Arial" w:hAnsi="Arial"/>
          <w:sz w:val="18"/>
          <w:szCs w:val="18"/>
          <w:color w:val="auto"/>
        </w:rPr>
        <w:t>for additional information.</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operate in a heavily regulated environment that imposes significant costs and competitive burdens on our business, and our failure to maintain compliance with regulations, our status as a regulated entity, or BrokerTec Americas' status as a member in good standing at FICC, could result in the loss of customers.</w:t>
      </w:r>
    </w:p>
    <w:p>
      <w:pPr>
        <w:spacing w:after="0" w:line="7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are primarily subject to the jurisdiction of the regulatory agencies in the U.S., U.K. and European Union. As a result of our global operations, we are also subject to the rules and regulations of other local jurisdictions in which we conduct business and offer our products and services, as appropriate.</w:t>
      </w:r>
    </w:p>
    <w:p>
      <w:pPr>
        <w:spacing w:after="0" w:line="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businesses and those of many of our clients have been and continue to be subject to extensive legislation and regulatory scrutiny, and we face the risk of changes to our regulatory environment and business in the future and have incurred and expect to continue to incur significant costs to comply. Additional new laws or regulations or changes in enforcement practices applicable to our businesses or those of our clients could be imposed in the U.S. or other jurisdictions, which could change, or require us to change, our business practices or the structure of our business, including its current governance or regulatory structure, or impose significant costs on us by, for example, requiring more of our funds to be set aside for the guaranty fund. This could adversely affect our ability to compete effectively with other institutions that are not affected in the same way or impact our clients' overall trading volume and demand for our market data and other services. Additionally, regulations imposed on financial institutions or market participants generally may adversely impact their trading activity in our markets. To the extent the legislative and regulatory environment is less beneficial for us or our customers, our business, financial condition and operating results could be negatively affected.</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Legislation may be proposed, both domestically and internationally, that could add a transaction tax on our products or change the way our market participants are taxed on the products they trade on our markets. If such proposals were to become law, they could have a negative impact on our industry and on us by making transactions more costly to market participants, which may reduce trading and could make our markets less competitive, with a resulting negative impact on our business, financial condition and operating results.</w:t>
      </w:r>
    </w:p>
    <w:p>
      <w:pPr>
        <w:spacing w:after="0" w:line="7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If we fail to comply with applicable laws, rules or regulations, we may be subject to censure, fines, cease-and-desist orders, suspension of our business, removal of personnel or other sanctions, including revocation of our designations as a contract market, derivatives clearing organization, swap execution facility, swap data repository, broker-dealer, multilateral trading facility or other regulatory penalties.</w:t>
      </w:r>
    </w:p>
    <w:p>
      <w:pPr>
        <w:spacing w:after="0" w:line="7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broker-dealer and multilateral trading facility businesses, BrokerTec and EBS, are also extensively regulated in various jurisdictions. These regulatory obligations generally include proper licensing and qualification of the firms and individuals, substantive conduct standards, communication and disclosure rules, monitoring and surveillance, training, capital requirements, supervisory obligations, maintenance of anti-money laundering programs, suspicious activity reporting, risk management standards, trade reporting, and ongoing examinations and reviews. The risks from failing to comply with these regulatory obligations include potential liability, disciplinary action against the firm and individuals, monetary penalties and restrictions on future activities.</w:t>
      </w:r>
    </w:p>
    <w:p>
      <w:pPr>
        <w:spacing w:after="0" w:line="5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BrokerTec Americas' matched principal platform facilitates anonymous trading in significant volumes from wholesale market participants, many of which are FICC members and understand that BrokerTec Americas is also a FICC member, such that their trades are expected to be novated promptly to FICC, which will be their ultimate counterparty. A failure of BrokerTec Americas to maintain its membership could adversely impact the willingness of such participants to continue trading on our platform. As part of maintaining its FICC membership, BrokerTec Americas is required to timely and fully meet all margin calls and other obligations established by FICC, and as such must maintain ready access to sufficient liquidity to satisfy those obligations. BrokerTec Americas maintains access to liquidity resources it believes will satisfy these obligations in normal and stressed circumstances, but there can be no guarantee it will never experience a shortfall.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see "Item 1 - Business - Regulatory Matters" beginning on page </w:t>
      </w:r>
      <w:hyperlink w:anchor="page11">
        <w:r>
          <w:rPr>
            <w:rFonts w:ascii="Arial" w:cs="Arial" w:eastAsia="Arial" w:hAnsi="Arial"/>
            <w:sz w:val="18"/>
            <w:szCs w:val="18"/>
            <w:color w:val="auto"/>
          </w:rPr>
          <w:t xml:space="preserve">11 </w:t>
        </w:r>
      </w:hyperlink>
      <w:r>
        <w:rPr>
          <w:rFonts w:ascii="Arial" w:cs="Arial" w:eastAsia="Arial" w:hAnsi="Arial"/>
          <w:sz w:val="18"/>
          <w:szCs w:val="18"/>
          <w:color w:val="auto"/>
        </w:rPr>
        <w:t>for additional information on our areas of regulatory focus.</w:t>
      </w:r>
    </w:p>
    <w:p>
      <w:pPr>
        <w:spacing w:after="0" w:line="117"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Some of CME Clearing's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or to freely move open positions among clearing houses in order to take advantage of our liquidity. Even if they are not successful, these factors may cause them to limit the use of our markets.</w:t>
      </w:r>
    </w:p>
    <w:p>
      <w:pPr>
        <w:spacing w:after="0" w:line="3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clearing house seeks to offer customers, intermediaries and clearing firms universal access in order to maximize the efficient use of capital, exercise appropriate oversight of value at risk and maintain operating leverage from clearing activities on our exchanges. Our strategic business plan for our futures and options business is to operate an efficient and transparent vertically integrated transaction execution, clearing and settlement business. Some of our clearing firms have expressed the view that clearing firms should control the governance of clearing houses or that clearing houses should be operated as utilities rather than as part of for-profit enterprises. Some of these firms, along with certain industry associations, have sought, and may seek in the future, legislative or regulatory changes to be adopted that would facilitate mechanisms or policies that allow market participants to transfer positions of futures or options from an exchange-owned clearing house to a clearing house owned and controlled by clearing firms. If these legislative or regulatory changes are adopted, our business, financial condition and operating results could be adversely affected.</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other companies. If we are not able to successfully compete, our business, financial condition and operating results will be materially harmed.</w:t>
      </w:r>
    </w:p>
    <w:p>
      <w:pPr>
        <w:spacing w:after="0" w:line="62"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The industry in which we operate is highly competitive and we expect competition to continue to intensify. We encounter competition in all aspects of our business, including from entities having substantially greater capital and resources, offering a wide range of products and services and in some cases</w:t>
      </w:r>
    </w:p>
    <w:p>
      <w:pPr>
        <w:ind w:right="240"/>
        <w:spacing w:after="0" w:line="279" w:lineRule="auto"/>
        <w:rPr>
          <w:sz w:val="20"/>
          <w:szCs w:val="20"/>
          <w:color w:val="auto"/>
        </w:rPr>
      </w:pPr>
      <w:r>
        <w:rPr>
          <w:rFonts w:ascii="Arial" w:cs="Arial" w:eastAsia="Arial" w:hAnsi="Arial"/>
          <w:sz w:val="17"/>
          <w:szCs w:val="17"/>
          <w:color w:val="auto"/>
        </w:rPr>
        <w:t>operating under a different and possibly less stringent regulatory regime. We face competition from other futures, securities and securities option exchanges; OTC markets; clearing organizations; consortia formed by our members and large industry participants; swap execution facilities; alternative trade execution facilities; technology firms, including market data distributors and electronic trading system developers, and others. Our competitors and potential competitors may have greater financial, marketing, technological and personnel resources than we do.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competitors may:</w:t>
      </w:r>
    </w:p>
    <w:p>
      <w:pPr>
        <w:spacing w:after="0" w:line="104" w:lineRule="exact"/>
        <w:rPr>
          <w:sz w:val="20"/>
          <w:szCs w:val="20"/>
          <w:color w:val="auto"/>
        </w:rPr>
      </w:pPr>
    </w:p>
    <w:p>
      <w:pPr>
        <w:ind w:left="660" w:right="300" w:hanging="328"/>
        <w:spacing w:after="0" w:line="232"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respond more quickly to competitive pressures and opportunities, including responses based upon their corporate governance structures, which may be more flexible and efficient than our corporate governance structure;</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develop products that are preferred by our customers compared to those offered by CME Group;</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develop risk transfer products that compete with our products;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price their products and services more competitively;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develop and expand their network infrastructure and service offerings more efficiently;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utilize better, more user-friendly or more reliable technology;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take greater advantage of acquisitions, alliances and other opportunities that provide a competitive advantage;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more effectively market, promote and sell their products and services;</w:t>
      </w:r>
    </w:p>
    <w:p>
      <w:pPr>
        <w:spacing w:after="0" w:line="27" w:lineRule="exact"/>
        <w:rPr>
          <w:rFonts w:ascii="Arial" w:cs="Arial" w:eastAsia="Arial" w:hAnsi="Arial"/>
          <w:sz w:val="22"/>
          <w:szCs w:val="22"/>
          <w:color w:val="auto"/>
        </w:rPr>
      </w:pPr>
    </w:p>
    <w:p>
      <w:pPr>
        <w:ind w:left="660" w:right="580" w:hanging="328"/>
        <w:spacing w:after="0" w:line="232"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better leverage existing relationships with customers and alliance partners or exploit better recognized brand names to market and sell their services; or</w:t>
      </w:r>
    </w:p>
    <w:p>
      <w:pPr>
        <w:spacing w:after="0" w:line="27" w:lineRule="exact"/>
        <w:rPr>
          <w:rFonts w:ascii="Arial" w:cs="Arial" w:eastAsia="Arial" w:hAnsi="Arial"/>
          <w:sz w:val="22"/>
          <w:szCs w:val="22"/>
          <w:color w:val="auto"/>
        </w:rPr>
      </w:pPr>
    </w:p>
    <w:p>
      <w:pPr>
        <w:ind w:left="660" w:right="180" w:hanging="328"/>
        <w:spacing w:after="0" w:line="232"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exploit regulatory disparities between traditional, regulated exchanges and alternative markets that benefit from a reduced regulatory burden and lower-cost business model.</w:t>
      </w:r>
    </w:p>
    <w:p>
      <w:pPr>
        <w:spacing w:after="0" w:line="9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If our products, markets and services are not competitive or are viewed as less competitive, our business, financial condition and operating results could be adversely affected. A decline in our fees or loss of customers could lower our revenues, which would adversely affect our profitability.</w:t>
      </w:r>
    </w:p>
    <w:p>
      <w:pPr>
        <w:spacing w:after="0" w:line="38" w:lineRule="exact"/>
        <w:rPr>
          <w:sz w:val="20"/>
          <w:szCs w:val="20"/>
          <w:color w:val="auto"/>
        </w:rPr>
      </w:pPr>
    </w:p>
    <w:p>
      <w:pPr>
        <w:ind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Please see "Item 1 - Business - Competition" beginning on page </w:t>
      </w:r>
      <w:hyperlink w:anchor="page10">
        <w:r>
          <w:rPr>
            <w:rFonts w:ascii="Arial" w:cs="Arial" w:eastAsia="Arial" w:hAnsi="Arial"/>
            <w:sz w:val="18"/>
            <w:szCs w:val="18"/>
            <w:color w:val="auto"/>
          </w:rPr>
          <w:t xml:space="preserve">10 </w:t>
        </w:r>
      </w:hyperlink>
      <w:r>
        <w:rPr>
          <w:rFonts w:ascii="Arial" w:cs="Arial" w:eastAsia="Arial" w:hAnsi="Arial"/>
          <w:sz w:val="18"/>
          <w:szCs w:val="18"/>
          <w:color w:val="auto"/>
        </w:rPr>
        <w:t>for additional information on the competitive environment and its potential impact on our business.</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trading volume, and consequently our revenues and profits, would be adversely affected if we are unable to retain our current customers at substantially similar trading levels or attract new customers.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success of our business depends, in part, on our ability to maintain and increase trading volume in our markets. To do so, we must maintain and expand our product offerings, our customer base and our trade execution facilities, our pre-and post-trade services and clearing facilities. Our success also depends on our ability to offer competitive prices and services in an increasingly price-sensitive business. For example, some of our competitors have engaged in aggressive pricing strategies in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past, such as lowering the fees they charge for taking liquidity and increasing liquidity payments or rebates. We cannot provide assurances that we will be able to continue to expand our products and services, that we will be able to retain our current customers or attract new customers or that we will not be required to modify our pricing structure to compete effectively. Changes in our pricing structure may result in a decrease in our profit margin.</w:t>
      </w:r>
    </w:p>
    <w:p>
      <w:pPr>
        <w:spacing w:after="0" w:line="4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clearing firm clients must meet certain capital requirements and must deposit collateral to meet performance bond and guaranty fund requirements. There is no guarantee the collateral deposited will continue to maintain its value. To the extent a clearing firm were to experience a decrease in capital and be unable to meet requirements, it may be required to decrease its trading activity.</w:t>
      </w:r>
    </w:p>
    <w:p>
      <w:pPr>
        <w:spacing w:after="0" w:line="7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Additionally, from time to time, certain customers may represent a significant portion of the open interest in our individual product lines or contracts, and a substantial decrease in their trading activity could have a negative impact on the liquidity of the particular product line or contract.</w:t>
      </w:r>
    </w:p>
    <w:p>
      <w:pPr>
        <w:spacing w:after="0" w:line="3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If we fail to maintain trading volume, as a result of a loss of customers or decrease in trading activity; expand our product offerings or execution facilities; or are unable to attract new customers, our business and revenues will be adversely affected. Declines in trading volume may also negatively impact market liquidity, which could lead to further loss of trading volume. Because our cost structure is largely fixed, if demand for our products and services and our resulting revenues decline, we may not be able to adjust our cost structure on a timely basis, and our profitability could be adversely affected.</w:t>
      </w:r>
    </w:p>
    <w:p>
      <w:pPr>
        <w:spacing w:after="0" w:line="49"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Our role in the global marketplace places us at greater risk than other public companies for a cyber attack and other cyber-security risks. Our technology, our people and those of our third-party service providers, and our customers may be vulnerable to cyber-security threats, which could result in wrongful use of our data or our customers’ data or cause interruptions in our operations that cause us to lose customers and trading volume and result in substantial liabilities. We also could be required to incur significant expense to protect our systems and/or investigate any alleged attack.</w:t>
      </w:r>
    </w:p>
    <w:p>
      <w:pPr>
        <w:spacing w:after="0" w:line="3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We regard the secure storage and transmission of data and the ability to continuously transact and clear on our electronic trading platforms as critical elements of our operations and our operational resiliency. Our technology, our people and those of our third-party service providers and our customers may be vulnerable to targeted attacks, such as "phishing" attacks, unauthorized access, fraud, computer viruses, denial of service attacks, terrorism, "ransom" attacks, firewall or encryption failures or other security or operational risks. Criminal groups, political activist groups and nation-state actors have targeted the financial services industry in general, and our role in the global marketplace places us at greater risk than other public companies for a cyber attack and</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information security threats. While we have not experienced cyber incidents that are individually, or in the aggregate, material, we have experienced cyber attacks of varying degrees in the past.</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usage of mobile, web, and cloud technologies, such as those pursuant to our partnership with Google Cloud, may increase our risk of a cyber attack. Our security defenses may also be impacted or breached due to employee error, malfeasance, system errors or vulnerabilities. Additionally, outside parties may attempt to fraudulently induce employees, users, or customers to disclose sensitive information in order to gain access to our technology systems and data, or our customers’ data. Any such breach or unauthorized access could result in significant legal and financial exposure, damage to our reputation, and a loss of confidence in the services we provide that could potentially have an adverse effect on our business, while resulting in regulatory penalties or the imposition of additional obligations by regulators or others. As the regulatory environment related to information security, data collection and use, and privacy becomes increasingly rigorous and complex, any failure to comply may carry significant penalties and reputational damage.</w:t>
      </w:r>
    </w:p>
    <w:p>
      <w:pPr>
        <w:spacing w:after="0" w:line="5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designed our cyber defense program to mitigate such attacks and security risks through administrative, physical and technical safeguards. As part of our global information security and privacy programs, we employ resources to prevent, detect and respond to cyber-attacks and security risks that could impact our people, processes and technology infrastructure, including the rapid response to zero-day vulnerabilities. However, our security measures or those of our third-party providers, including any cloud-based technologies, such as those pursuant to our partnership with Google Cloud, may prove insufficient depending upon the attack or threat posed. Any security attack or breach could result in system failures and delays, malfunctions in our operations, loss of customers or lower trading volume, loss of competitive position, damage to our reputation, disruption of our business, legal liability or regulatory fines and significant costs, which in turn, may cause our revenues and earnings to decline. Though we have insurance against certain cyber and privacy risks and attacks, we may be subject to litigation and financial losses that exceed our policy limits or are not covered under any of our current insurance policies.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financial services provider, we are subject to significant litigation risk and regulatory liability and penalties.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Many aspects of our business present substantial litigation risks. These risks include, among others,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trade execution, the settlement of trades or other matters relating to our services. We may become subject to these claims as 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customer dissatisfaction and a decline in their willingness to trade on our markets.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which poses physical security risks and cyber-security risks, than other companies.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Given our role in the global financial services industry, we may be more likely than other companies to be a direct target of, or an indirect casualty of, attacks by terrorists or terrorist organizations. It is impossible to accurately predict the likelihood or impact of any terrorist attack on our industry generally or on our business. While we have implemented significant physical security protection measures, business continuity plans, and established backup sites to provide operational resiliency, in the event of an attack or a threat of an attack, these security measures and contingency plans may be inadequate to prevent significant disruptions in our business, technology or access to the infrastructure necessary to maintain our business. Such an attack may result in harm to our personnel or the closure of our facilities or render our backup data and recovery systems inoperable. Damage to our facilities due to terrorist attacks may be significantly in excess of any amount of insurance coverage available, or we may not be able to insure against such damage at a reasonable price or at all. The threat of terrorist attacks also may negatively affect our ability to attract and retain employees. Any of these events could have a material adverse effect on our business, financial condition, and operating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The COVID-19 pandemic has negatively affected the global economy, including the U.S. economy and the global financial markets, and has disrupted our business and our clients’ businesses. The ultimate impact from COVID-19, including duration, is unknown and could have an adverse effect on our business, financial condition and results of operations.</w:t>
      </w:r>
    </w:p>
    <w:p>
      <w:pPr>
        <w:spacing w:after="0" w:line="7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ongoing COVID-19 pandemic has caused significant disruption in the international and U.S. economies and financial markets. The spread of COVID-19 has caused illness, quarantines, cancellation of events and travel, business and school shutdowns, reduction in business activity and financial transactions, labor shortages, employee attrition, supply chain interruptions and overall economic and financial market instability in the U.S. Similar impacts also have been experienced throughout the world, including in every country in which we do business. Given the unique and unpredictable nature of this event, future impacts to our business are unknown and could be material. Those impacts may include, among others, the following:</w:t>
      </w:r>
    </w:p>
    <w:p>
      <w:pPr>
        <w:spacing w:after="0" w:line="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Continued disruption to our business and operations;</w:t>
      </w:r>
    </w:p>
    <w:p>
      <w:pPr>
        <w:spacing w:after="0" w:line="10" w:lineRule="exact"/>
        <w:rPr>
          <w:rFonts w:ascii="Arial" w:cs="Arial" w:eastAsia="Arial" w:hAnsi="Arial"/>
          <w:sz w:val="22"/>
          <w:szCs w:val="22"/>
          <w:color w:val="auto"/>
        </w:rPr>
      </w:pPr>
    </w:p>
    <w:p>
      <w:pPr>
        <w:ind w:left="660" w:right="500" w:hanging="328"/>
        <w:spacing w:after="0" w:line="213"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Key members of senior management or a significant number of our employees being unable to work as a result of contracting COVID-19 or related illnesses;</w:t>
      </w:r>
    </w:p>
    <w:p>
      <w:pPr>
        <w:ind w:left="660" w:right="180" w:hanging="328"/>
        <w:spacing w:after="0" w:line="218"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Reduced productivity and operating effectiveness as a result of our employees working remotely and impacts on our clients encountering similar circumstances;</w:t>
      </w:r>
    </w:p>
    <w:p>
      <w:pPr>
        <w:ind w:left="660" w:hanging="328"/>
        <w:spacing w:after="0" w:line="217"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Impacts on our third-party suppliers and their ability to fulfill their obligations to us;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Decreased trading volume and unprecedented market stresses in global financial markets;</w:t>
      </w:r>
    </w:p>
    <w:p>
      <w:pPr>
        <w:spacing w:after="0" w:line="10" w:lineRule="exact"/>
        <w:rPr>
          <w:rFonts w:ascii="Arial" w:cs="Arial" w:eastAsia="Arial" w:hAnsi="Arial"/>
          <w:sz w:val="22"/>
          <w:szCs w:val="22"/>
          <w:color w:val="auto"/>
        </w:rPr>
      </w:pPr>
    </w:p>
    <w:p>
      <w:pPr>
        <w:ind w:left="660" w:right="180" w:hanging="328"/>
        <w:spacing w:after="0" w:line="213"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Changes in demand for our products and services, based upon fiscal, monetary, and trade policies adopted in response to the economic impact of the pandemic;</w:t>
      </w:r>
    </w:p>
    <w:p>
      <w:pPr>
        <w:ind w:left="660" w:hanging="328"/>
        <w:spacing w:after="0" w:line="217"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Reduced economic activity generally, which could cause businesses to have less need to hedge in our markets;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Delays in our expansion, investment, strategic initiatives and system integrations;</w:t>
      </w:r>
    </w:p>
    <w:p>
      <w:pPr>
        <w:spacing w:after="0" w:line="10" w:lineRule="exact"/>
        <w:rPr>
          <w:rFonts w:ascii="Arial" w:cs="Arial" w:eastAsia="Arial" w:hAnsi="Arial"/>
          <w:sz w:val="22"/>
          <w:szCs w:val="22"/>
          <w:color w:val="auto"/>
        </w:rPr>
      </w:pPr>
    </w:p>
    <w:p>
      <w:pPr>
        <w:ind w:left="660" w:right="480" w:hanging="328"/>
        <w:spacing w:after="0" w:line="213"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Impacts to our ability to expand our client base, grow our business and generate new revenue due to the inability to hold in-person meetings, events and conferences, and other impacts from social distancing;</w:t>
      </w:r>
    </w:p>
    <w:p>
      <w:pPr>
        <w:ind w:left="660" w:hanging="328"/>
        <w:spacing w:after="0" w:line="217"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Impacts on our brand and reputation due to negative investor sentiment in the overall financial markets;</w:t>
      </w:r>
    </w:p>
    <w:p>
      <w:pPr>
        <w:spacing w:after="0" w:line="10" w:lineRule="exact"/>
        <w:rPr>
          <w:rFonts w:ascii="Arial" w:cs="Arial" w:eastAsia="Arial" w:hAnsi="Arial"/>
          <w:sz w:val="22"/>
          <w:szCs w:val="22"/>
          <w:color w:val="auto"/>
        </w:rPr>
      </w:pPr>
    </w:p>
    <w:p>
      <w:pPr>
        <w:ind w:left="660" w:right="540" w:hanging="328"/>
        <w:spacing w:after="0" w:line="213"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Increased financial and operational stress experienced by our clearing firm members due to unprecedented volatility or downturn, including significant losses that may result in a reduction of business or a default;</w:t>
      </w:r>
    </w:p>
    <w:p>
      <w:pPr>
        <w:ind w:left="660" w:hanging="328"/>
        <w:spacing w:after="0" w:line="217"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Market access or trading limitations imposed by governmental authorities; and</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Increased technology and cyber-security risks, social engineering and phishing campaigns.</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potential impacts may exist for a significant period of time and may adversely affect our business, financial condition, and results of operations even after the COVID-19 pandemic has subsided.</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spread of COVID-19 has caused us to modify our business practices, including restricting employee travel and continuing work-from-home protocols, and we may take further actions as may be required by government authorities or as we determine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to be in the best interests of our employees and clients. There is no certainty that such measures will be sufficient to mitigate the risks posed by the pandemic or will otherwise be satisfactory to government authorities.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extent to which the COVID-19 pandemic further impacts our business, results of operations or financial condition will depend on future developments, which are highly uncertain and difficult to predict, but may include, among others, the duration and spread of the pandemic, including through new variant strains, its severity, the actions taken by governments and other third parties to contain the virus or treat its impact, such as vaccination, and the effect of such actions on our business practices (including ending work-from-home protocols or transitioning to more hybrid work models), the impact of existing and any future federal stimulus measures, and the pace at which, and the extent to which, normal economic and operating conditions resume, or even if they resume, whether such economic and operating conditions can be sustained.</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many of the other risk factors described herein could be heightened by the effects of the COVID-19 pandemic and related economic conditions, which could result in a material impact on our results of operations, financial condition and liquidity.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or brand could harm our business.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Maintaining our reputation and brand is critical to attracting and retaining customers, investors and employees and to maintaining our relationships with our regulators and other government officials. Negative publicity regarding our company or actual, alleged or perceived issues regarding our company, products or services, including social and environmental concerns relating to our company or certain commodity products and increased impact from climate change or criticism or market reaction to the performance of our market in periods of extreme volatility, could give rise to reputational risk, which could significantly harm our business prospects. These issues may include, but are not limited to, any of the risks discussed in this Item 1A, including risks from customer disputes, system failures or intrusions, failures to meet our regulatory obligations, failures of a clearing firm or other counterparty, issues relating to our third-party suppliers, alleged or actual fraud or misconduct or manipulative activity, or ineffective risk management.</w:t>
      </w:r>
    </w:p>
    <w:p>
      <w:pPr>
        <w:spacing w:after="0" w:line="58"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The success of our markets depends on our ability to complete development of, successfully implement and maintain the electronic trading and clearing systems that have the functionality, performance, availability and resilience, capacity, security and speed required by our customers.</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success of our business depends in large part on our ability to create interactive electronic marketplaces for a wide range of products that have the required functionality, performance, availability and resilience, capacity, security and speed to attract and retain customers. In 2021, 93% of our overall contract volume was generated through electronic trading on our CME Globex electronic platform, and we generated $336.3 million in revenue attributable to the BrokerTec and EBS trading platforms.</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must continue to enhance our electronic trading platforms and other technology offerings to remain competitive. As a result, we will continue to be subject to risks, expenses and uncertainties encountered in the rapidly evolving market for electronic transaction services. These risks include our failure or inability to:</w:t>
      </w:r>
    </w:p>
    <w:p>
      <w:pPr>
        <w:spacing w:after="0" w:line="9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provide reliable and cost-effective services to our customers;</w:t>
      </w:r>
    </w:p>
    <w:p>
      <w:pPr>
        <w:spacing w:after="0" w:line="26" w:lineRule="exact"/>
        <w:rPr>
          <w:rFonts w:ascii="Arial" w:cs="Arial" w:eastAsia="Arial" w:hAnsi="Arial"/>
          <w:sz w:val="22"/>
          <w:szCs w:val="22"/>
          <w:color w:val="auto"/>
        </w:rPr>
      </w:pPr>
    </w:p>
    <w:p>
      <w:pPr>
        <w:ind w:left="660" w:right="720" w:hanging="328"/>
        <w:spacing w:after="0" w:line="232"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develop, in a timely manner, the required functionality to support electronic trading in a manner that is competitive with the functionality supported by other electronic markets;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maintain the competitiveness of our fee structure;</w:t>
      </w:r>
    </w:p>
    <w:p>
      <w:pPr>
        <w:spacing w:after="0" w:line="26" w:lineRule="exact"/>
        <w:rPr>
          <w:rFonts w:ascii="Arial" w:cs="Arial" w:eastAsia="Arial" w:hAnsi="Arial"/>
          <w:sz w:val="22"/>
          <w:szCs w:val="22"/>
          <w:color w:val="auto"/>
        </w:rPr>
      </w:pPr>
    </w:p>
    <w:p>
      <w:pPr>
        <w:ind w:left="660" w:right="280" w:hanging="328"/>
        <w:spacing w:after="0" w:line="232"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attract independent software vendors to write front-end software that will effectively access our electronic trading systems and automated order routing system;</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respond to technological developments or service offerings by competitors; and</w:t>
      </w:r>
    </w:p>
    <w:p>
      <w:pPr>
        <w:spacing w:after="0" w:line="26" w:lineRule="exact"/>
        <w:rPr>
          <w:rFonts w:ascii="Arial" w:cs="Arial" w:eastAsia="Arial" w:hAnsi="Arial"/>
          <w:sz w:val="22"/>
          <w:szCs w:val="22"/>
          <w:color w:val="auto"/>
        </w:rPr>
      </w:pPr>
    </w:p>
    <w:p>
      <w:pPr>
        <w:ind w:left="660" w:right="120" w:hanging="328"/>
        <w:spacing w:after="0" w:line="232"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generate sufficient revenue to justify the substantial capital investment we have made and will continue to make to enhance our electronic trading platforms and other technology offerings.</w:t>
      </w:r>
    </w:p>
    <w:p>
      <w:pPr>
        <w:spacing w:after="0" w:line="9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If we do not successfully enhance our electronic trading systems and technology offerings, if we are unable to develop them to include other products and markets, or if they do not have the required functionality, performance, availability and resilience, capacity, security and speed desired by our customers, our ability to successfully compete and our revenues and profits will be adversely affected. Although we are focused on the technology and customer experience as part of the anticipated migration of the EBS platform to CME Globex in the first half of 2022, we cannot guarantee that we will not experience any client attrition, and to the extent any such client attrition is significant, it could have a negative impact on our revenues.</w:t>
      </w:r>
    </w:p>
    <w:p>
      <w:pPr>
        <w:spacing w:after="0" w:line="5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Additionally, we rely on our customers' ability to have the necessary back office functionality to support our new products and our trading and clearing functionality. To the extent our customers are not prepared and/or lack the resources or infrastructure, the success of our new initiatives may be compromised.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business is highly dependent on our ability to process, execute and monitor, in an efficient and uninterrupted manner, a large number of transactions, which occur at high volumes and frequencies across multiple systems and our ability to access key business data, financial information, order processing and invoicing. We are heavily reliant on the capacity, reliability and security of our information technology and communications and other business systems and software supporting our operations. Our systems, or those of our third-party providers, including cloud providers, may fail or be shut down or, due to capacity constraints, may operate slowly, causing one or more of the following to occur:</w:t>
      </w:r>
    </w:p>
    <w:p>
      <w:pPr>
        <w:spacing w:after="0" w:line="3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unanticipated disruptions in service to our customers;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slower response times and delays in our customers' trade execution and processing;</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failed settlement of trades;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incomplete or inaccurate accounting, recording, or processing of trades;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financial losses;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security breaches;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litigation or other customer claims;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loss of customers; or</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regulatory sanctions.</w:t>
      </w:r>
    </w:p>
    <w:p>
      <w:pPr>
        <w:spacing w:after="0" w:line="9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cannot assure that we will not experience system failures from power or telecommunications failures, acts of God, war or terrorism, human error on our part or on the part of our third-party providers or partners, natural disasters, fire, sabotage, hardware or software malfunctions or defects, computer viruses, cyber attacks, acts of vandalism or similar occurrences. If any of our systems or the systems of our third-party providers do not operate properly, are compromised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pacing w:after="0" w:line="5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From time to time, we have experienced system errors and failures that have resulted in some customers being unable to connect to our electronic trading platforms and technology offerings, or that resulted in erroneous reporting, such as transactions that were not authorized by any customer or reporting of filled orders as canceled. Such errors may result in CME Group being liable or in our voluntary assumption of financial liability. We cannot assure that if we experience system errors or failures in the future that they will not have a material adverse impact on our business. Any such system failures that cause an interruption in service or decrease our responsiveness could impact our trading volumes, impair our reputation, damage our brand, result in regulatory fines and have a material adverse effect on our business, financial condition and operating results.</w:t>
      </w:r>
    </w:p>
    <w:p>
      <w:pPr>
        <w:spacing w:after="0" w:line="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Regulations relating to our trading and clearing systems generally require the handling of anticipated present and future peak trading volume. Heavy use of our systems during peak trading times or at times of unusual market volatility could cause them to operate slowly or even to fail for periods of time. We constantly monitor system loads and performance, and regularly implement system upgrades to handle estimated increases in volume. However, we cannot assure that our estimates of future trading volume and order messaging traffic will be accurate or that our systems will always be able to accommodate actual trading volume and order messaging traffic without failure or degradation of performance or speed. Increased trading volume and order messaging traffic may result in connectivity problems or erroneous reports that may affect users of our platforms. System failure or degradation could lead our customers to file formal complaints with industry regulatory organizations, to file lawsuits against us or to cease doing business with us or could lead our regulators to initiate inquiries or proceedings for failure to comply with applicable laws and regulations.</w:t>
      </w:r>
    </w:p>
    <w:p>
      <w:pPr>
        <w:spacing w:after="0" w:line="7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will need to continue to upgrade, expand and increase the capacity of our systems as our business grows and as we execute our business strategy. 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could be adversely affected.</w:t>
      </w:r>
    </w:p>
    <w:p>
      <w:pPr>
        <w:spacing w:after="0" w:line="5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as well as many of our customers, depend on third-party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7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depend on a number of suppliers, such as banking, clearing and settlement organizations, telephone companies, internet service providers, data processors, cloud hosting providers, data center providers, and software and hardware vendors, for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elements of our trading, clearing, and other systems, as well as communications and networking equipment, computer hardware and software and related</w:t>
      </w:r>
    </w:p>
    <w:p>
      <w:pPr>
        <w:spacing w:after="0" w:line="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support and maintenance. Although we conduct due diligence and monitor important suppliers and service providers (including their resiliency), we cannot provide assurances of their performance and any interruption or cessation of their supplies or services could negatively impact our operations or those of our customers, as well as affect our reputation, financial or regulatory posture.</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Many of our customers rely on third parties, such as independent software vendors, to provide them with front-end systems to access our trading platforms and other back office systems for their trade processing and risk management needs. While these service providers have undertaken to keep current and certify as to our enhancements and changes to their software to our interfaces and functionality, we cannot guarantee that they will continue to make the necessary monetary and time investments to keep up with our enhancements and changes.</w:t>
      </w:r>
    </w:p>
    <w:p>
      <w:pPr>
        <w:spacing w:after="0" w:line="7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the extent any of our service providers or the organizations that provide services to our customers in connection with their trading activities cease to provide these services or provide these services in an efficient, cost-effective manner, or fail to adequately expand their services to meet our needs and the needs of our customers, we could experience decreased trading volume, lower revenues, and higher costs. In addition, while we may be entitled to recovery for breaches of, or liabilities otherwise incurred in connection with, our agreements with third-party suppliers and service providers, such recovery is limited by the terms of these agreements and may not compensate us in full.</w:t>
      </w:r>
    </w:p>
    <w:p>
      <w:pPr>
        <w:spacing w:after="0" w:line="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business exposes us to substantial credit risk of our clearing firms and other counterparties and, consequently, a decrease in their financial resources could adversely affect us.</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clearing house operations expose us to counterparties with differing risk profiles. We routinely guarantee transactions submitted by our clearing firm customers with counterparties in the financial industry, including brokers and dealers, commercial banks, investment banks, mutual and hedge funds and other institutional customers. We could be adversely impacted by the financial distress or failure of one or more of our clearing firms. Additionally, we are exposed to the risk of loss from the failure of a matched principal counterparty to settle its trades at BrokerTec Americas.</w:t>
      </w:r>
    </w:p>
    <w:p>
      <w:pPr>
        <w:spacing w:after="0" w:line="6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substantial part of our working capital may be at risk if a clearing firm defaults on its obligations to our clearing house and its margin and guaranty fund deposits are insufficient to meet its obligations. Additionally, BrokerTec Americas is exposed to the potential risk of loss in the event a counterparty fails to meet its obligations. Although we have policies and procedures to help ensure that our clearing firms and other counterparties can satisfy their obligations, these policies and procedures may not succeed in detecting problems or preventing defaults. We also have in place various measures intended to enable us to cure any default and maintain liquidity. However, we cannot guarantee that these measures will be sufficient to protect market participants from a default or that we will not be adversely affected in the event of a significant default. In addition, we have established a fund (currently $98.0 million) to provide payments, up to certain maximum levels, to qualified family farmers, ranchers and other agricultural industry participants who use our products and who suffer losses to their segregated account balances if their clearing firm becomes insolvent.</w:t>
      </w:r>
    </w:p>
    <w:p>
      <w:pPr>
        <w:spacing w:after="0" w:line="57" w:lineRule="exact"/>
        <w:rPr>
          <w:sz w:val="20"/>
          <w:szCs w:val="20"/>
          <w:color w:val="auto"/>
        </w:rPr>
      </w:pPr>
    </w:p>
    <w:p>
      <w:pPr>
        <w:jc w:val="both"/>
        <w:ind w:right="560"/>
        <w:spacing w:after="0" w:line="311" w:lineRule="auto"/>
        <w:rPr>
          <w:sz w:val="20"/>
          <w:szCs w:val="20"/>
          <w:color w:val="auto"/>
        </w:rPr>
      </w:pPr>
      <w:r>
        <w:rPr>
          <w:rFonts w:ascii="Arial" w:cs="Arial" w:eastAsia="Arial" w:hAnsi="Arial"/>
          <w:sz w:val="16"/>
          <w:szCs w:val="16"/>
          <w:b w:val="1"/>
          <w:bCs w:val="1"/>
          <w:i w:val="1"/>
          <w:iCs w:val="1"/>
          <w:color w:val="auto"/>
        </w:rPr>
        <w:t>Our Three-Month Eurodollar futures and options contracts are based on the three-month U.S. Dollar London Interbank Offered Rate (LIBOR) underlying rate. To the extent trading in Eurodollar contracts decreases or is discontinued and our alternative contracts are not successful, our revenues would be negatively impacted. Certain of our other businesses could also be negatively affected by changes to LIBOR.</w:t>
      </w:r>
    </w:p>
    <w:p>
      <w:pPr>
        <w:spacing w:after="0" w:line="4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Eurodollar futures and options contracts are based on the three-month U.S. Dollar ICE LIBOR underlying rate. In 2021, average trading volume in our Eurodollar contracts was 3.5 million contracts and open interest was 40.8 million contracts. The U.K. FCA, which regulates LIBOR, announced its intention to phase out the use of LIBOR with the cessation of one-week and two-month USD LIBOR, as well as non-USD LIBOR tenors, after December 31, 2021, and the cessation of publication of three-month, six-month and one-year USD LIBOR after June 30, 2023. Financial institutions that currently report information used to set USD LIBOR are expected to stop doing so during 2023, and in 2021, the U.S. Federal Reserve Board and other regulatory bodies issued guidance encouraging banks and other financial market participants to cease entering into new contracts that use USD LIBOR as a reference</w:t>
      </w:r>
    </w:p>
    <w:p>
      <w:pPr>
        <w:spacing w:after="0" w:line="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rate no later than December 31, 2021. In light of regulatory guidance, we expect banks and other financial market participants to cease entering into new contracts based on USD LIBOR and there is no guarantee that they will reference rates associated with our alternative products.</w:t>
      </w:r>
    </w:p>
    <w:p>
      <w:pPr>
        <w:spacing w:after="0" w:line="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U.S. Federal Reserve, in conjunction with the Alternative Reference Rates Committee, a steering committee comprised of large U.S. financial institutions, has recommended replacing USD LIBOR with other benchmark alternatives, such as Secured Overnight Financing Rate (SOFR). However, it is unknown whether these alternative reference rates will attain market acceptance as replacements for LIBOR.</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transition away from LIBOR to alternative reference rates is complex and could have a material adverse effect on our business, financial condition and results of operations. We have closely engaged with the industry, regulators and market participants to launch products using alternative reference rates, including our SOFR and Sterling Overnight Index Average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(SONIA) futures contracts. While these actions have resulted in an increase in market acceptance of SOFR, there is no guarantee that this transition will be successful, maintain current market structure, or replace the revenue we derive from our Eurodollar contracts if trading volume were to decline or discontinue altogether.</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market data revenues may be reduced by decreased demand, poor overall economic conditions, regulatory changes or a significant change in how market participants trade and use market data.</w:t>
      </w:r>
    </w:p>
    <w:p>
      <w:pPr>
        <w:spacing w:after="0" w:line="10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offer a wide range of data services designed to support the trading, risk management, investment and business needs of our customers. Revenues from our market data and information services represented 12% and 11% of our total revenues during the years ended December 31, 2021 and December 31, 2020, respectively. Factors that may affect our performance and demand for our data include, but are not limited to:</w:t>
      </w:r>
    </w:p>
    <w:p>
      <w:pPr>
        <w:spacing w:after="0" w:line="2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ability to maintain existing customers utilizing our data and to attract new customers with our products and services;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A decrease in overall trading volume, which may lead to a decreased demand for our market data;</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A challenging business environment for our customers, which may require them to reduce their usage of our market data;</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impacts of new regulations, laws, rules or other government policies;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ability to ensure that customers are appropriately licensed and are paying fees for the data used;</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1"/>
          <w:szCs w:val="21"/>
          <w:color w:val="auto"/>
        </w:rPr>
      </w:pPr>
      <w:r>
        <w:rPr>
          <w:rFonts w:ascii="Arial" w:cs="Arial" w:eastAsia="Arial" w:hAnsi="Arial"/>
          <w:sz w:val="17"/>
          <w:szCs w:val="17"/>
          <w:color w:val="auto"/>
        </w:rPr>
        <w:t>The protection of our intellectual property rights and identification of misappropriation and/or misuses of CME Group market data; and</w:t>
      </w:r>
    </w:p>
    <w:p>
      <w:pPr>
        <w:spacing w:after="0" w:line="10" w:lineRule="exact"/>
        <w:rPr>
          <w:rFonts w:ascii="Arial" w:cs="Arial" w:eastAsia="Arial" w:hAnsi="Arial"/>
          <w:sz w:val="21"/>
          <w:szCs w:val="21"/>
          <w:color w:val="auto"/>
        </w:rPr>
      </w:pPr>
    </w:p>
    <w:p>
      <w:pPr>
        <w:ind w:left="660" w:hanging="328"/>
        <w:spacing w:after="0" w:line="233"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ability to keep pace with technological developments and client preferences.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executing our growth strategy and maintaining our growth effectively.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continue to execute on strategic initiatives to grow our business, including efforts to serve the OTC markets and to distribute our products and services on a global basis.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other investments or strategic alliances. Our growth strategy also may subject us to increased legal, compliance and regulatory obligations. Unless our growth results in an increase in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intend to continue to explore acquisitions, other investments and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We intend to continue to explore and pursue acquisitions and other strategic opportunities to strengthen our business and grow our company. We may make</w:t>
      </w:r>
    </w:p>
    <w:p>
      <w:pPr>
        <w:spacing w:after="0" w:line="7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acquisitions or investments or enter into strategic partnerships, joint ventures and other alliances. The market for such transactions is highly competitive, especially in light of historical merger and acquisition activity in our industry. As a result, we may be unable to identify strategic opportunities or we may be unable to negotiate or finance future transactions on terms favorable to us, which could impact our ability to identify growth opportunities. We may issue additional equity and/or debt in connection with strategic partnerships. The issuance of additional equity in connection with any future transaction could be substantially dilutive to our existing shareholders. The issuance of additional debt could increase our leverage substantially.</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process of integration also may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 potential conflicts with our joint venture or alliance partners. We may not realize the anticipated growth and other benefits from our growth initiatives and investments, which may have an adverse impact on our financial condition and operating results. We also may be required to take an impairment charge in our financial statements relating to our acquisitions and/or investments, which could negatively affect our stock price. Our joint venture, OSTTRA, with IHS Markit is subject to many of these risks, including the potential we may not achieve the expected cost savings, synergies and other strategic benefits from the transaction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within the anticipated time frames, that the joint venture may be more costly than expected, or that we may experience customer attrition.</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expansion of our global operations is complex and subjects us to increased business and economic risks that could adversely affect our financial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expanded global operations, we face certain risks inherent in doing business internationally. These risks include:</w:t>
      </w:r>
    </w:p>
    <w:p>
      <w:pPr>
        <w:spacing w:after="0" w:line="8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fluctuations in currency exchange rates;</w:t>
      </w:r>
    </w:p>
    <w:p>
      <w:pPr>
        <w:spacing w:after="0" w:line="26" w:lineRule="exact"/>
        <w:rPr>
          <w:rFonts w:ascii="Arial" w:cs="Arial" w:eastAsia="Arial" w:hAnsi="Arial"/>
          <w:sz w:val="22"/>
          <w:szCs w:val="22"/>
          <w:color w:val="auto"/>
        </w:rPr>
      </w:pPr>
    </w:p>
    <w:p>
      <w:pPr>
        <w:ind w:left="660" w:right="540" w:hanging="328"/>
        <w:spacing w:after="0" w:line="232" w:lineRule="auto"/>
        <w:tabs>
          <w:tab w:leader="none" w:pos="655" w:val="left"/>
        </w:tabs>
        <w:numPr>
          <w:ilvl w:val="0"/>
          <w:numId w:val="20"/>
        </w:numPr>
        <w:rPr>
          <w:rFonts w:ascii="Arial" w:cs="Arial" w:eastAsia="Arial" w:hAnsi="Arial"/>
          <w:sz w:val="22"/>
          <w:szCs w:val="22"/>
          <w:color w:val="auto"/>
        </w:rPr>
      </w:pPr>
      <w:r>
        <w:rPr>
          <w:rFonts w:ascii="Arial" w:cs="Arial" w:eastAsia="Arial" w:hAnsi="Arial"/>
          <w:sz w:val="18"/>
          <w:szCs w:val="18"/>
          <w:color w:val="auto"/>
        </w:rPr>
        <w:t>complying with extensive and complex compliance requirements, regulations and oversight by regulators other than our primary functional regulators;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difficulties in staffing and associated costs in managing multiple international locations;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general economic, social, and political conditions;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protectionist laws and business practices that favor local businesses in some countries;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reduced protection for intellectual property rights in some countries;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language and cultural differences;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potentially adverse tax consequences.</w:t>
      </w:r>
    </w:p>
    <w:p>
      <w:pPr>
        <w:spacing w:after="0" w:line="9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333333"/>
        </w:rPr>
        <w:t>If we are unable to manage the complexity of our global operations successfully, or if the risks above become substantial for us, our financial performance and operating results could suffer. Further, any measures we may implement to reduce risks of our international operations may not be effective, may increase our expenses and may require significant management time and effort.</w:t>
      </w:r>
    </w:p>
    <w:p>
      <w:pPr>
        <w:spacing w:after="0" w:line="7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As our consolidated financial statements are presented in U.S. dollars, we must translate our foreign subsidiaries’ financial statements from local currencies into U.S. dollars at exchange rates in effect during or at the end of each reporting period. Therefore, any increases or decreases in the value of the U.S. dollar against the other currencies may affect our operating income and the value of balance sheet items denominated in foreign currencies.</w:t>
      </w:r>
    </w:p>
    <w:p>
      <w:pPr>
        <w:spacing w:after="0" w:line="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E.U.-U.K. Trade and Cooperation Agreement was effective on January 1, 2021. As a result of Brexit, we have established certain CME Group businesses in Amsterdam, an E.U. jurisdiction, which allows these businesses to continue offering products and services to customers in the E.U.; however, this has resulted in, and may continue to result in, increased legal, compliance and operational costs.</w:t>
      </w:r>
    </w:p>
    <w:p>
      <w:pPr>
        <w:spacing w:after="0" w:line="7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risk management, compliance and monitoring programs might not be effective and may result in outcomes that could adversely affect our reputation, financial condition and operating results.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normal course of our business, we discuss matters with our regulators, including during supervisory engagements and regulatory examinations, and we are subject to their inquiry and oversight. Our regulators have broad enforcement and supervisory powers, including the power to censure, fine, issue cease-and-desist orders, prohibit us from engaging in some of our businesses or suspend or revoke our regulatory designations or the registration of our officers or employees who violate applicable laws or regulations. Our ability to manage our risks and comply with applicable laws and regulations in the jurisdictions where we operate is largely dependent on our establishment and maintenance of effective risk management, compliance and monitoring programs. In the case of alleged non-compliance with applicable laws or regulations, we could be subject to investigations and judicial or administrative proceedings that may result in substantial penalties or civil lawsuits, including by customers, for damages, which could be significant. Any of these outcomes may adversely affect our reputation, financial condition and operating results. In extreme cases, these outcomes could adversely affect our ability to conduct our business.</w:t>
      </w:r>
    </w:p>
    <w:p>
      <w:pPr>
        <w:spacing w:after="0" w:line="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maintain risk management, compliance and monitoring policies, procedures and programs that are designed to prevent, detect, deter, monitor and manage our risks, including enterprise risk and internal audit programs, but such policies, procedures and programs may not be fully effective. Some of our risk management processes depend upon evaluation of information regarding markets, customers, employees or other matters or potential threats that are publicly available or otherwise accessible by us. That information may not in all cases be accurate, complete, up-to-date or properly evaluated. Management of operational, financial, legal and compliance, regulatory, reputational and strategic risk requires, among other things, policies and procedures to record properly and verify a large number of transactions and events. We cannot guarantee that our policies and procedures will always be effective or that we will always be successful in monitoring or evaluating the risks to which we are or may be exposed.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misconduct or errors that are difficult to detect and deter.</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There continue to be highly publicized cases involving fraud or other misconduct or manipulative activity by employees of financial services firms and other market participants. Improper trading activity on our platforms by participants could include activities such as spoofing, layering, wash trading and manipulation. Misconduct by our employees and agents could include hiding unauthorized activities from us, improper or unauthorized activities on behalf of customers or the company, improper securities trading activities, improper use or unauthorized disclosure of data or confidential information of the company or its customers, among other potential misconduct.</w:t>
      </w:r>
    </w:p>
    <w:p>
      <w:pPr>
        <w:spacing w:after="0" w:line="8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It is not always possible to deter misconduct, and the precautions we take to prevent and detect this activity may not be effective in all cases. If we were found to have not met our regulatory oversight and compliance obligations, we could be subject to regulatory sanctions, enforcement actions, financial penalties, restrictions on our activities for failure to properly identify, monitor and respond to potentially problematic activity, and such outcomes could seriously harm our reputation. Our employees and agents also may commit errors that could subject us to financial claims for negligence, as well as regulatory actions, or result in our voluntary assumption of financial liability. Further, allegations by regulatory or criminal authorities of improper trading activities in our markets could affect our brand and reputation and reduce the number of participants trading in our markets. If that should occur, we could face a corresponding decline in trading volume and revenue.</w:t>
      </w:r>
    </w:p>
    <w:p>
      <w:pPr>
        <w:spacing w:after="0" w:line="6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Intellectual property rights licensed from third-party price reporting agencies form the basis for many of our products from which we derive a significant portion of our volume and revenue. Material changes in the intellectual property landscape or regulatory framework pertaining to such benchmarks could have a negative impact on our ability to offer such products.</w:t>
      </w:r>
    </w:p>
    <w:p>
      <w:pPr>
        <w:spacing w:after="0" w:line="7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are significantly dependent on the contract volume of products that are based on intellectual property rights of indexes derived from third-party price reporting agencies. To comply with CFTC core principles, we must be able to demonstrate that our products may not be readily susceptible to manipulation. Our inability to offer products based on these indexes could have a negative impact on our contract volume and revenues.</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failure to protect our intellectual property rights, or allegations that we have infringed the intellectual property rights of others, could adversely affect our business.</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business is dependent on proprietary technology and other intellectual property that we own or license from third parties. We own the rights to a large number of trademarks, service marks, domain names and trade names in the U.S., Europe, and other parts of the world. We have registered many of our most important trademarks in the U.S. and other countries. We hold the rights to a number of patents and have patent applications pending. Our patents cover match engine, trader user interface, trading floor support, market data, general technology and clearing house functionalities. We attempt to protect our proprietary technology and intellectual property rights by relying on trademarks, copyright, database rights, trade secrets, restrictions on disclosure, and other methods. Notwithstanding the precautions we take to protect our proprietary technology and intellectual property rights, it is possible that employees or third parties may copy, misappropriate, or otherwise obtain and use our proprietary technology without authorization or otherwise infringe on our rights.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6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Patents of third parties may have an important bearing on our ability to offer certain products and services. Our competitors as well as other companies and individuals may obtain, and may be expected to obtain in the future, patents related to the types of products and services we offer or plan to offer. We cannot guarantee that we are or will be aware of all patents containing claims that may pose a risk of infringement by our products and services. In addition, some patent applications in the U.S. are confidential until a patent is issued and, therefore, we cannot evaluate the extent to which our products and services may be covered or asserted to be covered by claims contained in pending patent applications. These claims of infringement are not uncommon in our industry. As a result, we may face allegations that we have infringed the intellectual property rights of third parties, which may be costly for us to defend. If one or more of our products or services is found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patents. We could also be required to pay damages if we were found to infringe patents held by others, which could materially adversely affect our business, financial condition and operating results.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at a reasonable cost to avoid infringement, which could materially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CLASS A COMMON STOCK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operations and prevent us from fulfilling our debt service obligations. We might still be able to incur more debt, intensifying these risks.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2021, we had approximately $3.4 billion of total indebtedness and we had excess borrowing capacity for general corporate purposes under our existing facilities of approximately $2.3 billion.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important consequences. For example, our indebtedness may:</w:t>
      </w:r>
    </w:p>
    <w:p>
      <w:pPr>
        <w:spacing w:after="0" w:line="63" w:lineRule="exact"/>
        <w:rPr>
          <w:sz w:val="20"/>
          <w:szCs w:val="20"/>
          <w:color w:val="auto"/>
        </w:rPr>
      </w:pPr>
    </w:p>
    <w:p>
      <w:pPr>
        <w:ind w:left="660" w:right="360" w:hanging="328"/>
        <w:spacing w:after="0" w:line="274"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us to dedicate a significant portion of our cash flow from operations to payments on our debt, thereby reducing the availability of cash flows to fund capital expenditures, to pursue acquisitions or investments, to pay dividends and for general corporate purposes;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or challenges relating to our business and industry;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place us at a competitive disadvantage against any less leveraged competitors.</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could increase the risks described above to the extent that we incur additional debt. Our regulated businesses are also required to maintain minimum capital requirements set by their applicable regulators.</w:t>
      </w:r>
    </w:p>
    <w:p>
      <w:pPr>
        <w:spacing w:after="0" w:line="79" w:lineRule="exact"/>
        <w:rPr>
          <w:sz w:val="20"/>
          <w:szCs w:val="20"/>
          <w:color w:val="auto"/>
        </w:rPr>
      </w:pPr>
    </w:p>
    <w:p>
      <w:pPr>
        <w:ind w:right="1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Please see "Item 7 - Management's Discussion and Analysis of Financial Condition and Results of Operations — Regulatory Requirements" beginning on page </w:t>
      </w:r>
      <w:hyperlink w:anchor="page45">
        <w:r>
          <w:rPr>
            <w:rFonts w:ascii="Arial" w:cs="Arial" w:eastAsia="Arial" w:hAnsi="Arial"/>
            <w:sz w:val="18"/>
            <w:szCs w:val="18"/>
            <w:color w:val="auto"/>
          </w:rPr>
          <w:t xml:space="preserve">45 </w:t>
        </w:r>
      </w:hyperlink>
      <w:r>
        <w:rPr>
          <w:rFonts w:ascii="Arial" w:cs="Arial" w:eastAsia="Arial" w:hAnsi="Arial"/>
          <w:sz w:val="18"/>
          <w:szCs w:val="18"/>
          <w:color w:val="auto"/>
        </w:rPr>
        <w:t>for additional information capital requirements.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In light of the difficulties in the financial services industry and the financial markets over the last few years, including in connection with the global pandemic, there can be no assurance that we will maintain our current ratings. In the past, we have experienced ratings downgrades. Our failure to maintain our ratings could adversely affect the cost and other terms upon which we are able to obtain funding and increase our cost of capital. Additionally, if our ratings are downgraded below investment grade due to a change of control, we are required to make an offer to repurchase all of our fixed-rate notes at a price equal to 101% of the principal amount, plus accrued and unpaid interest.</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average rate per contract for our derivatives business is subject to fluctuation due to a number of factors. As a result, our average rate per contract in any particular period may not be a reliable indication of our future average rate per contract.</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average rate per contract for our derivatives business,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we cannot assure that our average rate per contract in any particular period serves as an indication of our future average rate per contract. If we fail to meet securities analysts' expectations regarding our operating results, the price of our Class A common stock could decline substantially.</w:t>
      </w:r>
    </w:p>
    <w:p>
      <w:pPr>
        <w:spacing w:after="0" w:line="6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b w:val="1"/>
          <w:bCs w:val="1"/>
          <w:i w:val="1"/>
          <w:iCs w:val="1"/>
          <w:color w:val="auto"/>
        </w:rPr>
        <w:t>Ten of our board members own trading rights, or are officers or directors of firms that own trading rights, on our derivatives exchanges. As members, these individuals may have interests that differ from or conflict with those of shareholders who are not also members. Our dependence on the trading and clearing activities of our exchange members, combined with the CME members' rights to elect six directors, may enable them to exert substantial influence over the operation of our business.</w:t>
      </w:r>
    </w:p>
    <w:p>
      <w:pPr>
        <w:spacing w:after="0" w:line="7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Ten of our directors own, or are officers or directors of firms that own trading rights on our exchanges. We are dependent on the revenues from the trading and clearing activities of our exchange members. In 2021, 84% of our derivatives contract volume was derived from our members. This dependence may give them substantial influence over how we operate our business.</w:t>
      </w:r>
    </w:p>
    <w:p>
      <w:pPr>
        <w:spacing w:after="0" w:line="7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Many of our members and clearing firms derive a substantial portion of their income and profit from their trading or clearing activities on or through our exchanges. In addition, trading rights on our exchanges have substantial independent value. The amount of profit that members derive from their trading, brokering and clearing activities and the value of their trading rights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are, in part, dependent on the fees they are charged to trade, broker, clear and access our markets, and the rules and structure of our markets. As a result, members may not have the same economic interests as holders of our Class A common stock. In addition, our members may have differing interests among themselves depending on the roles they serve in our markets, their methods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8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Our members have been granted special rights, which protect their trading privileges and require that we maintain open outcry for options products still meeting certain volume thresholds and, in the case of our Class B shareholders, provide them with special board representation.</w:t>
      </w:r>
    </w:p>
    <w:p>
      <w:pPr>
        <w:spacing w:after="0" w:line="1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Under the terms of the organizational documents of our exchanges, our exchange members have certain rights that relate primarily to trading right protections, certain trading fee protections and certain membership benefit protections. Additionally, our Class B shareholders, who are members of our CME exchange, are entitled to elect six directors to our board even if their Class A share ownership interest is very small or non-existent. We have limited ability to eliminate these election rights, and prior attempts to do so did not receive the necessary shareholder approvals. In connection with these rights, our ability to take certain actions that we may deem to be in the best interests of the company and its shareholders, including actions relating to certain pricing decisions, may be limited by the rights of our members.</w:t>
      </w:r>
    </w:p>
    <w:p>
      <w:pPr>
        <w:spacing w:after="0" w:line="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corporate headquarters are located at 20 South Wacker Drive, Chicago, IL, where we lease approximately 575,000 square feet of general office space. This lease expires in 2032. Our European headquarters are located at the London Fruit &amp; Wool Exchange at 1 Duval Square, London, where we lease approximately 120,000 square feet of general office space. This lease expires in 2038.</w:t>
      </w:r>
    </w:p>
    <w:p>
      <w:pPr>
        <w:spacing w:after="0" w:line="7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the fourth quarter of 2021, we sold our building at 333 S. LaSalle Street, Chicago, IL, which is approximately 260,000 square feet and contains the trading floor, and our sale lease-back will conclude during 2022. At such time, we will move to a leased space at 141 W. Jackson Street, Chicago, IL of approximately 145,000 square feet, which will contain the trading floor. The lease for this space expires in 2027.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also lease our largest data center from CyrusOne in Aurora, IL. This lease expires in 2031.</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to the above properties, we have other offices and data centers in various locations around the globe. The company’s management believes that its properties are suitable for the purposes for which they are used and our current needs. Please see note 5. Property and note 11. Leases and Other Commitments to the consolidated financial statements for more information.</w:t>
      </w:r>
    </w:p>
    <w:p>
      <w:pPr>
        <w:spacing w:after="0" w:line="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21" w:lineRule="exact"/>
        <w:rPr>
          <w:sz w:val="20"/>
          <w:szCs w:val="20"/>
          <w:color w:val="auto"/>
        </w:rPr>
      </w:pPr>
    </w:p>
    <w:p>
      <w:pPr>
        <w:ind w:right="5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"Legal and Regulatory Matters" in note 12. Contingencies to the consolidated financial statements beginning on page </w:t>
      </w:r>
      <w:hyperlink w:anchor="page75">
        <w:r>
          <w:rPr>
            <w:rFonts w:ascii="Arial" w:cs="Arial" w:eastAsia="Arial" w:hAnsi="Arial"/>
            <w:sz w:val="18"/>
            <w:szCs w:val="18"/>
            <w:color w:val="auto"/>
          </w:rPr>
          <w:t xml:space="preserve">75 </w:t>
        </w:r>
      </w:hyperlink>
      <w:r>
        <w:rPr>
          <w:rFonts w:ascii="Arial" w:cs="Arial" w:eastAsia="Arial" w:hAnsi="Arial"/>
          <w:sz w:val="18"/>
          <w:szCs w:val="18"/>
          <w:color w:val="auto"/>
        </w:rPr>
        <w:t>for CME Group’s legal proceedings disclosure, which is incorporated herein by reference.</w:t>
      </w:r>
    </w:p>
    <w:p>
      <w:pPr>
        <w:spacing w:after="0" w:line="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840" w:right="180" w:hanging="1295"/>
        <w:spacing w:after="0" w:line="282" w:lineRule="auto"/>
        <w:tabs>
          <w:tab w:leader="none" w:pos="820" w:val="left"/>
        </w:tabs>
        <w:rPr>
          <w:sz w:val="20"/>
          <w:szCs w:val="20"/>
          <w:color w:val="auto"/>
        </w:rPr>
      </w:pPr>
      <w:r>
        <w:rPr>
          <w:rFonts w:ascii="Arial" w:cs="Arial" w:eastAsia="Arial" w:hAnsi="Arial"/>
          <w:sz w:val="18"/>
          <w:szCs w:val="18"/>
          <w:b w:val="1"/>
          <w:bCs w:val="1"/>
          <w:color w:val="auto"/>
        </w:rPr>
        <w:t>ITEM 5.</w:t>
        <w:tab/>
        <w:t>MARKET FOR REGISTRANT’S COMMON EQUITY, RELATED SHAREHOLDER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Class A common stock is currently listed on Nasdaq under the ticker symbol "CME." As of February 9, 2022, there were approximately 4,555 holders of record of our Class A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Class B common stock is not listed on a national securities exchange or traded in an organized over-the-counter (OTC)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Class B shares and the associated trading rights are bought and sold or leased through our membership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primarily determined by the value of our Class A common stock</w:t>
      </w:r>
      <w:r>
        <w:rPr>
          <w:rFonts w:ascii="Arial" w:cs="Arial" w:eastAsia="Arial" w:hAnsi="Arial"/>
          <w:sz w:val="19"/>
          <w:szCs w:val="19"/>
          <w:color w:val="auto"/>
        </w:rPr>
        <w:t>.</w:t>
      </w:r>
      <w:r>
        <w:rPr>
          <w:rFonts w:ascii="Arial" w:cs="Arial" w:eastAsia="Arial" w:hAnsi="Arial"/>
          <w:sz w:val="18"/>
          <w:szCs w:val="18"/>
          <w:color w:val="auto"/>
        </w:rPr>
        <w:t xml:space="preserve"> As of February 9, 2022, there were approximately 1,550 holders of record of our Class B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2021, we issued 4.6 million shares of non-voting Series G preferred stock. Our preferred stock is not listed on a national securities exchange or traded in an organized OTC market. These shares are convertible to Class A common stock at a 1:1 ratio at the discretion of the holder. Our preferred stock has the same equitable interest in our earnings and the same dividend payments per share as our Class A shares on an as converted basis. As of February 9, 2022, there was one holder of record of our Series G preferred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graph below compares the cumulative five-year total return on CME Group Inc.'s Class A common stock relative to the cumulative total returns of the S&amp;P 500 index and a customized peer group of five companies that include: Cboe Global Markets Inc, Deutsche Boerse Ag, Intercontinental Exchange Inc, London Stock Exchange Group Plc and Nasdaq Inc. An investment of $100 (with reinvestment of all dividends) is assumed to have been made in our Class A common stock, in the peer group and the S&amp;P 500 index on December 31, 2016 and its relative performance is tracked through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262890</wp:posOffset>
            </wp:positionV>
            <wp:extent cx="5863590" cy="4834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4834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CME Group Inc.</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174.83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191.74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179.60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S&amp;P 500</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121.83</w:t>
            </w:r>
          </w:p>
        </w:tc>
        <w:tc>
          <w:tcPr>
            <w:tcW w:w="240" w:type="dxa"/>
            <w:vAlign w:val="bottom"/>
          </w:tcPr>
          <w:p>
            <w:pPr>
              <w:spacing w:after="0"/>
              <w:rPr>
                <w:sz w:val="19"/>
                <w:szCs w:val="19"/>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116.49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23"/>
              <w:spacing w:after="0"/>
              <w:rPr>
                <w:sz w:val="20"/>
                <w:szCs w:val="20"/>
                <w:color w:val="auto"/>
              </w:rPr>
            </w:pPr>
            <w:r>
              <w:rPr>
                <w:rFonts w:ascii="Arial" w:cs="Arial" w:eastAsia="Arial" w:hAnsi="Arial"/>
                <w:sz w:val="18"/>
                <w:szCs w:val="18"/>
                <w:color w:val="auto"/>
              </w:rPr>
              <w:t>153.17</w:t>
            </w:r>
          </w:p>
        </w:tc>
        <w:tc>
          <w:tcPr>
            <w:tcW w:w="120" w:type="dxa"/>
            <w:vAlign w:val="bottom"/>
          </w:tcPr>
          <w:p>
            <w:pPr>
              <w:spacing w:after="0"/>
              <w:rPr>
                <w:sz w:val="19"/>
                <w:szCs w:val="19"/>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181.35</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Peer Group</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139.35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260.67</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303.11</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580" w:type="dxa"/>
            <w:vAlign w:val="bottom"/>
          </w:tcPr>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80" w:type="dxa"/>
            <w:vAlign w:val="bottom"/>
          </w:tcPr>
          <w:p>
            <w:pPr>
              <w:spacing w:after="0"/>
              <w:rPr>
                <w:sz w:val="20"/>
                <w:szCs w:val="20"/>
                <w:color w:val="auto"/>
              </w:rPr>
            </w:pPr>
            <w:r>
              <w:rPr>
                <w:rFonts w:ascii="Arial" w:cs="Arial" w:eastAsia="Arial" w:hAnsi="Arial"/>
                <w:sz w:val="18"/>
                <w:szCs w:val="18"/>
                <w:color w:val="auto"/>
              </w:rPr>
              <w:t>Not applicable.</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80" w:type="dxa"/>
            <w:vAlign w:val="bottom"/>
          </w:tcPr>
          <w:p>
            <w:pPr>
              <w:spacing w:after="0"/>
              <w:rPr>
                <w:sz w:val="20"/>
                <w:szCs w:val="20"/>
                <w:color w:val="auto"/>
              </w:rPr>
            </w:pPr>
            <w:r>
              <w:rPr>
                <w:rFonts w:ascii="Arial" w:cs="Arial" w:eastAsia="Arial" w:hAnsi="Arial"/>
                <w:sz w:val="18"/>
                <w:szCs w:val="18"/>
                <w:b w:val="1"/>
                <w:bCs w:val="1"/>
                <w:i w:val="1"/>
                <w:iCs w:val="1"/>
                <w:color w:val="auto"/>
              </w:rPr>
              <w:t>Issuer Purchases of Equity Securities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center"/>
              <w:ind w:left="163"/>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40" w:type="dxa"/>
            <w:vAlign w:val="bottom"/>
            <w:gridSpan w:val="4"/>
            <w:vMerge w:val="restart"/>
          </w:tcPr>
          <w:p>
            <w:pPr>
              <w:jc w:val="center"/>
              <w:ind w:left="28"/>
              <w:spacing w:after="0"/>
              <w:rPr>
                <w:sz w:val="20"/>
                <w:szCs w:val="20"/>
                <w:color w:val="auto"/>
              </w:rPr>
            </w:pPr>
            <w:r>
              <w:rPr>
                <w:rFonts w:ascii="Arial" w:cs="Arial" w:eastAsia="Arial" w:hAnsi="Arial"/>
                <w:sz w:val="14"/>
                <w:szCs w:val="14"/>
                <w:b w:val="1"/>
                <w:bCs w:val="1"/>
                <w:color w:val="auto"/>
                <w:w w:val="95"/>
              </w:rPr>
              <w:t>Maximum Number (or Approximate</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left="123"/>
              <w:spacing w:after="0" w:line="135" w:lineRule="exact"/>
              <w:rPr>
                <w:sz w:val="20"/>
                <w:szCs w:val="20"/>
                <w:color w:val="auto"/>
              </w:rPr>
            </w:pPr>
            <w:r>
              <w:rPr>
                <w:rFonts w:ascii="Arial" w:cs="Arial" w:eastAsia="Arial" w:hAnsi="Arial"/>
                <w:sz w:val="14"/>
                <w:szCs w:val="14"/>
                <w:b w:val="1"/>
                <w:bCs w:val="1"/>
                <w:color w:val="auto"/>
                <w:w w:val="92"/>
              </w:rPr>
              <w:t>Shares (or Units)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1"/>
                <w:szCs w:val="11"/>
                <w:color w:val="auto"/>
              </w:rPr>
            </w:pPr>
          </w:p>
        </w:tc>
        <w:tc>
          <w:tcPr>
            <w:tcW w:w="134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2"/>
              </w:rPr>
              <w:t>Average Price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left="123"/>
              <w:spacing w:after="0" w:line="135" w:lineRule="exact"/>
              <w:rPr>
                <w:sz w:val="20"/>
                <w:szCs w:val="20"/>
                <w:color w:val="auto"/>
              </w:rPr>
            </w:pPr>
            <w:r>
              <w:rPr>
                <w:rFonts w:ascii="Arial" w:cs="Arial" w:eastAsia="Arial" w:hAnsi="Arial"/>
                <w:sz w:val="14"/>
                <w:szCs w:val="14"/>
                <w:b w:val="1"/>
                <w:bCs w:val="1"/>
                <w:color w:val="auto"/>
                <w:w w:val="87"/>
              </w:rPr>
              <w:t>Purchased as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40" w:type="dxa"/>
            <w:vAlign w:val="bottom"/>
            <w:gridSpan w:val="4"/>
          </w:tcPr>
          <w:p>
            <w:pPr>
              <w:jc w:val="center"/>
              <w:ind w:left="8"/>
              <w:spacing w:after="0" w:line="135"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left="123"/>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40" w:type="dxa"/>
            <w:vAlign w:val="bottom"/>
            <w:gridSpan w:val="4"/>
          </w:tcPr>
          <w:p>
            <w:pPr>
              <w:jc w:val="center"/>
              <w:ind w:left="28"/>
              <w:spacing w:after="0" w:line="135" w:lineRule="exact"/>
              <w:rPr>
                <w:sz w:val="20"/>
                <w:szCs w:val="20"/>
                <w:color w:val="auto"/>
              </w:rPr>
            </w:pPr>
            <w:r>
              <w:rPr>
                <w:rFonts w:ascii="Arial" w:cs="Arial" w:eastAsia="Arial" w:hAnsi="Arial"/>
                <w:sz w:val="14"/>
                <w:szCs w:val="14"/>
                <w:b w:val="1"/>
                <w:bCs w:val="1"/>
                <w:color w:val="auto"/>
                <w:w w:val="94"/>
              </w:rPr>
              <w:t>of Shares (or Units) that May Yet</w:t>
            </w:r>
          </w:p>
        </w:tc>
        <w:tc>
          <w:tcPr>
            <w:tcW w:w="0" w:type="dxa"/>
            <w:vAlign w:val="bottom"/>
          </w:tcPr>
          <w:p>
            <w:pPr>
              <w:spacing w:after="0"/>
              <w:rPr>
                <w:sz w:val="1"/>
                <w:szCs w:val="1"/>
                <w:color w:val="auto"/>
              </w:rPr>
            </w:pPr>
          </w:p>
        </w:tc>
      </w:tr>
      <w:tr>
        <w:trPr>
          <w:trHeight w:val="135"/>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 in 2021</w:t>
            </w: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of Shares (or Units)</w:t>
            </w:r>
          </w:p>
        </w:tc>
        <w:tc>
          <w:tcPr>
            <w:tcW w:w="240" w:type="dxa"/>
            <w:vAlign w:val="bottom"/>
          </w:tcPr>
          <w:p>
            <w:pPr>
              <w:spacing w:after="0"/>
              <w:rPr>
                <w:sz w:val="11"/>
                <w:szCs w:val="11"/>
                <w:color w:val="auto"/>
              </w:rPr>
            </w:pPr>
          </w:p>
        </w:tc>
        <w:tc>
          <w:tcPr>
            <w:tcW w:w="134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3"/>
              </w:rPr>
              <w:t>Paid Per Share (or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left="143"/>
              <w:spacing w:after="0" w:line="135"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40" w:type="dxa"/>
            <w:vAlign w:val="bottom"/>
            <w:gridSpan w:val="4"/>
          </w:tcPr>
          <w:p>
            <w:pPr>
              <w:jc w:val="center"/>
              <w:ind w:left="28"/>
              <w:spacing w:after="0" w:line="135" w:lineRule="exact"/>
              <w:rPr>
                <w:sz w:val="20"/>
                <w:szCs w:val="20"/>
                <w:color w:val="auto"/>
              </w:rPr>
            </w:pPr>
            <w:r>
              <w:rPr>
                <w:rFonts w:ascii="Arial" w:cs="Arial" w:eastAsia="Arial" w:hAnsi="Arial"/>
                <w:sz w:val="14"/>
                <w:szCs w:val="14"/>
                <w:b w:val="1"/>
                <w:bCs w:val="1"/>
                <w:color w:val="auto"/>
                <w:w w:val="92"/>
              </w:rPr>
              <w:t>Be Purchased Under</w:t>
            </w:r>
          </w:p>
        </w:tc>
        <w:tc>
          <w:tcPr>
            <w:tcW w:w="0" w:type="dxa"/>
            <w:vAlign w:val="bottom"/>
          </w:tcPr>
          <w:p>
            <w:pPr>
              <w:spacing w:after="0"/>
              <w:rPr>
                <w:sz w:val="1"/>
                <w:szCs w:val="1"/>
                <w:color w:val="auto"/>
              </w:rPr>
            </w:pPr>
          </w:p>
        </w:tc>
      </w:tr>
      <w:tr>
        <w:trPr>
          <w:trHeight w:val="189"/>
        </w:trPr>
        <w:tc>
          <w:tcPr>
            <w:tcW w:w="35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56"/>
              <w:spacing w:after="0" w:line="189" w:lineRule="exact"/>
              <w:rPr>
                <w:sz w:val="20"/>
                <w:szCs w:val="20"/>
                <w:color w:val="auto"/>
              </w:rPr>
            </w:pPr>
            <w:r>
              <w:rPr>
                <w:rFonts w:ascii="Arial" w:cs="Arial" w:eastAsia="Arial" w:hAnsi="Arial"/>
                <w:sz w:val="13"/>
                <w:szCs w:val="13"/>
                <w:b w:val="1"/>
                <w:bCs w:val="1"/>
                <w:color w:val="auto"/>
                <w:w w:val="93"/>
              </w:rPr>
              <w:t>Purchased</w:t>
            </w:r>
            <w:r>
              <w:rPr>
                <w:rFonts w:ascii="Arial" w:cs="Arial" w:eastAsia="Arial" w:hAnsi="Arial"/>
                <w:sz w:val="21"/>
                <w:szCs w:val="21"/>
                <w:b w:val="1"/>
                <w:bCs w:val="1"/>
                <w:color w:val="auto"/>
                <w:w w:val="93"/>
                <w:vertAlign w:val="superscript"/>
              </w:rPr>
              <w:t>(1)</w:t>
            </w:r>
          </w:p>
        </w:tc>
        <w:tc>
          <w:tcPr>
            <w:tcW w:w="240" w:type="dxa"/>
            <w:vAlign w:val="bottom"/>
          </w:tcPr>
          <w:p>
            <w:pPr>
              <w:spacing w:after="0"/>
              <w:rPr>
                <w:sz w:val="16"/>
                <w:szCs w:val="16"/>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rPr>
              <w:t>Unit)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left="3"/>
              <w:spacing w:after="0"/>
              <w:rPr>
                <w:sz w:val="20"/>
                <w:szCs w:val="20"/>
                <w:color w:val="auto"/>
              </w:rPr>
            </w:pPr>
            <w:r>
              <w:rPr>
                <w:rFonts w:ascii="Arial" w:cs="Arial" w:eastAsia="Arial" w:hAnsi="Arial"/>
                <w:sz w:val="14"/>
                <w:szCs w:val="14"/>
                <w:b w:val="1"/>
                <w:bCs w:val="1"/>
                <w:color w:val="auto"/>
                <w:w w:val="93"/>
              </w:rPr>
              <w:t>Plans or Programs</w:t>
            </w:r>
          </w:p>
        </w:tc>
        <w:tc>
          <w:tcPr>
            <w:tcW w:w="280" w:type="dxa"/>
            <w:vAlign w:val="bottom"/>
          </w:tcPr>
          <w:p>
            <w:pPr>
              <w:spacing w:after="0"/>
              <w:rPr>
                <w:sz w:val="16"/>
                <w:szCs w:val="16"/>
                <w:color w:val="auto"/>
              </w:rPr>
            </w:pPr>
          </w:p>
        </w:tc>
        <w:tc>
          <w:tcPr>
            <w:tcW w:w="2540" w:type="dxa"/>
            <w:vAlign w:val="bottom"/>
            <w:gridSpan w:val="4"/>
          </w:tcPr>
          <w:p>
            <w:pPr>
              <w:jc w:val="center"/>
              <w:ind w:left="28"/>
              <w:spacing w:after="0"/>
              <w:rPr>
                <w:sz w:val="20"/>
                <w:szCs w:val="20"/>
                <w:color w:val="auto"/>
              </w:rPr>
            </w:pPr>
            <w:r>
              <w:rPr>
                <w:rFonts w:ascii="Arial" w:cs="Arial" w:eastAsia="Arial" w:hAnsi="Arial"/>
                <w:sz w:val="14"/>
                <w:szCs w:val="14"/>
                <w:b w:val="1"/>
                <w:bCs w:val="1"/>
                <w:color w:val="auto"/>
                <w:w w:val="91"/>
              </w:rPr>
              <w:t>the Plans or Programs (in millions)</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to October 31</w:t>
            </w: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198.32</w:t>
            </w: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4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November 1 to November 30</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to December 31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ind w:left="660" w:right="140" w:hanging="652"/>
        <w:spacing w:after="0" w:line="275"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Shares purchased consist of an aggregate of 2,352 shares of Class A common stock surrendered to satisfy employee tax obligations upon the vesting of restricted stock.</w:t>
      </w:r>
    </w:p>
    <w:p>
      <w:pPr>
        <w:spacing w:after="0" w:line="200" w:lineRule="exact"/>
        <w:rPr>
          <w:sz w:val="20"/>
          <w:szCs w:val="20"/>
          <w:color w:val="auto"/>
        </w:rPr>
      </w:pP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80"/>
        <w:spacing w:after="0" w:line="354"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is organized as follows:</w:t>
      </w:r>
    </w:p>
    <w:p>
      <w:pPr>
        <w:spacing w:after="0" w:line="100" w:lineRule="exact"/>
        <w:rPr>
          <w:sz w:val="20"/>
          <w:szCs w:val="20"/>
          <w:color w:val="auto"/>
        </w:rPr>
      </w:pPr>
    </w:p>
    <w:p>
      <w:pPr>
        <w:ind w:left="660" w:right="300" w:hanging="328"/>
        <w:spacing w:after="0" w:line="28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Executive Summary</w:t>
      </w:r>
      <w:r>
        <w:rPr>
          <w:rFonts w:ascii="Arial" w:cs="Arial" w:eastAsia="Arial" w:hAnsi="Arial"/>
          <w:sz w:val="18"/>
          <w:szCs w:val="18"/>
          <w:color w:val="auto"/>
        </w:rPr>
        <w:t>: Includes an overview of our business; current economic, competitive and regulatory trends relevant to our business; our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business strategy; and our primary sources of operating and non-operating revenues and expenses.</w:t>
      </w:r>
    </w:p>
    <w:p>
      <w:pPr>
        <w:spacing w:after="0" w:line="40" w:lineRule="exact"/>
        <w:rPr>
          <w:rFonts w:ascii="Arial" w:cs="Arial" w:eastAsia="Arial" w:hAnsi="Arial"/>
          <w:sz w:val="18"/>
          <w:szCs w:val="18"/>
          <w:color w:val="auto"/>
        </w:rPr>
      </w:pPr>
    </w:p>
    <w:p>
      <w:pPr>
        <w:ind w:left="660" w:right="180" w:hanging="328"/>
        <w:spacing w:after="0" w:line="28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Critical Accounting Policies</w:t>
      </w:r>
      <w:r>
        <w:rPr>
          <w:rFonts w:ascii="Arial" w:cs="Arial" w:eastAsia="Arial" w:hAnsi="Arial"/>
          <w:sz w:val="18"/>
          <w:szCs w:val="18"/>
          <w:color w:val="auto"/>
        </w:rPr>
        <w:t>: Provides an explanation of accounting policies that may have a significant impact on our financial results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assumptions and risks associated with those policies.</w:t>
      </w:r>
    </w:p>
    <w:p>
      <w:pPr>
        <w:spacing w:after="0" w:line="26" w:lineRule="exact"/>
        <w:rPr>
          <w:rFonts w:ascii="Arial" w:cs="Arial" w:eastAsia="Arial" w:hAnsi="Arial"/>
          <w:sz w:val="18"/>
          <w:szCs w:val="18"/>
          <w:color w:val="auto"/>
        </w:rPr>
      </w:pPr>
    </w:p>
    <w:p>
      <w:pPr>
        <w:ind w:left="660" w:right="100" w:hanging="328"/>
        <w:spacing w:after="0" w:line="28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Includes an analysis of our 2021 financial results and a discussion of any known events or trends that are likely to impact</w:t>
      </w:r>
      <w:r>
        <w:rPr>
          <w:rFonts w:ascii="Arial" w:cs="Arial" w:eastAsia="Arial" w:hAnsi="Arial"/>
          <w:sz w:val="18"/>
          <w:szCs w:val="18"/>
          <w:b w:val="1"/>
          <w:bCs w:val="1"/>
          <w:color w:val="auto"/>
        </w:rPr>
        <w:t xml:space="preserve"> </w:t>
      </w:r>
      <w:r>
        <w:rPr>
          <w:rFonts w:ascii="Arial" w:cs="Arial" w:eastAsia="Arial" w:hAnsi="Arial"/>
          <w:sz w:val="18"/>
          <w:szCs w:val="18"/>
          <w:color w:val="auto"/>
        </w:rPr>
        <w:t>future results.</w:t>
      </w:r>
    </w:p>
    <w:p>
      <w:pPr>
        <w:spacing w:after="0" w:line="40" w:lineRule="exact"/>
        <w:rPr>
          <w:rFonts w:ascii="Arial" w:cs="Arial" w:eastAsia="Arial" w:hAnsi="Arial"/>
          <w:sz w:val="18"/>
          <w:szCs w:val="18"/>
          <w:color w:val="auto"/>
        </w:rPr>
      </w:pPr>
    </w:p>
    <w:p>
      <w:pPr>
        <w:ind w:left="660" w:right="120" w:hanging="328"/>
        <w:spacing w:after="0" w:line="28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Includes a discussion of our future cash requirements, capital resources, significant planned expenditures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arrangements.</w:t>
      </w:r>
    </w:p>
    <w:p>
      <w:pPr>
        <w:spacing w:after="0" w:line="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CME Group, a Delaware stock corporation, is the holding company for CME, CBOT, NYMEX, COMEX, NEX and their respective subsidiaries. The holding company structure is designed to provide strategic and operational flexibility. CME Group's Class A common stock is listed on the Nasdaq Global Select Market (Nasdaq) under the ticker symbol "CME."</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exchange consists of designated contract markets for the trading of futures and options contracts. We also clear futures, options and swaps contracts through our clearing house. Futures contracts, options contracts and swaps contracts provide investors with vehicles for protecting against, and potentially profiting from, price changes in financial instruments and physical commodities.</w:t>
      </w:r>
    </w:p>
    <w:p>
      <w:pPr>
        <w:spacing w:after="0" w:line="7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are a global company with customer access available virtually all over the world. Our customers consist of professional traders, financial institutions, individual and institutional investors, major corporations, manufacturers, producers, governments and central banks. Customers include both members of the exchange and non-members.</w:t>
      </w:r>
    </w:p>
    <w:p>
      <w:pPr>
        <w:spacing w:after="0" w:line="7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offer our customers the opportunity to trade futures contracts and options contracts on a range of products, including those based on interest rates, equity indexes, foreign exchange, agricultural commodities, energy and metals. Through our cash markets business, we offer fixed income trading through BrokerTec and foreign currency trading through EBS. Our products provide a means for hedging, speculating and allocating assets. We identify new products by monitoring economic trends and their impact on the risk management and speculative needs of our existing and prospective customers.</w:t>
      </w:r>
    </w:p>
    <w:p>
      <w:pPr>
        <w:spacing w:after="0" w:line="49"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Most of our products are available for trading through our electronic trading platforms. These execution facilities offer our customers immediate trade execution and price transparency. In addition, trades can be executed through privately negotiated transactions that are cleared and settled through our clearing house.</w:t>
      </w:r>
    </w:p>
    <w:p>
      <w:pPr>
        <w:spacing w:after="0" w:line="76" w:lineRule="exact"/>
        <w:rPr>
          <w:sz w:val="20"/>
          <w:szCs w:val="20"/>
          <w:color w:val="auto"/>
        </w:rPr>
      </w:pPr>
    </w:p>
    <w:p>
      <w:pPr>
        <w:jc w:val="both"/>
        <w:ind w:right="700"/>
        <w:spacing w:after="0" w:line="311" w:lineRule="auto"/>
        <w:rPr>
          <w:sz w:val="20"/>
          <w:szCs w:val="20"/>
          <w:color w:val="auto"/>
        </w:rPr>
      </w:pPr>
      <w:r>
        <w:rPr>
          <w:rFonts w:ascii="Arial" w:cs="Arial" w:eastAsia="Arial" w:hAnsi="Arial"/>
          <w:sz w:val="16"/>
          <w:szCs w:val="16"/>
          <w:color w:val="auto"/>
        </w:rPr>
        <w:t>Prior to September 2021, we provided optimization services that delivered transaction lifecycle management and information services to help our customers optimize their capital, mitigate their risk and reduce operational costs. Optimization services included Traiana, TriOptima and Reset. In September 2021, we contributed the net assets of our optimization business to OSTTRA, our new joint venture with IHS Markit.</w:t>
      </w:r>
    </w:p>
    <w:p>
      <w:pPr>
        <w:spacing w:after="0" w:line="4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clearing house clears, settles and guarantees futures and options contracts traded through our exchanges, in addition to cleared swaps products. Our clearing house's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 as the counterparty to every transaction allows our customers to establish a position with one party and offset the position with another party. This contract offsetting process provides our customers with flexibility in establishing and adjusting positions and provides for collateral and margining efficiencies. Certain BrokerTec and EBS contracts are cleared at third-party clearing houses.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11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Economic Environment. </w:t>
      </w:r>
      <w:r>
        <w:rPr>
          <w:rFonts w:ascii="Arial" w:cs="Arial" w:eastAsia="Arial" w:hAnsi="Arial"/>
          <w:sz w:val="18"/>
          <w:szCs w:val="18"/>
          <w:color w:val="auto"/>
        </w:rPr>
        <w:t>Our customers continue to use our markets as an effective and transparent means to manage risk and meet their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needs. Trading activity in our centralized markets has fluctuated due to the ongoing uncertainty in the financial markets, fluctuations in the availability of credit, variations in the amount of assets under management as well as the Federal Reserve Bank’s interest rate policy and quantitative easing. We continue to maintain high quality and diverse products as well as various clearing and market data services, which support our customers in any economic environment.</w:t>
      </w:r>
    </w:p>
    <w:p>
      <w:pPr>
        <w:spacing w:after="0" w:line="75" w:lineRule="exact"/>
        <w:rPr>
          <w:sz w:val="20"/>
          <w:szCs w:val="20"/>
          <w:color w:val="auto"/>
        </w:rPr>
      </w:pPr>
    </w:p>
    <w:p>
      <w:pPr>
        <w:spacing w:after="0" w:line="287" w:lineRule="auto"/>
        <w:rPr>
          <w:rFonts w:ascii="Arial" w:cs="Arial" w:eastAsia="Arial" w:hAnsi="Arial"/>
          <w:sz w:val="16"/>
          <w:szCs w:val="16"/>
          <w:color w:val="auto"/>
        </w:rPr>
      </w:pPr>
      <w:r>
        <w:rPr>
          <w:rFonts w:ascii="Arial" w:cs="Arial" w:eastAsia="Arial" w:hAnsi="Arial"/>
          <w:sz w:val="16"/>
          <w:szCs w:val="16"/>
          <w:b w:val="1"/>
          <w:bCs w:val="1"/>
          <w:color w:val="auto"/>
        </w:rPr>
        <w:t xml:space="preserve">Competitive Environment. </w:t>
      </w:r>
      <w:r>
        <w:rPr>
          <w:rFonts w:ascii="Arial" w:cs="Arial" w:eastAsia="Arial" w:hAnsi="Arial"/>
          <w:sz w:val="16"/>
          <w:szCs w:val="16"/>
          <w:color w:val="auto"/>
        </w:rPr>
        <w:t>Our industry is competitive and we continue to encounter competition in all aspects of our business. We expect competition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continue to intensify, especially in light of ongoing regulatory reform in the financial services industry. Competition is influenced by our brand and reputation; the efficiency and security of our settlement, clearing and support services; depth and liquidity of our markets; diversity of product offerings, including frequency and quality of new product development and innovative services; our ability to position and expand upon existing products to address changing market needs; efficient and seamless customer experience; transparency, reliability, anonymity and security of transaction processing; the regulatory environment; connectivity, accessibility, flexibility in execution methods and distribution; and technology capability and innovation, as well as overall transaction costs. We believe we are very well positioned with respect to these factors. Our asset classes contain products designed to address differing risk management needs, and customers are able to achieve operational and capital efficiencies by accessing our diverse products through our platforms and our clearing house. We face competition from other futures, securities and securities option exchanges; clearing organizations; swap execution facilities; alternative trade execution facilities; technology firms, including market data distributors and electronic trading system developers; and others. As markets continue to evolve, we will continue to adapt our trading technology and clearing services to meet the needs of our customers. The competitive environment to which we are subject is discussed in "Item 1. Business" on page </w:t>
      </w:r>
      <w:hyperlink w:anchor="page10">
        <w:r>
          <w:rPr>
            <w:rFonts w:ascii="Arial" w:cs="Arial" w:eastAsia="Arial" w:hAnsi="Arial"/>
            <w:sz w:val="16"/>
            <w:szCs w:val="16"/>
            <w:color w:val="auto"/>
          </w:rPr>
          <w:t>10.</w:t>
        </w:r>
      </w:hyperlink>
    </w:p>
    <w:p>
      <w:pPr>
        <w:spacing w:after="0" w:line="60" w:lineRule="exact"/>
        <w:rPr>
          <w:sz w:val="20"/>
          <w:szCs w:val="20"/>
          <w:color w:val="auto"/>
        </w:rPr>
      </w:pPr>
    </w:p>
    <w:p>
      <w:pPr>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Regulatory Environment. </w:t>
      </w:r>
      <w:r>
        <w:rPr>
          <w:rFonts w:ascii="Arial" w:cs="Arial" w:eastAsia="Arial" w:hAnsi="Arial"/>
          <w:sz w:val="18"/>
          <w:szCs w:val="18"/>
          <w:color w:val="auto"/>
        </w:rPr>
        <w:t>Our exchange-traded derivatives exchanges and other businesses are regulated and we serve a customer base that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regulated institutions and individuals. Developments in the regulatory environment have the potential to significantly impact our business. Compliance with regulations may require us and our customers to dedicate significant financial and operational resources, which could adversely affect our profitability. The regulatory environment to which we are subject is discussed in "Item 1. Business" on page </w:t>
      </w:r>
      <w:hyperlink w:anchor="page11">
        <w:r>
          <w:rPr>
            <w:rFonts w:ascii="Arial" w:cs="Arial" w:eastAsia="Arial" w:hAnsi="Arial"/>
            <w:sz w:val="18"/>
            <w:szCs w:val="18"/>
            <w:color w:val="auto"/>
          </w:rPr>
          <w:t>11.</w:t>
        </w:r>
      </w:hyperlink>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right="22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Our strategy focuses on maximizing futures and options growth globally, diversifying our business and revenues and delivering unparalleled customer efficiencies and operational excellence, including through our partnership with Google Cloud. This strategy allows us to continue to develop into a more broadly diversified financial exchange that provides trading and clearing solutions across a wide range of products and asset classes. Our strategic initiatives are discussed in "Item 1. Business" on page </w:t>
      </w:r>
      <w:hyperlink w:anchor="page7">
        <w:r>
          <w:rPr>
            <w:rFonts w:ascii="Arial" w:cs="Arial" w:eastAsia="Arial" w:hAnsi="Arial"/>
            <w:sz w:val="18"/>
            <w:szCs w:val="18"/>
            <w:color w:val="auto"/>
          </w:rPr>
          <w:t>7.</w:t>
        </w:r>
      </w:hyperlink>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 xml:space="preserve">Clearing and transaction fees. </w:t>
      </w:r>
      <w:r>
        <w:rPr>
          <w:rFonts w:ascii="Arial" w:cs="Arial" w:eastAsia="Arial" w:hAnsi="Arial"/>
          <w:sz w:val="16"/>
          <w:szCs w:val="16"/>
          <w:color w:val="auto"/>
        </w:rPr>
        <w:t>A majority of our revenue is derived from clearing and transaction fees, which include electronic trading fees, surcharges</w:t>
      </w:r>
      <w:r>
        <w:rPr>
          <w:rFonts w:ascii="Arial" w:cs="Arial" w:eastAsia="Arial" w:hAnsi="Arial"/>
          <w:sz w:val="16"/>
          <w:szCs w:val="16"/>
          <w:b w:val="1"/>
          <w:bCs w:val="1"/>
          <w:color w:val="auto"/>
        </w:rPr>
        <w:t xml:space="preserve"> </w:t>
      </w:r>
      <w:r>
        <w:rPr>
          <w:rFonts w:ascii="Arial" w:cs="Arial" w:eastAsia="Arial" w:hAnsi="Arial"/>
          <w:sz w:val="16"/>
          <w:szCs w:val="16"/>
          <w:color w:val="auto"/>
        </w:rPr>
        <w:t>for privately negotiated transactions and other volume-related charges for exchange-traded and over-the-counter (OTC) contracts. Because clearing and transaction fees are assessed on a per-contract or notional value basis, revenues and profitability fluctuate with changes in contract volume. In addition to the business trends noted earlier, our contract volume, and consequently our revenues, tend to increase during periods of economic and geopolitical uncertainty as our customers seek to manage their exposure to, or speculate on, the market volatility resulting from that uncertainty.</w:t>
      </w:r>
    </w:p>
    <w:p>
      <w:pPr>
        <w:spacing w:after="0" w:line="5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While volume has the most significant impact on our clearing and transaction fees revenue, there are four other factors that also influence this source of revenue:</w:t>
      </w:r>
    </w:p>
    <w:p>
      <w:pPr>
        <w:spacing w:after="0" w:line="62"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rate structure;</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mix;</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venue;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percentage of trades executed by customers who are members compared with non-member customers.</w:t>
      </w:r>
    </w:p>
    <w:p>
      <w:pPr>
        <w:spacing w:after="0" w:line="103" w:lineRule="exact"/>
        <w:rPr>
          <w:sz w:val="20"/>
          <w:szCs w:val="20"/>
          <w:color w:val="auto"/>
        </w:rPr>
      </w:pPr>
    </w:p>
    <w:p>
      <w:pPr>
        <w:ind w:left="340" w:right="240"/>
        <w:spacing w:after="0" w:line="311" w:lineRule="auto"/>
        <w:rPr>
          <w:sz w:val="20"/>
          <w:szCs w:val="20"/>
          <w:color w:val="auto"/>
        </w:rPr>
      </w:pPr>
      <w:r>
        <w:rPr>
          <w:rFonts w:ascii="Arial" w:cs="Arial" w:eastAsia="Arial" w:hAnsi="Arial"/>
          <w:sz w:val="16"/>
          <w:szCs w:val="16"/>
          <w:i w:val="1"/>
          <w:iCs w:val="1"/>
          <w:color w:val="auto"/>
        </w:rPr>
        <w:t xml:space="preserve">Rate structure. </w:t>
      </w:r>
      <w:r>
        <w:rPr>
          <w:rFonts w:ascii="Arial" w:cs="Arial" w:eastAsia="Arial" w:hAnsi="Arial"/>
          <w:sz w:val="16"/>
          <w:szCs w:val="16"/>
          <w:color w:val="auto"/>
        </w:rPr>
        <w:t>Customers benefit from volume discounts and limits on fees as part of our effort to increase liquidity in certain products. We offer</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incentive programs to promote trading and clearing in various products and geographic locations. We may periodically change fees, volume discounts, fee limits and member discounts, perhaps significantly, based on our review of operations and the business environment.</w:t>
      </w:r>
    </w:p>
    <w:p>
      <w:pPr>
        <w:spacing w:after="0" w:line="41" w:lineRule="exact"/>
        <w:rPr>
          <w:sz w:val="20"/>
          <w:szCs w:val="20"/>
          <w:color w:val="auto"/>
        </w:rPr>
      </w:pPr>
    </w:p>
    <w:p>
      <w:pPr>
        <w:ind w:left="340" w:right="140"/>
        <w:spacing w:after="0" w:line="263" w:lineRule="auto"/>
        <w:rPr>
          <w:sz w:val="20"/>
          <w:szCs w:val="20"/>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We offer exchange-traded futures and options contracts as well as cleared-only interest rate swap contracts. We also offer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spot and forward contracts and fixed income products. Rates are varied by product in order to optimize revenue on existing products and to encourage contract volume upon introduction of new products.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right="120"/>
        <w:spacing w:after="0" w:line="296" w:lineRule="auto"/>
        <w:rPr>
          <w:sz w:val="20"/>
          <w:szCs w:val="20"/>
          <w:color w:val="auto"/>
        </w:rPr>
      </w:pPr>
      <w:r>
        <w:rPr>
          <w:rFonts w:ascii="Arial" w:cs="Arial" w:eastAsia="Arial" w:hAnsi="Arial"/>
          <w:sz w:val="16"/>
          <w:szCs w:val="16"/>
          <w:i w:val="1"/>
          <w:iCs w:val="1"/>
          <w:color w:val="auto"/>
        </w:rPr>
        <w:t xml:space="preserve">Venue. </w:t>
      </w:r>
      <w:r>
        <w:rPr>
          <w:rFonts w:ascii="Arial" w:cs="Arial" w:eastAsia="Arial" w:hAnsi="Arial"/>
          <w:sz w:val="16"/>
          <w:szCs w:val="16"/>
          <w:color w:val="auto"/>
        </w:rPr>
        <w:t>Our exchange and platforms are an international marketplace that brings together buyers and sellers mainly through our electronic trading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through open outcry trading and privately negotiated transactions. Any customer who is guaranteed by a clearing firm and who agrees to be bound by our exchange rules is able to obtain direct access to our electronic platforms. Open outcry trading is conducted exclusively by our members, who may execute trades on behalf of customers or for themselves. Beginning in May 2021, open outcry trading is now limited to Eurodollar options and Secured Overnight Financing Rate (SOFR) options products following the permanent closure of most of our open outcry pits.</w:t>
      </w:r>
    </w:p>
    <w:p>
      <w:pPr>
        <w:spacing w:after="0" w:line="53" w:lineRule="exact"/>
        <w:rPr>
          <w:sz w:val="20"/>
          <w:szCs w:val="20"/>
          <w:color w:val="auto"/>
        </w:rPr>
      </w:pPr>
    </w:p>
    <w:p>
      <w:pPr>
        <w:ind w:left="340" w:right="140"/>
        <w:spacing w:after="0" w:line="263" w:lineRule="auto"/>
        <w:rPr>
          <w:sz w:val="20"/>
          <w:szCs w:val="20"/>
          <w:color w:val="auto"/>
        </w:rPr>
      </w:pPr>
      <w:r>
        <w:rPr>
          <w:rFonts w:ascii="Arial" w:cs="Arial" w:eastAsia="Arial" w:hAnsi="Arial"/>
          <w:sz w:val="18"/>
          <w:szCs w:val="18"/>
          <w:color w:val="auto"/>
        </w:rPr>
        <w:t>Typically, customers submitting trades through our electronic platforms are charged fees for using the platforms in addition to the fees assessed on all transactions executed on our exchange. Customers entering into privately negotiated transactions also incur additional charges beyond the fees assessed on other transactions.</w:t>
      </w:r>
    </w:p>
    <w:p>
      <w:pPr>
        <w:spacing w:after="0" w:line="76" w:lineRule="exact"/>
        <w:rPr>
          <w:sz w:val="20"/>
          <w:szCs w:val="20"/>
          <w:color w:val="auto"/>
        </w:rPr>
      </w:pPr>
    </w:p>
    <w:p>
      <w:pPr>
        <w:ind w:left="340" w:right="220"/>
        <w:spacing w:after="0" w:line="342" w:lineRule="auto"/>
        <w:rPr>
          <w:sz w:val="20"/>
          <w:szCs w:val="20"/>
          <w:color w:val="auto"/>
        </w:rPr>
      </w:pPr>
      <w:r>
        <w:rPr>
          <w:rFonts w:ascii="Arial" w:cs="Arial" w:eastAsia="Arial" w:hAnsi="Arial"/>
          <w:sz w:val="16"/>
          <w:szCs w:val="16"/>
          <w:i w:val="1"/>
          <w:iCs w:val="1"/>
          <w:color w:val="auto"/>
        </w:rPr>
        <w:t xml:space="preserve">Member/non-member mix. </w:t>
      </w:r>
      <w:r>
        <w:rPr>
          <w:rFonts w:ascii="Arial" w:cs="Arial" w:eastAsia="Arial" w:hAnsi="Arial"/>
          <w:sz w:val="16"/>
          <w:szCs w:val="16"/>
          <w:color w:val="auto"/>
        </w:rPr>
        <w:t>Generally, member customers are charged lower fees than our non-member customers. Holding all other factors constant,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decreases if the percentage of trades executed by members increases, and increases if the percentage of non-member trades increases.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Clearing and transaction fees for cash markets business</w:t>
      </w:r>
      <w:r>
        <w:rPr>
          <w:rFonts w:ascii="Arial" w:cs="Arial" w:eastAsia="Arial" w:hAnsi="Arial"/>
          <w:sz w:val="18"/>
          <w:szCs w:val="18"/>
          <w:color w:val="auto"/>
        </w:rPr>
        <w:t>. Our cash markets business provides matching services whereby we match a buyer and seller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to allow both parties to complete the trade bilaterally or through a third-party clearing house. We are not involved in the settlement of the contract but charge a transaction fee generally based on volume or notional value of the trade for providing the matching service. The cash markets business includes BrokerTec Americas, which generates revenue from a matched principal business. This business serves as a fully matched counterparty to offsetting positions entered into by clients on its electronic trading platform to facilitate anonymity and access to clearing and settlement. Revenue is generated from this business generally on a transaction fee basis.</w:t>
      </w:r>
    </w:p>
    <w:p>
      <w:pPr>
        <w:spacing w:after="0" w:line="80"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Other sources. </w:t>
      </w:r>
      <w:r>
        <w:rPr>
          <w:rFonts w:ascii="Arial" w:cs="Arial" w:eastAsia="Arial" w:hAnsi="Arial"/>
          <w:sz w:val="18"/>
          <w:szCs w:val="18"/>
          <w:color w:val="auto"/>
        </w:rPr>
        <w:t>Revenue is also derived from other sources, including market data and information services and other various services related to our</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operations.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We receive market data and information services revenue from the dissemination of our market data to subscribers.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Subscribers can obtain access to our market data services either directly or through third-party distributors.</w:t>
      </w:r>
    </w:p>
    <w:p>
      <w:pPr>
        <w:spacing w:after="0" w:line="10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service offerings include access to real-time, delayed and end-of-day quotations,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Pricing for our market data services is based on the value of the service provided and the price of comparable services offered by our competitors. Increases or decreases in our market data and information services revenue are influenced by changes in our price structure and incentive programs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63"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 includes access and communication fees. Access and communication fees are connectivity fees charged to members and</w:t>
      </w:r>
      <w:r>
        <w:rPr>
          <w:rFonts w:ascii="Arial" w:cs="Arial" w:eastAsia="Arial" w:hAnsi="Arial"/>
          <w:sz w:val="18"/>
          <w:szCs w:val="18"/>
          <w:i w:val="1"/>
          <w:iCs w:val="1"/>
          <w:color w:val="auto"/>
        </w:rPr>
        <w:t xml:space="preserve"> </w:t>
      </w:r>
      <w:r>
        <w:rPr>
          <w:rFonts w:ascii="Arial" w:cs="Arial" w:eastAsia="Arial" w:hAnsi="Arial"/>
          <w:sz w:val="18"/>
          <w:szCs w:val="18"/>
          <w:color w:val="auto"/>
        </w:rPr>
        <w:t>clearing firms that utilize our various telecommunications networks and communications services. Our communication services include our co-location program as well as the connectivity charges to customers of the CME Globex platform. Access fee revenue varies depending on the type of connection provided to customers.</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Prior to the contribution of the net assets of our optimization business to OSTTRA, other revenues included revenues from our optimization services, which included fees for risk management and information services for the OTC markets, including portfolio reconciliation and post-trade processing. Revenue earned from these services was typically generated through subscriptions or transaction fees.</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Other revenues also include fees for collateral management, equity subscription fees and fees for trade order routing through agreements from various strategic relationships as well as other services to members and clearing firms.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majority of our expenses do not vary directly with changes in our contract volume. However, licensing and other fee agreements can vary directly with certain equity, energy and swap volumes, and the majority of our employee bonuses vary indirectly with overall contract volume, as bonuses are primarily based on our financial performance.</w:t>
      </w:r>
    </w:p>
    <w:p>
      <w:pPr>
        <w:spacing w:after="0" w:line="7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Compensation and benefits expense is our most significant expense and includes employee wages, bonuses,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benefits and employer taxes. Changes in this expense are driven by fluctuations in the number of employees, increases in wages as a result of inflation or labor market conditions, changes in rates for employer taxes and other cost increases affecting benefit plans. In addition, this expense is affected by the composition of our workforce.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expense associated with our bonus and stock-based compensation plans can also have a significant impact on this expense category.</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bonus component of our compensation and benefits expense is based on our financial performance. Under the performance criteria of our annual incentive plans, the bonus funded under the plans is based on achieving certain financial performance targets established by the compensation committee of our board of directors. The compensation committee has discretion to make equitable adjustments to the cash earnings performance calculation to reflect effects of unplanned operating results or capital expenditures to meet intermediate- to long-term growth opportunities.</w:t>
      </w:r>
    </w:p>
    <w:p>
      <w:pPr>
        <w:spacing w:after="0" w:line="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general, stock-based compensation is a non-cash expense related to restricted stock and performance share grants. Stock-based compensation varies depending on the quantity and fair value of awards granted. The fair value of restricted stock awards and other performance share grants is based on either the share price on the date of the grant or a model of expected future stock prices.</w:t>
      </w:r>
    </w:p>
    <w:p>
      <w:pPr>
        <w:spacing w:after="0" w:line="7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Professional fees and outside services. </w:t>
      </w:r>
      <w:r>
        <w:rPr>
          <w:rFonts w:ascii="Arial" w:cs="Arial" w:eastAsia="Arial" w:hAnsi="Arial"/>
          <w:sz w:val="17"/>
          <w:szCs w:val="17"/>
          <w:color w:val="auto"/>
        </w:rPr>
        <w:t>This expense includes fees for consulting services received on strategic and technology initiatives; regulatory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compliance matters; temporary labor as well as legal and accounting fees. This expense may fluctuate as a result of changes in services required to complete initiatives, handle legal proceedings and comply with regulatory and compliance requirements.</w:t>
      </w:r>
    </w:p>
    <w:p>
      <w:pPr>
        <w:spacing w:after="0" w:line="50"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Depreciation and amortization expense results from the depreciation of long-lived assets such as buildings, leasehold</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furniture, fixtures and equipment. This expense also includes the amortization of purchased and internally developed software.</w:t>
      </w:r>
    </w:p>
    <w:p>
      <w:pPr>
        <w:spacing w:after="0" w:line="8"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Amortization of purchased intangibles. </w:t>
      </w:r>
      <w:r>
        <w:rPr>
          <w:rFonts w:ascii="Arial" w:cs="Arial" w:eastAsia="Arial" w:hAnsi="Arial"/>
          <w:sz w:val="18"/>
          <w:szCs w:val="18"/>
          <w:color w:val="auto"/>
        </w:rPr>
        <w:t>Amortization of purchased intangibles includes amortization of intangible assets obtained in our acquisitions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CBOT Holdings, Inc., NYMEX Holdings, Inc. and NEX as well as other asset and business acquisitions. Intangible assets subject to amortization consist primarily of clearing firm, market data and other customer relationships.</w:t>
      </w:r>
    </w:p>
    <w:p>
      <w:pPr>
        <w:spacing w:after="0" w:line="6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We incur additional ongoing expenses for communications, technology support services and various other activities necessary to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our operations.</w:t>
      </w:r>
    </w:p>
    <w:p>
      <w:pPr>
        <w:spacing w:after="0" w:line="58" w:lineRule="exact"/>
        <w:rPr>
          <w:sz w:val="20"/>
          <w:szCs w:val="20"/>
          <w:color w:val="auto"/>
        </w:rPr>
      </w:pPr>
    </w:p>
    <w:p>
      <w:pPr>
        <w:ind w:left="660" w:hanging="328"/>
        <w:spacing w:after="0" w:line="25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Technology expense consists of costs related to maintenance of the hardware and software required to support our technology. It also includes costs for network connections for our electronic platforms and some market data customers; telecommunications costs of our exchange, and fees paid for access to external market data. This expense may be driven by system capacity, functionality and redundancy requirements. It also may be impacted by growth in electronic contract volume and changes in the number of telecommunications hubs and connections which allow customers outside the U.S. to access our electronic platforms directly.</w:t>
      </w:r>
    </w:p>
    <w:p>
      <w:pPr>
        <w:spacing w:after="0" w:line="25" w:lineRule="exact"/>
        <w:rPr>
          <w:rFonts w:ascii="Arial" w:cs="Arial" w:eastAsia="Arial" w:hAnsi="Arial"/>
          <w:sz w:val="18"/>
          <w:szCs w:val="18"/>
          <w:color w:val="auto"/>
        </w:rPr>
      </w:pPr>
    </w:p>
    <w:p>
      <w:pPr>
        <w:ind w:left="660" w:right="180" w:hanging="328"/>
        <w:spacing w:after="0" w:line="305"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Licensing and other fee agreements expense includes license fees paid as a result of contract volume in equity index products. This expense also includes royalty fees and broker rebates on energy and metals products, as well as revenue sharing on cleared swaps contracts and some new product launches. This expense fluctuates with changes in contract volumes as well as changes in fee structures.</w:t>
      </w:r>
    </w:p>
    <w:p>
      <w:pPr>
        <w:ind w:left="660" w:right="40" w:hanging="328"/>
        <w:spacing w:after="0" w:line="293"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expenses include occupancy and building operations expenses including rent, maintenance, real estate taxes, utilities and other related costs related to leased property in Chicago, New York, the U.K., and India, as well as other smaller locations throughout the world. Other expenses also include marketing and travel-related expenses as well as general and administrative costs. Marketing, advertising and public relations expense includes media, print and other advertising costs, as well as costs associated with our product promotion. Other expenses also include litigation and customer settlements, impairment charges on operating assets, gains and losses on disposals of certain operating assets, and foreign currency transaction gains and losses resulting from changes in exchange rates on certain foreign monetary assets and liabilities.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Income and expenses incurred through activities outside of our core operations are considered non-operating. These activities include non-core investing and financing activities.</w:t>
      </w:r>
    </w:p>
    <w:p>
      <w:pPr>
        <w:spacing w:after="0" w:line="62" w:lineRule="exact"/>
        <w:rPr>
          <w:sz w:val="20"/>
          <w:szCs w:val="20"/>
          <w:color w:val="auto"/>
        </w:rPr>
      </w:pPr>
    </w:p>
    <w:p>
      <w:pPr>
        <w:ind w:left="660" w:right="20" w:hanging="328"/>
        <w:spacing w:after="0" w:line="275"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Investment income includes income from short-term investment of clearing firms' cash performance bonds and guaranty fund contributions as well as excess operating cash; interest income and realized gains and losses from our marketable securities; realized gains and losses and dividend income from our strategic equity investments, and gains and losses on trading securities in our non-qualified deferred compensation plans. Investment income is influenced by market interest rates, changes in the levels of cash performance bonds deposited by clearing firms, the amount of dividends distributed by our strategic investments and the availability of funds generated by operations.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6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and other borrowing costs expense includes charges associated with various short-term and long-term funding facilities, including commitment fees on lines of credit agreements.</w:t>
      </w:r>
    </w:p>
    <w:p>
      <w:pPr>
        <w:spacing w:after="0" w:line="35" w:lineRule="exact"/>
        <w:rPr>
          <w:rFonts w:ascii="Arial" w:cs="Arial" w:eastAsia="Arial" w:hAnsi="Arial"/>
          <w:sz w:val="18"/>
          <w:szCs w:val="18"/>
          <w:color w:val="auto"/>
        </w:rPr>
      </w:pPr>
    </w:p>
    <w:p>
      <w:pPr>
        <w:ind w:left="660" w:right="380" w:hanging="328"/>
        <w:spacing w:after="0" w:line="308" w:lineRule="auto"/>
        <w:tabs>
          <w:tab w:leader="none" w:pos="655"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Equity in net earnings (losses) of unconsolidated subsidiaries includes income and losses from our investments in OSTTRA, S&amp;P/Dow Jones Indices LLC (S&amp;P/DJI), Shanghai CFETS-NEX International Money Broking Co., Ltd. and Dubai Mercantile Exchange.</w:t>
      </w:r>
    </w:p>
    <w:p>
      <w:pPr>
        <w:spacing w:after="0" w:line="38" w:lineRule="exact"/>
        <w:rPr>
          <w:rFonts w:ascii="Arial" w:cs="Arial" w:eastAsia="Arial" w:hAnsi="Arial"/>
          <w:sz w:val="17"/>
          <w:szCs w:val="17"/>
          <w:b w:val="1"/>
          <w:bCs w:val="1"/>
          <w:color w:val="auto"/>
        </w:rPr>
      </w:pPr>
    </w:p>
    <w:p>
      <w:pPr>
        <w:ind w:left="660" w:hanging="328"/>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income (expense) includes expenses related to the distribution of a portion of interest earned on performance bond collateral reinvestment to the clearing firms, gains and losses on derivative contracts and other various income and expenses outside our core operations.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notes to our consolidated financial statements include disclosure of our significant accounting policies. In establishing these policies within the framework of accounting principles generally accepted in the U.S.,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the valuation of financial instruments, goodwill and intangible assets, revenue recognition, income taxes and internal use software costs.</w:t>
      </w:r>
    </w:p>
    <w:p>
      <w:pPr>
        <w:spacing w:after="0" w:line="65"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 xml:space="preserve">Valuation of financial instruments. </w:t>
      </w:r>
      <w:r>
        <w:rPr>
          <w:rFonts w:ascii="Arial" w:cs="Arial" w:eastAsia="Arial" w:hAnsi="Arial"/>
          <w:sz w:val="16"/>
          <w:szCs w:val="16"/>
          <w:color w:val="auto"/>
        </w:rPr>
        <w:t>Fair value is defined as the price that would be received to sell an asset or paid to transfer a liability in an orderly</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between market participants at the measurement date, or an exit price. We have categorized financial instruments measured at fair value into the following three-level fair value hierarchy based upon the level of judgment associated with the inputs used to measure the fair value:</w:t>
      </w:r>
    </w:p>
    <w:p>
      <w:pPr>
        <w:spacing w:after="0" w:line="38" w:lineRule="exact"/>
        <w:rPr>
          <w:sz w:val="20"/>
          <w:szCs w:val="20"/>
          <w:color w:val="auto"/>
        </w:rPr>
      </w:pPr>
    </w:p>
    <w:p>
      <w:pPr>
        <w:ind w:left="660" w:right="40" w:hanging="328"/>
        <w:spacing w:after="0" w:line="25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 w:lineRule="exact"/>
        <w:rPr>
          <w:rFonts w:ascii="Arial" w:cs="Arial" w:eastAsia="Arial" w:hAnsi="Arial"/>
          <w:sz w:val="18"/>
          <w:szCs w:val="18"/>
          <w:color w:val="auto"/>
        </w:rPr>
      </w:pPr>
    </w:p>
    <w:p>
      <w:pPr>
        <w:ind w:left="660" w:right="4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1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further discussion regarding the fair value of financial assets and liabilities, see note 2. Summary of Significant Accounting Policies and note 17. Fair Value Measurements to the consolidated financial statements.</w:t>
      </w:r>
    </w:p>
    <w:p>
      <w:pPr>
        <w:spacing w:after="0" w:line="58"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b w:val="1"/>
          <w:bCs w:val="1"/>
          <w:color w:val="auto"/>
        </w:rPr>
        <w:t xml:space="preserve">Goodwill and intangible assets. </w:t>
      </w:r>
      <w:r>
        <w:rPr>
          <w:rFonts w:ascii="Arial" w:cs="Arial" w:eastAsia="Arial" w:hAnsi="Arial"/>
          <w:sz w:val="16"/>
          <w:szCs w:val="16"/>
          <w:color w:val="auto"/>
        </w:rPr>
        <w:t>We review goodwill for impairment on a quarterly basis and whenever events or circumstances indicate that its carrying</w:t>
      </w:r>
      <w:r>
        <w:rPr>
          <w:rFonts w:ascii="Arial" w:cs="Arial" w:eastAsia="Arial" w:hAnsi="Arial"/>
          <w:sz w:val="16"/>
          <w:szCs w:val="16"/>
          <w:b w:val="1"/>
          <w:bCs w:val="1"/>
          <w:color w:val="auto"/>
        </w:rPr>
        <w:t xml:space="preserve"> </w:t>
      </w:r>
      <w:r>
        <w:rPr>
          <w:rFonts w:ascii="Arial" w:cs="Arial" w:eastAsia="Arial" w:hAnsi="Arial"/>
          <w:sz w:val="16"/>
          <w:szCs w:val="16"/>
          <w:color w:val="auto"/>
        </w:rPr>
        <w:t>value may not be recoverable. Goodwill may be tested quantitatively for impairment by comparing the carrying value of a reporting unit to its estimated fair value. Estimating the fair value of a reporting unit involves the use of valuation techniques that rely on significant estimates and assumptions. These estimates and assumptions may include forecasted revenue growth rates; forecasted operating margins; risk-adjusted discount rates; forecasted economic and market conditions; and industry multiples. We base our fair value estimates on assumptions we believe to be reasonable given the information that is available to us at the time of our assessment; however, actual future results may differ significantly from those estimates. Under certain favorable circumstances, goodwill may be reviewed qualitatively for indications of impairment without utilizing valuation techniques to estimate fair value. The qualitative assessment of goodwill may rely on significant assumptions about forecasts of revenue growth, operating margins and economic conditions as well as overall market and industry-specific trends. In addition, the carrying value of goodwill, as denominated in foreign currencies, is adjusted each reporting period as a result of movements in foreign currency exchange rates relative to the U.S. dollar. Such foreign currency translation adjustments are recorded in accumulated other comprehensive income (loss) within shareholders' equity.</w:t>
      </w:r>
    </w:p>
    <w:p>
      <w:pPr>
        <w:spacing w:after="0" w:line="5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also review indefinite-lived intangible assets on a quarterly basis or more frequently when events and circumstances indicate that their carrying values may not be recoverable. Indefinite-lived intangible assets may be tested quantitatively for impairment by comparing their carrying values to their estimated fair values. Estimating the fair value of indefinite-lived intangible assets involves the use of valuation techniques that rely on significant estimates and assumptions. These estimates and assumptions may include forecasted revenue growth rates, forecasted allocations of expense and risk-adjusted discount rates. We base our fair value estimates on assumptions we believe to be reasonable given the information that is available to us at the time of our assessment; however, actual future results may differ significantly from those estimates. Similar to goodwill, under certain favorable circumstances, indefinite-lived intangible assets may be reviewed qualitatively for indications of impairment without utilizing valuation techniques to estimate fair value. The qualitative assessment of indefinite-lived intangible assets may rely on significant assumptions about forecasts of revenue growth, operating margins and economic conditions as well as overall market and industry-specific trends.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Intangible assets subject to amortization are also assessed for impairment on a quarterly basis or more frequently when indicated by a change in economic or operational circumstances. The impairment assessment of these assets requires management to first compare the carrying value of the amortizing asset to its undiscounted net cash flows. If the carrying value exceeds the undiscounted net cash flows, management is then required to estimate the fair value of the assets and record an impairment loss for the excess of the carrying value over the fair value. In connection with this impairment assessment, management also challenges the useful lives of our definite-lived intangible assets on a periodic basis.</w:t>
      </w:r>
    </w:p>
    <w:p>
      <w:pPr>
        <w:spacing w:after="0" w:line="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A significant portion of our revenue is derived from the clearing and transaction fees we assess on each contract executed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our trading venues and cleared through our clearing house. Clearing and transaction fees are recognized as revenue when a buy and sell order are matched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 reserve is established for estimated fee adjustments to reflect corrections to customer exchange trading privileges. This reserve has historically been immaterial. The reserve is based on the historical pattern of adjustments processed as well as management's estimate of future adjustment activity.</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Calculation of the income tax provision includes an estimate of the income taxes that will be paid for the current year, as well as an estimate</w:t>
      </w:r>
      <w:r>
        <w:rPr>
          <w:rFonts w:ascii="Arial" w:cs="Arial" w:eastAsia="Arial" w:hAnsi="Arial"/>
          <w:sz w:val="17"/>
          <w:szCs w:val="17"/>
          <w:b w:val="1"/>
          <w:bCs w:val="1"/>
          <w:color w:val="auto"/>
        </w:rPr>
        <w:t xml:space="preserve"> </w:t>
      </w:r>
      <w:r>
        <w:rPr>
          <w:rFonts w:ascii="Arial" w:cs="Arial" w:eastAsia="Arial" w:hAnsi="Arial"/>
          <w:sz w:val="17"/>
          <w:szCs w:val="17"/>
          <w:color w:val="auto"/>
        </w:rPr>
        <w:t>of 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and we occasionally may consult with relevant tax authorities or engage third-party expertise where appropriate. We recognize potential liabilities for anticipated tax audit issues in the United States and other applicable foreign tax jurisdictions using a more-likely-than-not recognition threshold based on the technical merits of the tax position taken or expected to be taken. If the actual obligation of these amounts varies from our estimate, our income tax provision would be reduced or increased at the time that determination is made. This determination may not be known for several years. Past tax audits have not resulted in tax adjustments that resulted in a material change to the income tax provision in the year the audit was completed. The effective tax rate, defined as the income tax provision as a percentage of income before income taxes, will vary from year to year based on changes in tax jurisdictions, tax rates and regulations. In addition, the effective tax rate will vary with changes to income that are not subject to income tax and changes in expenses or losses that are not deductible, such as the utilization of foreign net operating losses.</w:t>
      </w:r>
    </w:p>
    <w:p>
      <w:pPr>
        <w:spacing w:after="0" w:line="7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color w:val="auto"/>
        </w:rPr>
        <w:t xml:space="preserve">Internal use software costs. </w:t>
      </w:r>
      <w:r>
        <w:rPr>
          <w:rFonts w:ascii="Arial" w:cs="Arial" w:eastAsia="Arial" w:hAnsi="Arial"/>
          <w:sz w:val="17"/>
          <w:szCs w:val="17"/>
          <w:color w:val="auto"/>
        </w:rPr>
        <w:t>Certain internal and external costs that are incurred in connection with developing or obtaining software for internal use are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We also enter into software hosting arrangements for software projects maintained in the cloud. Software development costs incurred during the planning or maintenance stages of a software project are expensed as incurred, while costs incurred during the application development stage are capitalized and are amortized over the estimated useful life of the software, which is generally two to four years, but up to eight years for certain trading and clearing applications, depending upon expected useful lives. Amortization of capitalized costs begins only when the software becomes ready for its intended use. In addition, software assets are assessed for impairment when events or circumstances indicate that the carrying values may not be recoverable or that a reduction in the estimated useful lives is warranted.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following summarizes significant changes in our financial performance for the years presented. For a comparison of our results of operations for the fiscal years ended December 31, 2020, see "Part II, Item 7. Management's Discussion and Analysis of Financial Condition and Results of Operations" of our Annual Report on Form 10-K for the fiscal year ended December 31, 2020, filed with the SEC on February 26, 2021.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Year-over-Year Change</w:t>
            </w:r>
          </w:p>
        </w:tc>
      </w:tr>
      <w:tr>
        <w:trPr>
          <w:trHeight w:val="188"/>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 except per share data)</w:t>
            </w: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2021-2020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4,689.7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4,883.6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2,044.5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2,246.2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(9)</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728.4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expense rate</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Net income attributable to CME Group</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2,636.4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2,105.2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25</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attributable to CME Group</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24</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2,402.4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2,715.6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(12)</w:t>
            </w:r>
          </w:p>
        </w:tc>
      </w:tr>
      <w:tr>
        <w:trPr>
          <w:trHeight w:val="309"/>
        </w:trPr>
        <w:tc>
          <w:tcPr>
            <w:tcW w:w="5480" w:type="dxa"/>
            <w:vAlign w:val="bottom"/>
          </w:tcPr>
          <w:p>
            <w:pPr>
              <w:spacing w:after="0"/>
              <w:rPr>
                <w:sz w:val="20"/>
                <w:szCs w:val="20"/>
                <w:color w:val="auto"/>
              </w:rPr>
            </w:pPr>
            <w:r>
              <w:rPr>
                <w:rFonts w:ascii="Arial" w:cs="Arial" w:eastAsia="Arial" w:hAnsi="Arial"/>
                <w:sz w:val="18"/>
                <w:szCs w:val="18"/>
                <w:color w:val="auto"/>
              </w:rPr>
              <w:t>_________</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n.m. not meaningful</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54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7"/>
        </w:trPr>
        <w:tc>
          <w:tcPr>
            <w:tcW w:w="5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Year-over-Year Change</w:t>
            </w:r>
          </w:p>
        </w:tc>
      </w:tr>
      <w:tr>
        <w:trPr>
          <w:trHeight w:val="188"/>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2021-2020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Clearing and transaction fees</w:t>
            </w: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Market data and information services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6</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(21)</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(4)</w:t>
            </w:r>
          </w:p>
        </w:tc>
      </w:tr>
      <w:tr>
        <w:trPr>
          <w:trHeight w:val="21"/>
        </w:trPr>
        <w:tc>
          <w:tcPr>
            <w:tcW w:w="5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Futures and Options</w:t>
      </w:r>
    </w:p>
    <w:p>
      <w:pPr>
        <w:spacing w:after="0" w:line="10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below exclude trading volume for the cash markets business as well as interest rate swaps.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Year-over-Year Change</w:t>
            </w:r>
          </w:p>
        </w:tc>
      </w:tr>
      <w:tr>
        <w:trPr>
          <w:trHeight w:val="209"/>
        </w:trPr>
        <w:tc>
          <w:tcPr>
            <w:tcW w:w="48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5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2021-2020</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 volume (in millions)</w:t>
            </w:r>
          </w:p>
        </w:tc>
        <w:tc>
          <w:tcPr>
            <w:tcW w:w="2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4,942.7</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4,820.6</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Clearing and transaction fees (in millions)</w:t>
            </w:r>
          </w:p>
        </w:tc>
        <w:tc>
          <w:tcPr>
            <w:tcW w:w="2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3,306.3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3,384.6</w:t>
            </w:r>
          </w:p>
        </w:tc>
        <w:tc>
          <w:tcPr>
            <w:tcW w:w="1580" w:type="dxa"/>
            <w:vAlign w:val="bottom"/>
          </w:tcPr>
          <w:p>
            <w:pPr>
              <w:jc w:val="right"/>
              <w:ind w:right="97"/>
              <w:spacing w:after="0"/>
              <w:rPr>
                <w:sz w:val="20"/>
                <w:szCs w:val="20"/>
                <w:color w:val="auto"/>
              </w:rPr>
            </w:pPr>
            <w:r>
              <w:rPr>
                <w:rFonts w:ascii="Arial" w:cs="Arial" w:eastAsia="Arial" w:hAnsi="Arial"/>
                <w:sz w:val="18"/>
                <w:szCs w:val="18"/>
                <w:color w:val="auto"/>
              </w:rPr>
              <w:t>(2)</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rate per contract</w:t>
            </w:r>
          </w:p>
        </w:tc>
        <w:tc>
          <w:tcPr>
            <w:tcW w:w="2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0.669</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0.702</w:t>
            </w:r>
          </w:p>
        </w:tc>
        <w:tc>
          <w:tcPr>
            <w:tcW w:w="15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estimate the following decrease in clearing and transaction fees based on a change in total contract volume and a change in average rate per contract during 2021 compared with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Increase due to change in total contract volume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Decrease due to change in average rate per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151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decrease in clearing and transaction fees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Year-over-</w:t>
      </w:r>
    </w:p>
    <w:p>
      <w:pPr>
        <w:jc w:val="center"/>
        <w:ind w:right="60"/>
        <w:spacing w:after="0"/>
        <w:rPr>
          <w:sz w:val="20"/>
          <w:szCs w:val="20"/>
          <w:color w:val="auto"/>
        </w:rPr>
      </w:pPr>
      <w:r>
        <w:rPr>
          <w:rFonts w:ascii="Arial" w:cs="Arial" w:eastAsia="Arial" w:hAnsi="Arial"/>
          <w:sz w:val="14"/>
          <w:szCs w:val="14"/>
          <w:b w:val="1"/>
          <w:bCs w:val="1"/>
          <w:color w:val="auto"/>
        </w:rPr>
        <w:t>Year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086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6"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2021-2020</w:t>
      </w:r>
    </w:p>
    <w:p>
      <w:pPr>
        <w:spacing w:after="0" w:line="50" w:lineRule="exact"/>
        <w:rPr>
          <w:sz w:val="20"/>
          <w:szCs w:val="20"/>
          <w:color w:val="auto"/>
        </w:rPr>
      </w:pPr>
    </w:p>
    <w:p>
      <w:pPr>
        <w:ind w:left="1020" w:hanging="1020"/>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81.7</w:t>
      </w:r>
    </w:p>
    <w:p>
      <w:pPr>
        <w:spacing w:after="0" w:line="2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6"/>
          <w:szCs w:val="16"/>
          <w:color w:val="auto"/>
        </w:rPr>
        <w:t>(160.0)</w:t>
      </w:r>
    </w:p>
    <w:p>
      <w:pPr>
        <w:spacing w:after="0" w:line="58" w:lineRule="exact"/>
        <w:rPr>
          <w:sz w:val="20"/>
          <w:szCs w:val="20"/>
          <w:color w:val="auto"/>
        </w:rPr>
      </w:pPr>
    </w:p>
    <w:p>
      <w:pPr>
        <w:ind w:left="960" w:hanging="960"/>
        <w:spacing w:after="0"/>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9086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9080" w:space="720"/>
            <w:col w:w="1440"/>
          </w:cols>
          <w:pgMar w:left="320" w:top="121" w:right="339" w:bottom="1440" w:gutter="0" w:footer="0" w:header="0"/>
          <w:type w:val="continuous"/>
        </w:sectPr>
      </w:pPr>
    </w:p>
    <w:p>
      <w:pPr>
        <w:spacing w:after="0" w:line="9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Volume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Year-over-Year Change</w:t>
            </w:r>
          </w:p>
        </w:tc>
      </w:tr>
      <w:tr>
        <w:trPr>
          <w:trHeight w:val="188"/>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2021-2020</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Daily Volume by Product Line: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Interest rates</w:t>
            </w:r>
          </w:p>
        </w:tc>
        <w:tc>
          <w:tcPr>
            <w:tcW w:w="1520" w:type="dxa"/>
            <w:vAlign w:val="bottom"/>
          </w:tcPr>
          <w:p>
            <w:pPr>
              <w:jc w:val="right"/>
              <w:spacing w:after="0"/>
              <w:rPr>
                <w:sz w:val="20"/>
                <w:szCs w:val="20"/>
                <w:color w:val="auto"/>
              </w:rPr>
            </w:pPr>
            <w:r>
              <w:rPr>
                <w:rFonts w:ascii="Arial" w:cs="Arial" w:eastAsia="Arial" w:hAnsi="Arial"/>
                <w:sz w:val="18"/>
                <w:szCs w:val="18"/>
                <w:color w:val="auto"/>
              </w:rPr>
              <w:t>9,200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8,032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indexes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6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52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862</w:t>
            </w:r>
          </w:p>
        </w:tc>
        <w:tc>
          <w:tcPr>
            <w:tcW w:w="1660" w:type="dxa"/>
            <w:vAlign w:val="bottom"/>
            <w:gridSpan w:val="2"/>
          </w:tcPr>
          <w:p>
            <w:pPr>
              <w:jc w:val="right"/>
              <w:ind w:right="108"/>
              <w:spacing w:after="0"/>
              <w:rPr>
                <w:sz w:val="20"/>
                <w:szCs w:val="20"/>
                <w:color w:val="auto"/>
              </w:rPr>
            </w:pPr>
            <w:r>
              <w:rPr>
                <w:rFonts w:ascii="Arial" w:cs="Arial" w:eastAsia="Arial" w:hAnsi="Arial"/>
                <w:sz w:val="18"/>
                <w:szCs w:val="18"/>
                <w:color w:val="auto"/>
              </w:rPr>
              <w:t>(7)</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Agricultural commodities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6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Energy</w:t>
            </w:r>
          </w:p>
        </w:tc>
        <w:tc>
          <w:tcPr>
            <w:tcW w:w="1520" w:type="dxa"/>
            <w:vAlign w:val="bottom"/>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2,394</w:t>
            </w:r>
          </w:p>
        </w:tc>
        <w:tc>
          <w:tcPr>
            <w:tcW w:w="1660" w:type="dxa"/>
            <w:vAlign w:val="bottom"/>
            <w:gridSpan w:val="2"/>
          </w:tcPr>
          <w:p>
            <w:pPr>
              <w:jc w:val="right"/>
              <w:ind w:right="108"/>
              <w:spacing w:after="0"/>
              <w:rPr>
                <w:sz w:val="20"/>
                <w:szCs w:val="20"/>
                <w:color w:val="auto"/>
              </w:rPr>
            </w:pPr>
            <w:r>
              <w:rPr>
                <w:rFonts w:ascii="Arial" w:cs="Arial" w:eastAsia="Arial" w:hAnsi="Arial"/>
                <w:sz w:val="18"/>
                <w:szCs w:val="18"/>
                <w:color w:val="auto"/>
              </w:rPr>
              <w:t>(9)</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6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(22)</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Aggregate average daily volume</w:t>
            </w:r>
          </w:p>
        </w:tc>
        <w:tc>
          <w:tcPr>
            <w:tcW w:w="1520" w:type="dxa"/>
            <w:vAlign w:val="bottom"/>
          </w:tcPr>
          <w:p>
            <w:pPr>
              <w:jc w:val="right"/>
              <w:spacing w:after="0"/>
              <w:rPr>
                <w:sz w:val="20"/>
                <w:szCs w:val="20"/>
                <w:color w:val="auto"/>
              </w:rPr>
            </w:pPr>
            <w:r>
              <w:rPr>
                <w:rFonts w:ascii="Arial" w:cs="Arial" w:eastAsia="Arial" w:hAnsi="Arial"/>
                <w:sz w:val="18"/>
                <w:szCs w:val="18"/>
                <w:color w:val="auto"/>
              </w:rPr>
              <w:t>19,614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19,054</w:t>
            </w:r>
          </w:p>
        </w:tc>
        <w:tc>
          <w:tcPr>
            <w:tcW w:w="1660" w:type="dxa"/>
            <w:vAlign w:val="bottom"/>
            <w:gridSpan w:val="2"/>
          </w:tcPr>
          <w:p>
            <w:pPr>
              <w:jc w:val="right"/>
              <w:ind w:right="148"/>
              <w:spacing w:after="0"/>
              <w:rPr>
                <w:sz w:val="20"/>
                <w:szCs w:val="20"/>
                <w:color w:val="auto"/>
              </w:rPr>
            </w:pPr>
            <w:r>
              <w:rPr>
                <w:rFonts w:ascii="Arial" w:cs="Arial" w:eastAsia="Arial" w:hAnsi="Arial"/>
                <w:sz w:val="18"/>
                <w:szCs w:val="18"/>
                <w:color w:val="auto"/>
              </w:rPr>
              <w:t>3</w:t>
            </w:r>
          </w:p>
        </w:tc>
      </w:tr>
      <w:tr>
        <w:trPr>
          <w:trHeight w:val="270"/>
        </w:trPr>
        <w:tc>
          <w:tcPr>
            <w:tcW w:w="64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Average Daily Volume by Venue: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CME Globex</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17,977</w:t>
            </w:r>
          </w:p>
        </w:tc>
        <w:tc>
          <w:tcPr>
            <w:tcW w:w="16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Open outcry</w:t>
            </w:r>
          </w:p>
        </w:tc>
        <w:tc>
          <w:tcPr>
            <w:tcW w:w="152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410</w:t>
            </w:r>
          </w:p>
        </w:tc>
        <w:tc>
          <w:tcPr>
            <w:tcW w:w="1660" w:type="dxa"/>
            <w:vAlign w:val="bottom"/>
            <w:gridSpan w:val="2"/>
          </w:tcPr>
          <w:p>
            <w:pPr>
              <w:jc w:val="right"/>
              <w:ind w:right="148"/>
              <w:spacing w:after="0"/>
              <w:rPr>
                <w:sz w:val="20"/>
                <w:szCs w:val="20"/>
                <w:color w:val="auto"/>
              </w:rPr>
            </w:pPr>
            <w:r>
              <w:rPr>
                <w:rFonts w:ascii="Arial" w:cs="Arial" w:eastAsia="Arial" w:hAnsi="Arial"/>
                <w:sz w:val="18"/>
                <w:szCs w:val="18"/>
                <w:color w:val="auto"/>
              </w:rPr>
              <w:t>65</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Privately negotiated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6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Aggregate average daily volume</w:t>
            </w:r>
          </w:p>
        </w:tc>
        <w:tc>
          <w:tcPr>
            <w:tcW w:w="1520" w:type="dxa"/>
            <w:vAlign w:val="bottom"/>
          </w:tcPr>
          <w:p>
            <w:pPr>
              <w:jc w:val="right"/>
              <w:spacing w:after="0"/>
              <w:rPr>
                <w:sz w:val="20"/>
                <w:szCs w:val="20"/>
                <w:color w:val="auto"/>
              </w:rPr>
            </w:pPr>
            <w:r>
              <w:rPr>
                <w:rFonts w:ascii="Arial" w:cs="Arial" w:eastAsia="Arial" w:hAnsi="Arial"/>
                <w:sz w:val="18"/>
                <w:szCs w:val="18"/>
                <w:color w:val="auto"/>
              </w:rPr>
              <w:t>19,614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19,054</w:t>
            </w:r>
          </w:p>
        </w:tc>
        <w:tc>
          <w:tcPr>
            <w:tcW w:w="1660" w:type="dxa"/>
            <w:vAlign w:val="bottom"/>
            <w:gridSpan w:val="2"/>
          </w:tcPr>
          <w:p>
            <w:pPr>
              <w:jc w:val="right"/>
              <w:ind w:right="148"/>
              <w:spacing w:after="0"/>
              <w:rPr>
                <w:sz w:val="20"/>
                <w:szCs w:val="20"/>
                <w:color w:val="auto"/>
              </w:rPr>
            </w:pPr>
            <w:r>
              <w:rPr>
                <w:rFonts w:ascii="Arial" w:cs="Arial" w:eastAsia="Arial" w:hAnsi="Arial"/>
                <w:sz w:val="18"/>
                <w:szCs w:val="18"/>
                <w:color w:val="auto"/>
              </w:rPr>
              <w:t>3</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Electronic Volume as a Percentage of Total Volume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2021 when compared with 2020, overall market volatility remained lower following periods of higher volatility in 2020, with the exception of interest rate volatility. In mid-2021, the Federal Reserve indicated a potential increase in interest rates earlier than many market participants expected, which resulted in higher volatility within the interest rate market. However, volatility remained lower in other markets throughout much of 2021. Equity market volatility was higher in 2020 as a result of the governmental and business response to the COVID-19 pandemic. In addition, a continued rebalance and reduction in demand in the crude oil market as a result of the COVID-19 pandemic resulted in lower market volatility within the energy market in 2021. We believe these factors led to the changes in volume in 2021 when compared with 2020.</w:t>
      </w:r>
    </w:p>
    <w:p>
      <w:pPr>
        <w:spacing w:after="0" w:line="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Due to the COVID-19 pandemic, in March 2020 we closed our open outcry trading floor and reopened it in August 2020 for Eurodollar options. In May 2021, we announced our decision to permanently close the trading floor outside of Eurodollar options and Secured Overnight Financing Rate (SOFR)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contracts include contracts expiring within two years. Eurodollar back 32 contracts include contracts expiring within three to ten years.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Year-over-Year Change</w:t>
            </w:r>
          </w:p>
        </w:tc>
      </w:tr>
      <w:tr>
        <w:trPr>
          <w:trHeight w:val="18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5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5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2021-2020</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Eurodollar futures and options:</w:t>
            </w:r>
          </w:p>
        </w:tc>
        <w:tc>
          <w:tcPr>
            <w:tcW w:w="35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860" w:type="dxa"/>
            <w:vAlign w:val="bottom"/>
          </w:tcPr>
          <w:p>
            <w:pPr>
              <w:ind w:left="360"/>
              <w:spacing w:after="0"/>
              <w:rPr>
                <w:sz w:val="20"/>
                <w:szCs w:val="20"/>
                <w:color w:val="auto"/>
              </w:rPr>
            </w:pPr>
            <w:r>
              <w:rPr>
                <w:rFonts w:ascii="Arial" w:cs="Arial" w:eastAsia="Arial" w:hAnsi="Arial"/>
                <w:sz w:val="18"/>
                <w:szCs w:val="18"/>
                <w:color w:val="auto"/>
              </w:rPr>
              <w:t>Front 8 futures</w:t>
            </w:r>
          </w:p>
        </w:tc>
        <w:tc>
          <w:tcPr>
            <w:tcW w:w="3520" w:type="dxa"/>
            <w:vAlign w:val="bottom"/>
          </w:tcPr>
          <w:p>
            <w:pPr>
              <w:jc w:val="right"/>
              <w:ind w:right="252"/>
              <w:spacing w:after="0"/>
              <w:rPr>
                <w:sz w:val="20"/>
                <w:szCs w:val="20"/>
                <w:color w:val="auto"/>
              </w:rPr>
            </w:pPr>
            <w:r>
              <w:rPr>
                <w:rFonts w:ascii="Arial" w:cs="Arial" w:eastAsia="Arial" w:hAnsi="Arial"/>
                <w:sz w:val="18"/>
                <w:szCs w:val="18"/>
                <w:color w:val="auto"/>
              </w:rPr>
              <w:t>1,291</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1,311</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 32 futures</w:t>
            </w:r>
          </w:p>
        </w:tc>
        <w:tc>
          <w:tcPr>
            <w:tcW w:w="3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1,085</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633</w:t>
            </w: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71</w:t>
            </w:r>
          </w:p>
        </w:tc>
      </w:tr>
      <w:tr>
        <w:trPr>
          <w:trHeight w:val="230"/>
        </w:trPr>
        <w:tc>
          <w:tcPr>
            <w:tcW w:w="4860" w:type="dxa"/>
            <w:vAlign w:val="bottom"/>
          </w:tcPr>
          <w:p>
            <w:pPr>
              <w:ind w:left="360"/>
              <w:spacing w:after="0"/>
              <w:rPr>
                <w:sz w:val="20"/>
                <w:szCs w:val="20"/>
                <w:color w:val="auto"/>
              </w:rPr>
            </w:pPr>
            <w:r>
              <w:rPr>
                <w:rFonts w:ascii="Arial" w:cs="Arial" w:eastAsia="Arial" w:hAnsi="Arial"/>
                <w:sz w:val="18"/>
                <w:szCs w:val="18"/>
                <w:color w:val="auto"/>
              </w:rPr>
              <w:t>Options</w:t>
            </w:r>
          </w:p>
        </w:tc>
        <w:tc>
          <w:tcPr>
            <w:tcW w:w="3520" w:type="dxa"/>
            <w:vAlign w:val="bottom"/>
          </w:tcPr>
          <w:p>
            <w:pPr>
              <w:jc w:val="right"/>
              <w:ind w:right="252"/>
              <w:spacing w:after="0"/>
              <w:rPr>
                <w:sz w:val="20"/>
                <w:szCs w:val="20"/>
                <w:color w:val="auto"/>
              </w:rPr>
            </w:pPr>
            <w:r>
              <w:rPr>
                <w:rFonts w:ascii="Arial" w:cs="Arial" w:eastAsia="Arial" w:hAnsi="Arial"/>
                <w:sz w:val="18"/>
                <w:szCs w:val="18"/>
                <w:color w:val="auto"/>
              </w:rPr>
              <w:t>1,059</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1,058</w:t>
            </w: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futures and options:</w:t>
            </w:r>
          </w:p>
        </w:tc>
        <w:tc>
          <w:tcPr>
            <w:tcW w:w="35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860" w:type="dxa"/>
            <w:vAlign w:val="bottom"/>
          </w:tcPr>
          <w:p>
            <w:pPr>
              <w:ind w:left="360"/>
              <w:spacing w:after="0"/>
              <w:rPr>
                <w:sz w:val="20"/>
                <w:szCs w:val="20"/>
                <w:color w:val="auto"/>
              </w:rPr>
            </w:pPr>
            <w:r>
              <w:rPr>
                <w:rFonts w:ascii="Arial" w:cs="Arial" w:eastAsia="Arial" w:hAnsi="Arial"/>
                <w:sz w:val="18"/>
                <w:szCs w:val="18"/>
                <w:color w:val="auto"/>
              </w:rPr>
              <w:t xml:space="preserve">10-Year </w:t>
            </w:r>
            <w:r>
              <w:rPr>
                <w:rFonts w:ascii="Arial" w:cs="Arial" w:eastAsia="Arial" w:hAnsi="Arial"/>
                <w:sz w:val="9"/>
                <w:szCs w:val="9"/>
                <w:b w:val="1"/>
                <w:bCs w:val="1"/>
                <w:color w:val="auto"/>
              </w:rPr>
              <w:t>(1)</w:t>
            </w:r>
          </w:p>
        </w:tc>
        <w:tc>
          <w:tcPr>
            <w:tcW w:w="3520" w:type="dxa"/>
            <w:vAlign w:val="bottom"/>
          </w:tcPr>
          <w:p>
            <w:pPr>
              <w:jc w:val="right"/>
              <w:ind w:right="252"/>
              <w:spacing w:after="0"/>
              <w:rPr>
                <w:sz w:val="20"/>
                <w:szCs w:val="20"/>
                <w:color w:val="auto"/>
              </w:rPr>
            </w:pPr>
            <w:r>
              <w:rPr>
                <w:rFonts w:ascii="Arial" w:cs="Arial" w:eastAsia="Arial" w:hAnsi="Arial"/>
                <w:sz w:val="18"/>
                <w:szCs w:val="18"/>
                <w:color w:val="auto"/>
              </w:rPr>
              <w:t>2,495</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2,107</w:t>
            </w: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18</w:t>
            </w:r>
          </w:p>
        </w:tc>
      </w:tr>
      <w:tr>
        <w:trPr>
          <w:trHeight w:val="229"/>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5-Year </w:t>
            </w:r>
            <w:r>
              <w:rPr>
                <w:rFonts w:ascii="Arial" w:cs="Arial" w:eastAsia="Arial" w:hAnsi="Arial"/>
                <w:sz w:val="9"/>
                <w:szCs w:val="9"/>
                <w:b w:val="1"/>
                <w:bCs w:val="1"/>
                <w:color w:val="auto"/>
              </w:rPr>
              <w:t>(1)</w:t>
            </w:r>
          </w:p>
        </w:tc>
        <w:tc>
          <w:tcPr>
            <w:tcW w:w="3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1,278</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1,090</w:t>
            </w: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w:t>
            </w:r>
          </w:p>
        </w:tc>
      </w:tr>
      <w:tr>
        <w:trPr>
          <w:trHeight w:val="229"/>
        </w:trPr>
        <w:tc>
          <w:tcPr>
            <w:tcW w:w="4860" w:type="dxa"/>
            <w:vAlign w:val="bottom"/>
          </w:tcPr>
          <w:p>
            <w:pPr>
              <w:ind w:left="360"/>
              <w:spacing w:after="0"/>
              <w:rPr>
                <w:sz w:val="20"/>
                <w:szCs w:val="20"/>
                <w:color w:val="auto"/>
              </w:rPr>
            </w:pPr>
            <w:r>
              <w:rPr>
                <w:rFonts w:ascii="Arial" w:cs="Arial" w:eastAsia="Arial" w:hAnsi="Arial"/>
                <w:sz w:val="18"/>
                <w:szCs w:val="18"/>
                <w:color w:val="auto"/>
              </w:rPr>
              <w:t xml:space="preserve">Treasury bond </w:t>
            </w:r>
            <w:r>
              <w:rPr>
                <w:rFonts w:ascii="Arial" w:cs="Arial" w:eastAsia="Arial" w:hAnsi="Arial"/>
                <w:sz w:val="9"/>
                <w:szCs w:val="9"/>
                <w:b w:val="1"/>
                <w:bCs w:val="1"/>
                <w:color w:val="auto"/>
              </w:rPr>
              <w:t>(1)</w:t>
            </w:r>
          </w:p>
        </w:tc>
        <w:tc>
          <w:tcPr>
            <w:tcW w:w="3520" w:type="dxa"/>
            <w:vAlign w:val="bottom"/>
          </w:tcPr>
          <w:p>
            <w:pPr>
              <w:jc w:val="right"/>
              <w:ind w:right="252"/>
              <w:spacing w:after="0"/>
              <w:rPr>
                <w:sz w:val="20"/>
                <w:szCs w:val="20"/>
                <w:color w:val="auto"/>
              </w:rPr>
            </w:pPr>
            <w:r>
              <w:rPr>
                <w:rFonts w:ascii="Arial" w:cs="Arial" w:eastAsia="Arial" w:hAnsi="Arial"/>
                <w:sz w:val="18"/>
                <w:szCs w:val="18"/>
                <w:color w:val="auto"/>
              </w:rPr>
              <w:t>580</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504</w:t>
            </w: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15</w:t>
            </w:r>
          </w:p>
        </w:tc>
      </w:tr>
      <w:tr>
        <w:trPr>
          <w:trHeight w:val="230"/>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2-Year </w:t>
            </w:r>
            <w:r>
              <w:rPr>
                <w:rFonts w:ascii="Arial" w:cs="Arial" w:eastAsia="Arial" w:hAnsi="Arial"/>
                <w:sz w:val="9"/>
                <w:szCs w:val="9"/>
                <w:b w:val="1"/>
                <w:bCs w:val="1"/>
                <w:color w:val="auto"/>
              </w:rPr>
              <w:t>(1)</w:t>
            </w:r>
          </w:p>
        </w:tc>
        <w:tc>
          <w:tcPr>
            <w:tcW w:w="3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459</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517</w:t>
            </w:r>
          </w:p>
        </w:tc>
        <w:tc>
          <w:tcPr>
            <w:tcW w:w="15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w:t>
            </w: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35" w:lineRule="exact"/>
        <w:rPr>
          <w:sz w:val="20"/>
          <w:szCs w:val="20"/>
          <w:color w:val="auto"/>
        </w:rPr>
      </w:pPr>
    </w:p>
    <w:p>
      <w:pPr>
        <w:ind w:right="80" w:firstLine="8"/>
        <w:spacing w:after="0" w:line="275" w:lineRule="auto"/>
        <w:tabs>
          <w:tab w:leader="none" w:pos="229" w:val="left"/>
        </w:tabs>
        <w:numPr>
          <w:ilvl w:val="0"/>
          <w:numId w:val="31"/>
        </w:numPr>
        <w:rPr>
          <w:rFonts w:ascii="Arial" w:cs="Arial" w:eastAsia="Arial" w:hAnsi="Arial"/>
          <w:sz w:val="16"/>
          <w:szCs w:val="16"/>
          <w:color w:val="auto"/>
        </w:rPr>
      </w:pPr>
      <w:r>
        <w:rPr>
          <w:rFonts w:ascii="Arial" w:cs="Arial" w:eastAsia="Arial" w:hAnsi="Arial"/>
          <w:sz w:val="16"/>
          <w:szCs w:val="16"/>
          <w:color w:val="auto"/>
        </w:rPr>
        <w:t>U.S. Treasury futures and options now include respective weekly treasury options that were previously separated under a unique product category. Prior period amounts have been revised to conform to the current period presentation.</w:t>
      </w:r>
    </w:p>
    <w:p>
      <w:pPr>
        <w:spacing w:after="0" w:line="6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2021 when compared with 2020, overall interest rate contract volume increased due to higher overall interest rate volatility resulting from changes in market expectations. We believe interest rate volatility increased following the Federal Reserve's indication that it would maintain its zero interest rate policy in the short term and potentially raise interest rates sooner than expected. In addition, we believe the increase in U.S. Treasury contract volume was due to a record level of U.S. Treasury issuances, which has led to an increased need for market participants to manage their risk across the treasury yield curve.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Index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index products.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Year-over-Year Change</w:t>
            </w:r>
          </w:p>
        </w:tc>
      </w:tr>
      <w:tr>
        <w:trPr>
          <w:trHeight w:val="18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30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2021</w:t>
            </w:r>
          </w:p>
        </w:tc>
        <w:tc>
          <w:tcPr>
            <w:tcW w:w="13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5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2021-2020</w:t>
            </w: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E-mini S&amp;P 500 futures and options</w:t>
            </w:r>
          </w:p>
        </w:tc>
        <w:tc>
          <w:tcPr>
            <w:tcW w:w="33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3,172</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3,555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E-mini Nasdaq 100 futures and options</w:t>
            </w:r>
          </w:p>
        </w:tc>
        <w:tc>
          <w:tcPr>
            <w:tcW w:w="3300" w:type="dxa"/>
            <w:vAlign w:val="bottom"/>
          </w:tcPr>
          <w:p>
            <w:pPr>
              <w:jc w:val="right"/>
              <w:ind w:right="255"/>
              <w:spacing w:after="0"/>
              <w:rPr>
                <w:sz w:val="20"/>
                <w:szCs w:val="20"/>
                <w:color w:val="auto"/>
              </w:rPr>
            </w:pPr>
            <w:r>
              <w:rPr>
                <w:rFonts w:ascii="Arial" w:cs="Arial" w:eastAsia="Arial" w:hAnsi="Arial"/>
                <w:sz w:val="18"/>
                <w:szCs w:val="18"/>
                <w:color w:val="auto"/>
              </w:rPr>
              <w:t>1,534</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1,302</w:t>
            </w:r>
          </w:p>
        </w:tc>
        <w:tc>
          <w:tcPr>
            <w:tcW w:w="1580" w:type="dxa"/>
            <w:vAlign w:val="bottom"/>
          </w:tcPr>
          <w:p>
            <w:pPr>
              <w:jc w:val="right"/>
              <w:ind w:right="137"/>
              <w:spacing w:after="0"/>
              <w:rPr>
                <w:sz w:val="20"/>
                <w:szCs w:val="20"/>
                <w:color w:val="auto"/>
              </w:rPr>
            </w:pPr>
            <w:r>
              <w:rPr>
                <w:rFonts w:ascii="Arial" w:cs="Arial" w:eastAsia="Arial" w:hAnsi="Arial"/>
                <w:sz w:val="18"/>
                <w:szCs w:val="18"/>
                <w:color w:val="auto"/>
              </w:rPr>
              <w:t>18</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E-mini Russell 2000 futures and options</w:t>
            </w:r>
          </w:p>
        </w:tc>
        <w:tc>
          <w:tcPr>
            <w:tcW w:w="33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368</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302</w:t>
            </w:r>
          </w:p>
        </w:tc>
        <w:tc>
          <w:tcPr>
            <w:tcW w:w="15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2021 when compared with 2020, equity index contract volume decreased slightly due to overall lower volatility. We believe the volatility within the broad-based indexes, including the S&amp;P 500, subsided in 2021 following significant equity market volatility in early 2020 resulting from uncertainty surrounding the economic impact of governmental and business actions to combat the COVID-19 pandemic. However, there was an increase in volatility within certain narrow-based technology and small cap indexes, which resulted from a market repricing of certain stocks in early 2021. We believe this increase in volatility contributed to an increase in the E-mini Nasdaq 100 and E-mini Russell 2000 contract volume in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Year-over-Year Change</w:t>
            </w:r>
          </w:p>
        </w:tc>
      </w:tr>
      <w:tr>
        <w:trPr>
          <w:trHeight w:val="188"/>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04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2021-2020</w:t>
            </w:r>
          </w:p>
        </w:tc>
      </w:tr>
      <w:tr>
        <w:trPr>
          <w:trHeight w:val="22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40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210</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237</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Japanese yen</w:t>
            </w:r>
          </w:p>
        </w:tc>
        <w:tc>
          <w:tcPr>
            <w:tcW w:w="4040" w:type="dxa"/>
            <w:vAlign w:val="bottom"/>
          </w:tcPr>
          <w:p>
            <w:pPr>
              <w:jc w:val="right"/>
              <w:ind w:right="274"/>
              <w:spacing w:after="0"/>
              <w:rPr>
                <w:sz w:val="20"/>
                <w:szCs w:val="20"/>
                <w:color w:val="auto"/>
              </w:rPr>
            </w:pPr>
            <w:r>
              <w:rPr>
                <w:rFonts w:ascii="Arial" w:cs="Arial" w:eastAsia="Arial" w:hAnsi="Arial"/>
                <w:sz w:val="18"/>
                <w:szCs w:val="18"/>
                <w:color w:val="auto"/>
              </w:rPr>
              <w:t>114</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123</w:t>
            </w:r>
          </w:p>
        </w:tc>
        <w:tc>
          <w:tcPr>
            <w:tcW w:w="1580" w:type="dxa"/>
            <w:vAlign w:val="bottom"/>
          </w:tcPr>
          <w:p>
            <w:pPr>
              <w:jc w:val="right"/>
              <w:ind w:right="96"/>
              <w:spacing w:after="0"/>
              <w:rPr>
                <w:sz w:val="20"/>
                <w:szCs w:val="20"/>
                <w:color w:val="auto"/>
              </w:rPr>
            </w:pPr>
            <w:r>
              <w:rPr>
                <w:rFonts w:ascii="Arial" w:cs="Arial" w:eastAsia="Arial" w:hAnsi="Arial"/>
                <w:sz w:val="18"/>
                <w:szCs w:val="18"/>
                <w:color w:val="auto"/>
              </w:rPr>
              <w:t>(7)</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Australian dollar</w:t>
            </w:r>
          </w:p>
        </w:tc>
        <w:tc>
          <w:tcPr>
            <w:tcW w:w="40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102</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107</w:t>
            </w:r>
          </w:p>
        </w:tc>
        <w:tc>
          <w:tcPr>
            <w:tcW w:w="15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British pound</w:t>
            </w:r>
          </w:p>
        </w:tc>
        <w:tc>
          <w:tcPr>
            <w:tcW w:w="4040" w:type="dxa"/>
            <w:vAlign w:val="bottom"/>
          </w:tcPr>
          <w:p>
            <w:pPr>
              <w:jc w:val="right"/>
              <w:ind w:right="274"/>
              <w:spacing w:after="0"/>
              <w:rPr>
                <w:sz w:val="20"/>
                <w:szCs w:val="20"/>
                <w:color w:val="auto"/>
              </w:rPr>
            </w:pPr>
            <w:r>
              <w:rPr>
                <w:rFonts w:ascii="Arial" w:cs="Arial" w:eastAsia="Arial" w:hAnsi="Arial"/>
                <w:sz w:val="18"/>
                <w:szCs w:val="18"/>
                <w:color w:val="auto"/>
              </w:rPr>
              <w:t>101</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116</w:t>
            </w:r>
          </w:p>
        </w:tc>
        <w:tc>
          <w:tcPr>
            <w:tcW w:w="1580" w:type="dxa"/>
            <w:vAlign w:val="bottom"/>
          </w:tcPr>
          <w:p>
            <w:pPr>
              <w:jc w:val="right"/>
              <w:ind w:right="96"/>
              <w:spacing w:after="0"/>
              <w:rPr>
                <w:sz w:val="20"/>
                <w:szCs w:val="20"/>
                <w:color w:val="auto"/>
              </w:rPr>
            </w:pPr>
            <w:r>
              <w:rPr>
                <w:rFonts w:ascii="Arial" w:cs="Arial" w:eastAsia="Arial" w:hAnsi="Arial"/>
                <w:sz w:val="18"/>
                <w:szCs w:val="18"/>
                <w:color w:val="auto"/>
              </w:rPr>
              <w:t>(13)</w:t>
            </w:r>
          </w:p>
        </w:tc>
      </w:tr>
    </w:tbl>
    <w:p>
      <w:pPr>
        <w:spacing w:after="0" w:line="20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Overall foreign exchange contract volume decreased in 2021 when compared with 2020, which we believe is due to lower overall market volatility. Market volatility subsided in 2021 following very high foreign exchange volatility in early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caused by significant uncertainty surrounding the economic impacts of the governmental and business actions to combat the COVID-19 pandemic.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agricultural commodity products.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Year-over-Year Change</w:t>
            </w:r>
          </w:p>
        </w:tc>
      </w:tr>
      <w:tr>
        <w:trPr>
          <w:trHeight w:val="188"/>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04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5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2021-2020</w:t>
            </w:r>
          </w:p>
        </w:tc>
      </w:tr>
      <w:tr>
        <w:trPr>
          <w:trHeight w:val="22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Corn</w:t>
            </w:r>
          </w:p>
        </w:tc>
        <w:tc>
          <w:tcPr>
            <w:tcW w:w="40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458</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444</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Soybean</w:t>
            </w:r>
          </w:p>
        </w:tc>
        <w:tc>
          <w:tcPr>
            <w:tcW w:w="4040" w:type="dxa"/>
            <w:vAlign w:val="bottom"/>
          </w:tcPr>
          <w:p>
            <w:pPr>
              <w:jc w:val="right"/>
              <w:ind w:right="275"/>
              <w:spacing w:after="0"/>
              <w:rPr>
                <w:sz w:val="20"/>
                <w:szCs w:val="20"/>
                <w:color w:val="auto"/>
              </w:rPr>
            </w:pPr>
            <w:r>
              <w:rPr>
                <w:rFonts w:ascii="Arial" w:cs="Arial" w:eastAsia="Arial" w:hAnsi="Arial"/>
                <w:sz w:val="18"/>
                <w:szCs w:val="18"/>
                <w:color w:val="auto"/>
              </w:rPr>
              <w:t>281</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307</w:t>
            </w:r>
          </w:p>
        </w:tc>
        <w:tc>
          <w:tcPr>
            <w:tcW w:w="1580" w:type="dxa"/>
            <w:vAlign w:val="bottom"/>
          </w:tcPr>
          <w:p>
            <w:pPr>
              <w:jc w:val="right"/>
              <w:ind w:right="97"/>
              <w:spacing w:after="0"/>
              <w:rPr>
                <w:sz w:val="20"/>
                <w:szCs w:val="20"/>
                <w:color w:val="auto"/>
              </w:rPr>
            </w:pPr>
            <w:r>
              <w:rPr>
                <w:rFonts w:ascii="Arial" w:cs="Arial" w:eastAsia="Arial" w:hAnsi="Arial"/>
                <w:sz w:val="18"/>
                <w:szCs w:val="18"/>
                <w:color w:val="auto"/>
              </w:rPr>
              <w:t>(8)</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Wheat</w:t>
            </w:r>
          </w:p>
        </w:tc>
        <w:tc>
          <w:tcPr>
            <w:tcW w:w="40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197</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220</w:t>
            </w:r>
          </w:p>
        </w:tc>
        <w:tc>
          <w:tcPr>
            <w:tcW w:w="15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2021 when compared with 2020, overall commodity contract volume decreased, which we believe is a result of lower market volatility in the second half of 2021. Market volatility subsided in the second half of 2021 following periods of higher volatility in 2020 and early 2021 as crop supplies met demand following the 2021 growing season and COVID-19 related supply chain disruptions were corrected.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Year-over-Year Change</w:t>
            </w:r>
          </w:p>
        </w:tc>
      </w:tr>
      <w:tr>
        <w:trPr>
          <w:trHeight w:val="188"/>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02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2021</w:t>
            </w:r>
          </w:p>
        </w:tc>
        <w:tc>
          <w:tcPr>
            <w:tcW w:w="13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5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2021-2020</w:t>
            </w:r>
          </w:p>
        </w:tc>
      </w:tr>
      <w:tr>
        <w:trPr>
          <w:trHeight w:val="22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WTI crude oil</w:t>
            </w:r>
          </w:p>
        </w:tc>
        <w:tc>
          <w:tcPr>
            <w:tcW w:w="40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1,181</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1,255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4020" w:type="dxa"/>
            <w:vAlign w:val="bottom"/>
          </w:tcPr>
          <w:p>
            <w:pPr>
              <w:jc w:val="right"/>
              <w:ind w:right="255"/>
              <w:spacing w:after="0"/>
              <w:rPr>
                <w:sz w:val="20"/>
                <w:szCs w:val="20"/>
                <w:color w:val="auto"/>
              </w:rPr>
            </w:pPr>
            <w:r>
              <w:rPr>
                <w:rFonts w:ascii="Arial" w:cs="Arial" w:eastAsia="Arial" w:hAnsi="Arial"/>
                <w:sz w:val="18"/>
                <w:szCs w:val="18"/>
                <w:color w:val="auto"/>
              </w:rPr>
              <w:t>530</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639</w:t>
            </w:r>
          </w:p>
        </w:tc>
        <w:tc>
          <w:tcPr>
            <w:tcW w:w="1580" w:type="dxa"/>
            <w:vAlign w:val="bottom"/>
          </w:tcPr>
          <w:p>
            <w:pPr>
              <w:jc w:val="right"/>
              <w:ind w:right="97"/>
              <w:spacing w:after="0"/>
              <w:rPr>
                <w:sz w:val="20"/>
                <w:szCs w:val="20"/>
                <w:color w:val="auto"/>
              </w:rPr>
            </w:pPr>
            <w:r>
              <w:rPr>
                <w:rFonts w:ascii="Arial" w:cs="Arial" w:eastAsia="Arial" w:hAnsi="Arial"/>
                <w:sz w:val="18"/>
                <w:szCs w:val="18"/>
                <w:color w:val="auto"/>
              </w:rPr>
              <w:t>(17)</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Refined products</w:t>
            </w:r>
          </w:p>
        </w:tc>
        <w:tc>
          <w:tcPr>
            <w:tcW w:w="40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351</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366</w:t>
            </w:r>
          </w:p>
        </w:tc>
        <w:tc>
          <w:tcPr>
            <w:tcW w:w="15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Overall energy contract volume decreased in 2021 when compared with 2020, which we believe was attributable to lower overall market volatility within the energy market. We believe this was due to a continued rebalance and reduction in demand in the crude oil markets as a result of the COVID-19 pandemic. In addition, forecasts of warmer than expected weather resulted in a decrease in natural gas contract volume compared with 2020. We believe these factors led to the overall decrease in energy volume.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Year-over-Year Change</w:t>
            </w:r>
          </w:p>
        </w:tc>
      </w:tr>
      <w:tr>
        <w:trPr>
          <w:trHeight w:val="188"/>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02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2021</w:t>
            </w:r>
          </w:p>
        </w:tc>
        <w:tc>
          <w:tcPr>
            <w:tcW w:w="13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5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2021-2020</w:t>
            </w:r>
          </w:p>
        </w:tc>
      </w:tr>
      <w:tr>
        <w:trPr>
          <w:trHeight w:val="22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Gold</w:t>
            </w:r>
          </w:p>
        </w:tc>
        <w:tc>
          <w:tcPr>
            <w:tcW w:w="40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330</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456</w:t>
            </w:r>
          </w:p>
        </w:tc>
        <w:tc>
          <w:tcPr>
            <w:tcW w:w="156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1"/>
              </w:rPr>
              <w:t>(28)%</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Copper</w:t>
            </w:r>
          </w:p>
        </w:tc>
        <w:tc>
          <w:tcPr>
            <w:tcW w:w="4020" w:type="dxa"/>
            <w:vAlign w:val="bottom"/>
          </w:tcPr>
          <w:p>
            <w:pPr>
              <w:jc w:val="right"/>
              <w:ind w:right="255"/>
              <w:spacing w:after="0"/>
              <w:rPr>
                <w:sz w:val="20"/>
                <w:szCs w:val="20"/>
                <w:color w:val="auto"/>
              </w:rPr>
            </w:pPr>
            <w:r>
              <w:rPr>
                <w:rFonts w:ascii="Arial" w:cs="Arial" w:eastAsia="Arial" w:hAnsi="Arial"/>
                <w:sz w:val="18"/>
                <w:szCs w:val="18"/>
                <w:color w:val="auto"/>
              </w:rPr>
              <w:t>101</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98</w:t>
            </w:r>
          </w:p>
        </w:tc>
        <w:tc>
          <w:tcPr>
            <w:tcW w:w="1560" w:type="dxa"/>
            <w:vAlign w:val="bottom"/>
          </w:tcPr>
          <w:p>
            <w:pPr>
              <w:jc w:val="right"/>
              <w:ind w:right="137"/>
              <w:spacing w:after="0"/>
              <w:rPr>
                <w:sz w:val="20"/>
                <w:szCs w:val="20"/>
                <w:color w:val="auto"/>
              </w:rPr>
            </w:pPr>
            <w:r>
              <w:rPr>
                <w:rFonts w:ascii="Arial" w:cs="Arial" w:eastAsia="Arial" w:hAnsi="Arial"/>
                <w:sz w:val="18"/>
                <w:szCs w:val="18"/>
                <w:color w:val="auto"/>
              </w:rPr>
              <w:t>3</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Silver</w:t>
            </w:r>
          </w:p>
        </w:tc>
        <w:tc>
          <w:tcPr>
            <w:tcW w:w="40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95</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123</w:t>
            </w:r>
          </w:p>
        </w:tc>
        <w:tc>
          <w:tcPr>
            <w:tcW w:w="15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(23)</w:t>
            </w:r>
          </w:p>
        </w:tc>
      </w:tr>
    </w:tbl>
    <w:p>
      <w:pPr>
        <w:spacing w:after="0" w:line="20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Lower overall market volatility within the gold and silver markets contributed to the overall decline in metal contract volume in 2021 when compared with 2020. Volatility was higher in 2020, as investors used gold and other precious metals as safe-haven investments as a result of uncertainty within other markets caused by the governmental and business actions to combat the COVID-19 pandemic.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Rate per Contract</w:t>
      </w:r>
    </w:p>
    <w:p>
      <w:pPr>
        <w:spacing w:after="0" w:line="117"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average rate per contract was lower in 2021 when compared with 2020. The decrease in the average rate per contract was primarily due to a change in product mix. Interest rate contract volume increased by 5 percentage points as a percent of total volume, while all other products collectively decreased by 5 percentage points. In general, interest rate products have a lower rate per contract compared with the remaining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Markets Business</w:t>
      </w:r>
    </w:p>
    <w:p>
      <w:pPr>
        <w:spacing w:after="0" w:line="11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Total clearing and transaction fees revenue in 2021 includes $396.2 million of transaction fees attributable to the cash markets business, compared with $447.4 million in 2020. This revenue primarily includes BrokerTecs's fixed income volume and EBS foreign exchange volume.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Year-over-Year Change</w:t>
            </w:r>
          </w:p>
        </w:tc>
      </w:tr>
      <w:tr>
        <w:trPr>
          <w:trHeight w:val="188"/>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2021-2020</w:t>
            </w:r>
          </w:p>
        </w:tc>
      </w:tr>
      <w:tr>
        <w:trPr>
          <w:trHeight w:val="224"/>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BrokerTec fixed income transaction fees</w:t>
            </w:r>
          </w:p>
        </w:tc>
        <w:tc>
          <w:tcPr>
            <w:tcW w:w="2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172.0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173.2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EBS foreign exchange transaction fees</w:t>
            </w:r>
          </w:p>
        </w:tc>
        <w:tc>
          <w:tcPr>
            <w:tcW w:w="2160" w:type="dxa"/>
            <w:vAlign w:val="bottom"/>
          </w:tcPr>
          <w:p>
            <w:pPr>
              <w:spacing w:after="0"/>
              <w:rPr>
                <w:sz w:val="20"/>
                <w:szCs w:val="20"/>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164.3</w:t>
            </w:r>
          </w:p>
        </w:tc>
        <w:tc>
          <w:tcPr>
            <w:tcW w:w="420" w:type="dxa"/>
            <w:vAlign w:val="bottom"/>
          </w:tcPr>
          <w:p>
            <w:pPr>
              <w:spacing w:after="0"/>
              <w:rPr>
                <w:sz w:val="20"/>
                <w:szCs w:val="20"/>
                <w:color w:val="auto"/>
              </w:rPr>
            </w:pP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179.3</w:t>
            </w: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related average daily notional value for the years ended 2021 and 2020 for key cash markets products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Year-over-Year Change</w:t>
            </w:r>
          </w:p>
        </w:tc>
      </w:tr>
      <w:tr>
        <w:trPr>
          <w:trHeight w:val="188"/>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billions)</w:t>
            </w:r>
          </w:p>
        </w:tc>
        <w:tc>
          <w:tcPr>
            <w:tcW w:w="2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5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2021-2020</w:t>
            </w:r>
          </w:p>
        </w:tc>
      </w:t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w:t>
            </w:r>
          </w:p>
        </w:tc>
        <w:tc>
          <w:tcPr>
            <w:tcW w:w="2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115.0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125.9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European Repo (in euros)</w:t>
            </w:r>
          </w:p>
        </w:tc>
        <w:tc>
          <w:tcPr>
            <w:tcW w:w="270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292.3</w:t>
            </w:r>
          </w:p>
        </w:tc>
        <w:tc>
          <w:tcPr>
            <w:tcW w:w="420" w:type="dxa"/>
            <w:vAlign w:val="bottom"/>
          </w:tcPr>
          <w:p>
            <w:pPr>
              <w:spacing w:after="0"/>
              <w:rPr>
                <w:sz w:val="19"/>
                <w:szCs w:val="19"/>
                <w:color w:val="auto"/>
              </w:rPr>
            </w:pP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264.4</w:t>
            </w:r>
          </w:p>
        </w:tc>
        <w:tc>
          <w:tcPr>
            <w:tcW w:w="15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Spot FX</w:t>
            </w:r>
          </w:p>
        </w:tc>
        <w:tc>
          <w:tcPr>
            <w:tcW w:w="2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61.2</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71.5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Overall average daily notional value for the cash markets business increased slightly in 2021 when compared with 2020. The increase in European Repo transactions was largely due to increased volatility as a result of the European Union unexpectedly leaving interest rates unchanged. We believe the decreases in U.S. Treasury and Spot FX volumes are primarily due to lower levels of volatility following periods of higher volatility in early 2020 caused by significant uncertainty surrounding the economic impacts of the governmental and business actions to combat the COVID-19 pandemic. Despite the increase in average daily notional value, transaction revenue decreased due to the tiered pricing structure and incentive rate programs.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bill a significant portion of our clearing and transaction fees to our clearing firms. The majority of clearing and transaction fees received from clearing firms represent charges for trades executed and cleared on behalf of their customers. One clearing firm represented approximately 10% of our clearing and transaction fees in 2021. Should a clearing firm withdraw, we believe that the customer portion of the firm's trading activity would likely transfer to another clearing firm of the exchange. Therefore, we do not believe we are exposed to significant risk from an ongoing loss of revenue received from or through a particular clearing firm.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 xml:space="preserve">Market data and information services. </w:t>
      </w:r>
      <w:r>
        <w:rPr>
          <w:rFonts w:ascii="Arial" w:cs="Arial" w:eastAsia="Arial" w:hAnsi="Arial"/>
          <w:sz w:val="18"/>
          <w:szCs w:val="18"/>
          <w:color w:val="auto"/>
        </w:rPr>
        <w:t>In 2021 when compared with 2020, the increase in market data and information services revenue was largely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an increase in certain device fees.</w:t>
      </w:r>
    </w:p>
    <w:p>
      <w:pPr>
        <w:spacing w:after="0" w:line="6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two largest resellers of our market data represented, in aggregate, approximately 34% of our market data and information services revenue in 2021.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8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i w:val="1"/>
          <w:iCs w:val="1"/>
          <w:color w:val="auto"/>
        </w:rPr>
        <w:t xml:space="preserve">Other revenues. </w:t>
      </w:r>
      <w:r>
        <w:rPr>
          <w:rFonts w:ascii="Arial" w:cs="Arial" w:eastAsia="Arial" w:hAnsi="Arial"/>
          <w:sz w:val="17"/>
          <w:szCs w:val="17"/>
          <w:color w:val="auto"/>
        </w:rPr>
        <w:t>The decrease in other revenues in 2021 when compared with 2020 was largely attributable to the deconsolidation of the optimization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in September 2021 as part of the contribution of the business's net assets to OSTTRA, our joint venture with IHS Markit.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Year-over-Year Change</w:t>
            </w:r>
          </w:p>
        </w:tc>
      </w:tr>
      <w:tr>
        <w:trPr>
          <w:trHeight w:val="188"/>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2021-2020</w:t>
            </w: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198.5</w:t>
            </w:r>
          </w:p>
        </w:tc>
        <w:tc>
          <w:tcPr>
            <w:tcW w:w="2180" w:type="dxa"/>
            <w:vAlign w:val="bottom"/>
            <w:gridSpan w:val="2"/>
          </w:tcPr>
          <w:p>
            <w:pPr>
              <w:jc w:val="right"/>
              <w:ind w:right="108"/>
              <w:spacing w:after="0"/>
              <w:rPr>
                <w:sz w:val="20"/>
                <w:szCs w:val="20"/>
                <w:color w:val="auto"/>
              </w:rPr>
            </w:pPr>
            <w:r>
              <w:rPr>
                <w:rFonts w:ascii="Arial" w:cs="Arial" w:eastAsia="Arial" w:hAnsi="Arial"/>
                <w:sz w:val="18"/>
                <w:szCs w:val="18"/>
                <w:color w:val="auto"/>
              </w:rPr>
              <w:t>(3)</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 and outside services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21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(21)</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311.2</w:t>
            </w:r>
          </w:p>
        </w:tc>
        <w:tc>
          <w:tcPr>
            <w:tcW w:w="2180" w:type="dxa"/>
            <w:vAlign w:val="bottom"/>
            <w:gridSpan w:val="2"/>
          </w:tcPr>
          <w:p>
            <w:pPr>
              <w:jc w:val="right"/>
              <w:ind w:right="108"/>
              <w:spacing w:after="0"/>
              <w:rPr>
                <w:sz w:val="20"/>
                <w:szCs w:val="20"/>
                <w:color w:val="auto"/>
              </w:rPr>
            </w:pPr>
            <w:r>
              <w:rPr>
                <w:rFonts w:ascii="Arial" w:cs="Arial" w:eastAsia="Arial" w:hAnsi="Arial"/>
                <w:sz w:val="18"/>
                <w:szCs w:val="18"/>
                <w:color w:val="auto"/>
              </w:rPr>
              <w:t>(24)</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1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Licensing and other fee agreements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244.9</w:t>
            </w:r>
          </w:p>
        </w:tc>
        <w:tc>
          <w:tcPr>
            <w:tcW w:w="2180" w:type="dxa"/>
            <w:vAlign w:val="bottom"/>
            <w:gridSpan w:val="2"/>
          </w:tcPr>
          <w:p>
            <w:pPr>
              <w:jc w:val="right"/>
              <w:ind w:right="108"/>
              <w:spacing w:after="0"/>
              <w:rPr>
                <w:sz w:val="20"/>
                <w:szCs w:val="20"/>
                <w:color w:val="auto"/>
              </w:rPr>
            </w:pPr>
            <w:r>
              <w:rPr>
                <w:rFonts w:ascii="Arial" w:cs="Arial" w:eastAsia="Arial" w:hAnsi="Arial"/>
                <w:sz w:val="18"/>
                <w:szCs w:val="18"/>
                <w:color w:val="auto"/>
              </w:rPr>
              <w:t>(3)</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21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2,246.2</w:t>
            </w:r>
          </w:p>
        </w:tc>
        <w:tc>
          <w:tcPr>
            <w:tcW w:w="2180" w:type="dxa"/>
            <w:vAlign w:val="bottom"/>
            <w:gridSpan w:val="2"/>
          </w:tcPr>
          <w:p>
            <w:pPr>
              <w:jc w:val="right"/>
              <w:ind w:right="108"/>
              <w:spacing w:after="0"/>
              <w:rPr>
                <w:sz w:val="20"/>
                <w:szCs w:val="20"/>
                <w:color w:val="auto"/>
              </w:rPr>
            </w:pPr>
            <w:r>
              <w:rPr>
                <w:rFonts w:ascii="Arial" w:cs="Arial" w:eastAsia="Arial" w:hAnsi="Arial"/>
                <w:sz w:val="18"/>
                <w:szCs w:val="18"/>
                <w:color w:val="auto"/>
              </w:rPr>
              <w:t>(9)</w:t>
            </w:r>
          </w:p>
        </w:tc>
      </w:tr>
      <w:tr>
        <w:trPr>
          <w:trHeight w:val="20"/>
        </w:trPr>
        <w:tc>
          <w:tcPr>
            <w:tcW w:w="5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With 2020</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Operating expenses decreased by $201.7 million in 2021 when compared with 2020. The following table shows the estimated impact of key factors resulting in the net decrease in operating expenses.</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Year-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Change as a</w:t>
            </w:r>
          </w:p>
        </w:tc>
        <w:tc>
          <w:tcPr>
            <w:tcW w:w="0" w:type="dxa"/>
            <w:vAlign w:val="bottom"/>
          </w:tcPr>
          <w:p>
            <w:pPr>
              <w:spacing w:after="0"/>
              <w:rPr>
                <w:sz w:val="1"/>
                <w:szCs w:val="1"/>
                <w:color w:val="auto"/>
              </w:rPr>
            </w:pPr>
          </w:p>
        </w:tc>
      </w:tr>
      <w:tr>
        <w:trPr>
          <w:trHeight w:val="135"/>
        </w:trPr>
        <w:tc>
          <w:tcPr>
            <w:tcW w:w="8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1"/>
                <w:szCs w:val="11"/>
                <w:color w:val="auto"/>
              </w:rPr>
            </w:pPr>
          </w:p>
        </w:tc>
        <w:tc>
          <w:tcPr>
            <w:tcW w:w="12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5"/>
              </w:rPr>
              <w:t>over-Year</w:t>
            </w: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2020 Expenses</w:t>
            </w:r>
          </w:p>
        </w:tc>
        <w:tc>
          <w:tcPr>
            <w:tcW w:w="0" w:type="dxa"/>
            <w:vAlign w:val="bottom"/>
          </w:tcPr>
          <w:p>
            <w:pPr>
              <w:spacing w:after="0"/>
              <w:rPr>
                <w:sz w:val="1"/>
                <w:szCs w:val="1"/>
                <w:color w:val="auto"/>
              </w:rPr>
            </w:pP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1580" w:type="dxa"/>
            <w:vAlign w:val="bottom"/>
          </w:tcPr>
          <w:p>
            <w:pPr>
              <w:ind w:left="1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Salaries, benefits and employer taxes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1580" w:type="dxa"/>
            <w:vAlign w:val="bottom"/>
          </w:tcPr>
          <w:p>
            <w:pPr>
              <w:ind w:left="1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and fixed asset impairments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1580" w:type="dxa"/>
            <w:vAlign w:val="bottom"/>
          </w:tcPr>
          <w:p>
            <w:pPr>
              <w:ind w:left="1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separation and retention costs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Bonus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Overall operating expenses decreased in 2021 when compared with 2020 due to the following reasons:</w:t>
      </w:r>
    </w:p>
    <w:p>
      <w:pPr>
        <w:spacing w:after="0" w:line="117" w:lineRule="exact"/>
        <w:rPr>
          <w:sz w:val="20"/>
          <w:szCs w:val="20"/>
          <w:color w:val="auto"/>
        </w:rPr>
      </w:pPr>
    </w:p>
    <w:p>
      <w:pPr>
        <w:ind w:left="660" w:right="160" w:hanging="328"/>
        <w:spacing w:after="0" w:line="286"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Amortization of purchased intangibles was lower in 2021, as intangible assets related to CME Group's optimization business were contributed to OSTTRA, a joint venture with IHS Markit, in September 2021. Amortization was no longer taken on these intangible assets once they were classified as held for sale in January 2021 following approval of the contribution by the company's board of directors.</w:t>
      </w:r>
    </w:p>
    <w:p>
      <w:pPr>
        <w:spacing w:after="0" w:line="57" w:lineRule="exact"/>
        <w:rPr>
          <w:rFonts w:ascii="Arial" w:cs="Arial" w:eastAsia="Arial" w:hAnsi="Arial"/>
          <w:sz w:val="17"/>
          <w:szCs w:val="17"/>
          <w:color w:val="auto"/>
        </w:rPr>
      </w:pPr>
    </w:p>
    <w:p>
      <w:pPr>
        <w:ind w:left="660" w:right="180" w:hanging="328"/>
        <w:spacing w:after="0" w:line="308"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Professional fees and outside services expenses decreased due to a greater reliance on consultants for platform integrations, information security and systems enhancements in 2020, as well as a reduction in legal fees related to our business activities and product offerings.</w:t>
      </w:r>
    </w:p>
    <w:p>
      <w:pPr>
        <w:spacing w:after="0" w:line="38" w:lineRule="exact"/>
        <w:rPr>
          <w:rFonts w:ascii="Arial" w:cs="Arial" w:eastAsia="Arial" w:hAnsi="Arial"/>
          <w:sz w:val="17"/>
          <w:szCs w:val="17"/>
          <w:color w:val="auto"/>
        </w:rPr>
      </w:pPr>
    </w:p>
    <w:p>
      <w:pPr>
        <w:ind w:left="660" w:right="100" w:hanging="328"/>
        <w:spacing w:after="0" w:line="308"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Salaries, benefits and employer taxes were lower during 2021 when compared to 2020 due to higher reductions in workforce and the contribution of employees from CME Group's optimization businesses to the new joint venture with IHS Markit in September 2021.</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2020, we recognized higher impairment charges on certain intangible assets and fixed assets related to a subsidiary.</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Decreases in stock-based compensation expense were primarily due to higher forfeitures resulting from reductions in headcount compared to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Increases in operating expenses in 2021 when compared with 2020 were as follows:</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Employee separation and retention costs were higher during 2021 due to a higher reduction in workforce compared to 2020.</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Bonus expenses increased in 2021 largely due to performance relative to our 2021 cash earnings target when compared with 2020 performance relative to our 2020 cash earnings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Year-over-Year Change</w:t>
            </w:r>
          </w:p>
        </w:tc>
      </w:tr>
      <w:tr>
        <w:trPr>
          <w:trHeight w:val="188"/>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2020</w:t>
            </w:r>
          </w:p>
        </w:tc>
        <w:tc>
          <w:tcPr>
            <w:tcW w:w="23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2021-2020</w:t>
            </w: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8"/>
              </w:rPr>
              <w:t>306.9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182.7</w:t>
            </w:r>
          </w:p>
        </w:tc>
        <w:tc>
          <w:tcPr>
            <w:tcW w:w="2300" w:type="dxa"/>
            <w:vAlign w:val="bottom"/>
            <w:shd w:val="clear" w:color="auto" w:fill="CCEEFF"/>
          </w:tcPr>
          <w:p>
            <w:pPr>
              <w:ind w:left="1900"/>
              <w:spacing w:after="0"/>
              <w:rPr>
                <w:sz w:val="20"/>
                <w:szCs w:val="20"/>
                <w:color w:val="auto"/>
              </w:rPr>
            </w:pPr>
            <w:r>
              <w:rPr>
                <w:rFonts w:ascii="Arial" w:cs="Arial" w:eastAsia="Arial" w:hAnsi="Arial"/>
                <w:sz w:val="18"/>
                <w:szCs w:val="18"/>
                <w:color w:val="auto"/>
                <w:w w:val="92"/>
              </w:rPr>
              <w:t>68 %</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Interest and other borrowing costs</w:t>
            </w:r>
          </w:p>
        </w:tc>
        <w:tc>
          <w:tcPr>
            <w:tcW w:w="400" w:type="dxa"/>
            <w:vAlign w:val="bottom"/>
          </w:tcPr>
          <w:p>
            <w:pPr>
              <w:spacing w:after="0"/>
              <w:rPr>
                <w:sz w:val="19"/>
                <w:szCs w:val="19"/>
                <w:color w:val="auto"/>
              </w:rPr>
            </w:pPr>
          </w:p>
        </w:tc>
        <w:tc>
          <w:tcPr>
            <w:tcW w:w="1280" w:type="dxa"/>
            <w:vAlign w:val="bottom"/>
          </w:tcPr>
          <w:p>
            <w:pPr>
              <w:jc w:val="center"/>
              <w:ind w:left="593"/>
              <w:spacing w:after="0"/>
              <w:rPr>
                <w:sz w:val="20"/>
                <w:szCs w:val="20"/>
                <w:color w:val="auto"/>
              </w:rPr>
            </w:pPr>
            <w:r>
              <w:rPr>
                <w:rFonts w:ascii="Arial" w:cs="Arial" w:eastAsia="Arial" w:hAnsi="Arial"/>
                <w:sz w:val="18"/>
                <w:szCs w:val="18"/>
                <w:color w:val="auto"/>
                <w:w w:val="91"/>
              </w:rPr>
              <w:t>(166.9)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(166.2)</w:t>
            </w:r>
          </w:p>
        </w:tc>
        <w:tc>
          <w:tcPr>
            <w:tcW w:w="2300" w:type="dxa"/>
            <w:vAlign w:val="bottom"/>
          </w:tcPr>
          <w:p>
            <w:pPr>
              <w:ind w:left="1900"/>
              <w:spacing w:after="0"/>
              <w:rPr>
                <w:sz w:val="20"/>
                <w:szCs w:val="20"/>
                <w:color w:val="auto"/>
              </w:rPr>
            </w:pPr>
            <w:r>
              <w:rPr>
                <w:rFonts w:ascii="Arial" w:cs="Arial" w:eastAsia="Arial" w:hAnsi="Arial"/>
                <w:sz w:val="18"/>
                <w:szCs w:val="18"/>
                <w:color w:val="auto"/>
              </w:rPr>
              <w:t>—</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earnings (losses) of unconsolidated subsidiaries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8"/>
              </w:rPr>
              <w:t>245.8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190.6</w:t>
            </w:r>
          </w:p>
        </w:tc>
        <w:tc>
          <w:tcPr>
            <w:tcW w:w="230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29</w:t>
            </w:r>
          </w:p>
        </w:tc>
      </w:tr>
      <w:tr>
        <w:trPr>
          <w:trHeight w:val="23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633"/>
              <w:spacing w:after="0"/>
              <w:rPr>
                <w:sz w:val="20"/>
                <w:szCs w:val="20"/>
                <w:color w:val="auto"/>
              </w:rPr>
            </w:pPr>
            <w:r>
              <w:rPr>
                <w:rFonts w:ascii="Arial" w:cs="Arial" w:eastAsia="Arial" w:hAnsi="Arial"/>
                <w:sz w:val="18"/>
                <w:szCs w:val="18"/>
                <w:color w:val="auto"/>
                <w:w w:val="88"/>
              </w:rPr>
              <w:t>342.6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(122.4)</w:t>
            </w:r>
          </w:p>
        </w:tc>
        <w:tc>
          <w:tcPr>
            <w:tcW w:w="2300" w:type="dxa"/>
            <w:vAlign w:val="bottom"/>
            <w:tcBorders>
              <w:bottom w:val="single" w:sz="8" w:color="CCEEFF"/>
            </w:tcBorders>
          </w:tcPr>
          <w:p>
            <w:pPr>
              <w:ind w:left="1960"/>
              <w:spacing w:after="0"/>
              <w:rPr>
                <w:sz w:val="20"/>
                <w:szCs w:val="20"/>
                <w:color w:val="auto"/>
              </w:rPr>
            </w:pPr>
            <w:r>
              <w:rPr>
                <w:rFonts w:ascii="Arial" w:cs="Arial" w:eastAsia="Arial" w:hAnsi="Arial"/>
                <w:sz w:val="18"/>
                <w:szCs w:val="18"/>
                <w:color w:val="auto"/>
                <w:w w:val="91"/>
              </w:rPr>
              <w:t>n.m.</w:t>
            </w: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88"/>
              </w:rPr>
              <w:t>728.4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84.7</w:t>
            </w:r>
          </w:p>
        </w:tc>
        <w:tc>
          <w:tcPr>
            <w:tcW w:w="2300" w:type="dxa"/>
            <w:vAlign w:val="bottom"/>
            <w:tcBorders>
              <w:bottom w:val="single" w:sz="8" w:color="CCEEFF"/>
            </w:tcBorders>
            <w:shd w:val="clear" w:color="auto" w:fill="CCEEFF"/>
          </w:tcPr>
          <w:p>
            <w:pPr>
              <w:ind w:left="1960"/>
              <w:spacing w:after="0"/>
              <w:rPr>
                <w:sz w:val="20"/>
                <w:szCs w:val="20"/>
                <w:color w:val="auto"/>
              </w:rPr>
            </w:pPr>
            <w:r>
              <w:rPr>
                <w:rFonts w:ascii="Arial" w:cs="Arial" w:eastAsia="Arial" w:hAnsi="Arial"/>
                <w:sz w:val="18"/>
                <w:szCs w:val="18"/>
                <w:color w:val="auto"/>
                <w:w w:val="91"/>
              </w:rPr>
              <w:t>n.m.</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not meaningful</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The increase in investment income in 2021 when compared with 2020 was largely due to higher net unrealized and realized gains on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of $122.5 million.</w:t>
      </w:r>
    </w:p>
    <w:p>
      <w:pPr>
        <w:spacing w:after="0" w:line="6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i w:val="1"/>
          <w:iCs w:val="1"/>
          <w:color w:val="auto"/>
        </w:rPr>
        <w:t xml:space="preserve">Equity in net earnings (losses) of unconsolidated subsidiaries. </w:t>
      </w:r>
      <w:r>
        <w:rPr>
          <w:rFonts w:ascii="Arial" w:cs="Arial" w:eastAsia="Arial" w:hAnsi="Arial"/>
          <w:sz w:val="18"/>
          <w:szCs w:val="18"/>
          <w:color w:val="auto"/>
        </w:rPr>
        <w:t>Higher income generated from our S&amp;P/DJI business venture contributed to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 net earnings (losses) of unconsolidated subsidiaries in 2021 when compared with 2020. In September 2021, we also began recognizing our share of net earnings in our investment in OSTTRA, our new joint venture with IHS Markit.</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In 2021, we recognized a net gain of $400.7 million on the deconsolidation and contribution of our optimization business to</w:t>
      </w:r>
      <w:r>
        <w:rPr>
          <w:rFonts w:ascii="Arial" w:cs="Arial" w:eastAsia="Arial" w:hAnsi="Arial"/>
          <w:sz w:val="18"/>
          <w:szCs w:val="18"/>
          <w:i w:val="1"/>
          <w:iCs w:val="1"/>
          <w:color w:val="auto"/>
        </w:rPr>
        <w:t xml:space="preserve"> </w:t>
      </w:r>
      <w:r>
        <w:rPr>
          <w:rFonts w:ascii="Arial" w:cs="Arial" w:eastAsia="Arial" w:hAnsi="Arial"/>
          <w:sz w:val="18"/>
          <w:szCs w:val="18"/>
          <w:color w:val="auto"/>
        </w:rPr>
        <w:t>OSTTRA, which contributed to an increase in other income in 2021. We also recognized a gain of $30.4 million related to the sale of a building in Chicago in the fourth quarter of 2021, as well as proceeds from a legal settlement.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Year-over-Year Change</w:t>
            </w:r>
          </w:p>
        </w:tc>
      </w:tr>
      <w:tr>
        <w:trPr>
          <w:trHeight w:val="197"/>
        </w:trPr>
        <w:tc>
          <w:tcPr>
            <w:tcW w:w="7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15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2021-2020</w:t>
            </w:r>
          </w:p>
        </w:tc>
      </w:tr>
      <w:tr>
        <w:trPr>
          <w:trHeight w:val="229"/>
        </w:trPr>
        <w:tc>
          <w:tcPr>
            <w:tcW w:w="7340" w:type="dxa"/>
            <w:vAlign w:val="bottom"/>
            <w:shd w:val="clear" w:color="auto" w:fill="CCEEFF"/>
          </w:tcPr>
          <w:p>
            <w:pPr>
              <w:jc w:val="right"/>
              <w:ind w:right="5419"/>
              <w:spacing w:after="0"/>
              <w:rPr>
                <w:sz w:val="20"/>
                <w:szCs w:val="20"/>
                <w:color w:val="auto"/>
              </w:rPr>
            </w:pPr>
            <w:r>
              <w:rPr>
                <w:rFonts w:ascii="Arial" w:cs="Arial" w:eastAsia="Arial" w:hAnsi="Arial"/>
                <w:sz w:val="18"/>
                <w:szCs w:val="18"/>
                <w:color w:val="auto"/>
                <w:w w:val="88"/>
              </w:rPr>
              <w:t>Year ended December 31</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6"/>
              </w:rPr>
              <w:t>21.8 %</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22.6 %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bl>
    <w:p>
      <w:pPr>
        <w:spacing w:after="0" w:line="202"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effective tax rate decreased in 2021 when compared with 2020. In 2021, we recognized a gain on the deconsolidation and contribution of our optimization business to OSTTRA, which was not taxable. The decrease due to the gain was partially offset by an increase to the statutory rate in the United Kingdom.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historically met our funding requirements with cash generated by our ongoing operations. However, we have used our commercial paper program from time to time to fund large short-term funding needs, including our acquisition of NEX in 2018. While our cost structure is generally fixed in the short term, our sources of operating cash are largely dependent on contract trading volume levels. In addition to using our existing cash, cash equivalents, marketable securities and cash generated from operations, we may continue to utilize our commercial paper program to meet our working capital needs, capital expenditures and other commitments. It is also possible that we may need to raise additional funds to finance our activities through future public debt offerings or by direct borrowings from financial institutions through our committed revolving credit facilities.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Cash will also be required for non-cancellable purchase obligations as at December 31, 2021. Commitments include material contractual purchase obligations that are non-cancellable. Purchase obligations relate to advertising, licensing, hardware, software and maintenance as well as telecommunication services. Aside from the table below, we have certain other arrangements that have a perpetual term for which we pay $5.0 million per year. At December 31, 2021, future minimum payments due under purchase obligations were payable as follows (in millions):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2023-2024</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145.3</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2025-2026</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839.3</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1,306.4</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Future capital expenditures for technology are anticipated as we continue to support our growth through increased system capacity, performance improvements, integration of acquired platforms and improvements to some of our office spaces. Each year, capital expenditures are incurred for improvements to and modification of our offices, remote data centers, telecommunications network and other operating equipment. In 2022, we expect capital expenditures to total approximately $140.0 million to $150.0 million, net of any leasehold improvement allowances. We continue to monitor our capital needs and may revise our forecasted expenditures as necessary in the future.</w:t>
      </w:r>
    </w:p>
    <w:p>
      <w:pPr>
        <w:spacing w:after="0" w:line="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intend to continue to pay a regular quarterly dividend to our shareholders, with a target of between 50% to 60% of the prior year's cash earnings. The decision to pay a dividend and the amount of the dividend, however, remains within the discretion of our board of directors and may be affected by various factors, including our earnings, financial condition, capital requirements, levels of indebtedness and other considerations our board of directors deems relevant. We are also required to comply with restrictions contained in the general corporation laws of our state of incorporation, which could limit our ability to declare and pay dividends. On February 3, 2022, the board of directors declared a regular quarterly dividend of $1.00 per share for all outstanding common and preferred shares. The dividend will be payable on March 25, 2022 to shareholders of record on March 10, 2022. Assuming no changes in the number of shares outstanding, the first quarter dividend payment will total approximately $363.0 million. The board of directors also declared an additional, annual variable dividend of $3.25 per share on December 9, 2021 paid on January 14, 2022 to the shareholders of record on December 28, 2021. In general, the amount of the annual variable dividend will be determined by the end of each year, and the level will increase or decrease from year to year based on operating results, capital expenditures, potential merger and acquisition activity and other forms of capital return, including regular dividends and share buybacks during the prior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flows from operating, investing and financing activities.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Year-over-Year Change</w:t>
            </w:r>
          </w:p>
        </w:tc>
      </w:tr>
      <w:tr>
        <w:trPr>
          <w:trHeight w:val="188"/>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5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2021-2020</w:t>
            </w: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2,402.4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2,715.6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80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58.4</w:t>
            </w:r>
          </w:p>
        </w:tc>
        <w:tc>
          <w:tcPr>
            <w:tcW w:w="42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(175.5)</w:t>
            </w:r>
          </w:p>
        </w:tc>
        <w:tc>
          <w:tcPr>
            <w:tcW w:w="1560" w:type="dxa"/>
            <w:vAlign w:val="bottom"/>
          </w:tcPr>
          <w:p>
            <w:pPr>
              <w:jc w:val="right"/>
              <w:ind w:right="137"/>
              <w:spacing w:after="0"/>
              <w:rPr>
                <w:sz w:val="20"/>
                <w:szCs w:val="20"/>
                <w:color w:val="auto"/>
              </w:rPr>
            </w:pPr>
            <w:r>
              <w:rPr>
                <w:rFonts w:ascii="Arial" w:cs="Arial" w:eastAsia="Arial" w:hAnsi="Arial"/>
                <w:sz w:val="18"/>
                <w:szCs w:val="18"/>
                <w:color w:val="auto"/>
              </w:rPr>
              <w:t>133</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8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69,908.7</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47,246.6</w:t>
            </w:r>
          </w:p>
        </w:tc>
        <w:tc>
          <w:tcPr>
            <w:tcW w:w="15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Net cash provided by operating activities was lower in 2021 compared with 2020, largely due to a decrease in clearing and transaction fee revenue and other revenue. We also contributed the operating net assets of the optimization business to OSTTRA in the third quarter of 2021, which resulted in a net decrease in operating cash flow. In addition, our income tax payments were higher in 2021 compared with 2020.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increase in cash provided by investing activities in 2021 compared with 2020 was largely due to the net cash received from the OSTTRA joint venture transaction of $100.7 million and the additional proceeds received from sales of investments in 2021. In addition, our purchases of fixed assets were lower in 2021 when compared with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Cash provided by financing activities was higher in 2021 when compared with 2020 mainly due to an increase in cash performance bonds and guaranty fund contributions. In addition, we received proceeds of $965.0 million from the issuance of</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preferred shares in connection with our partnership with Google Cloud. The increase in cash provided by financing activities was partially offset by a reduction in the amount of outstanding commercial paper in 2020. For discussion regarding the revision of the presentation of the consolidated statements of cash flow to include cash performance bonds and guaranty fund contributions, see note 2. Summary of Significant Accounting Policies to the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debt outstanding as of December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9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Par Value</w:t>
            </w:r>
          </w:p>
        </w:tc>
      </w:tr>
      <w:tr>
        <w:trPr>
          <w:trHeight w:val="229"/>
        </w:trPr>
        <w:tc>
          <w:tcPr>
            <w:tcW w:w="72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3"/>
                <w:szCs w:val="23"/>
                <w:color w:val="auto"/>
                <w:vertAlign w:val="superscript"/>
              </w:rPr>
              <w:t>(1)</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Fixed rate notes due May 2023, stated rate of 4.30%</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7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3"/>
                <w:szCs w:val="23"/>
                <w:color w:val="auto"/>
                <w:vertAlign w:val="superscript"/>
              </w:rPr>
              <w:t>(2)</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Fixed rate notes due June 2028, stated rate of 3.75%</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29"/>
        </w:trPr>
        <w:tc>
          <w:tcPr>
            <w:tcW w:w="7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3"/>
                <w:szCs w:val="23"/>
                <w:color w:val="auto"/>
                <w:vertAlign w:val="superscript"/>
              </w:rPr>
              <w:t>(3)</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Fixed rate notes due June 2048, stated rate of 4.15%</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700.0</w:t>
            </w:r>
          </w:p>
        </w:tc>
      </w:tr>
    </w:tbl>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ind w:left="660" w:right="160" w:hanging="328"/>
        <w:spacing w:after="0" w:line="275"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maintained a forward-starting interest rate swap agreement that modified the interest obligation associated with these notes so that the interest payable on the notes effectively became fixed at a rate of 3.32%.</w:t>
      </w:r>
    </w:p>
    <w:p>
      <w:pPr>
        <w:spacing w:after="0" w:line="64" w:lineRule="exact"/>
        <w:rPr>
          <w:rFonts w:ascii="Arial" w:cs="Arial" w:eastAsia="Arial" w:hAnsi="Arial"/>
          <w:sz w:val="16"/>
          <w:szCs w:val="16"/>
          <w:color w:val="auto"/>
        </w:rPr>
      </w:pPr>
    </w:p>
    <w:p>
      <w:pPr>
        <w:ind w:left="660" w:right="160" w:hanging="328"/>
        <w:spacing w:after="0" w:line="275"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maintained a forward-starting interest rate swap agreement that modified the interest obligation associated with these notes so that the interest payable on the notes effectively became fixed at a rate of 3.11%.</w:t>
      </w:r>
    </w:p>
    <w:p>
      <w:pPr>
        <w:spacing w:after="0" w:line="64" w:lineRule="exact"/>
        <w:rPr>
          <w:rFonts w:ascii="Arial" w:cs="Arial" w:eastAsia="Arial" w:hAnsi="Arial"/>
          <w:sz w:val="16"/>
          <w:szCs w:val="16"/>
          <w:color w:val="auto"/>
        </w:rPr>
      </w:pPr>
    </w:p>
    <w:p>
      <w:pPr>
        <w:ind w:left="660" w:right="600" w:hanging="328"/>
        <w:spacing w:after="0" w:line="275"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maintained a forward-starting interest rate swap agreement that modified the interest obligation associated with these notes so that the interest payable effectively became fixed at a rate of 4.73%.</w:t>
      </w:r>
    </w:p>
    <w:p>
      <w:pPr>
        <w:spacing w:after="0" w:line="6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maintain a $2.3 billion multi-currency revolving senior credit facility with various financial institutions, which matures in November 2026.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2021, giving effect to share repurchases made and special dividends paid during the term of the agreements (and in no event greater than $2.0 billion in aggregate), multiplied by 0.65. We currently do not have any borrowings outstanding under this facility, but any commercial paper balance if or when outstanding can be backstopped against this facility.</w:t>
      </w:r>
    </w:p>
    <w:p>
      <w:pPr>
        <w:spacing w:after="0" w:line="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a clearing firm fails to promptly discharge an obligation to CME Clearing, in the event of a liquidity constraint or default by a depositary (custodian for our collateral), in the event of a temporary disruption with the domestic payments system that would delay payment of settlement variation between us and our clearing firms, or in other cases as provided by the CME rulebook. Clearing firm guaranty fund contributions received in the form of cash or U.S. Treasury securities as well as the performance bond assets (pursuant to the CME rulebook) can be used to collateralize the facility. At December 31, 2021, guaranty fund contributions available to collateralize the facility totaled $9.7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7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 December 31, 2021, we have excess borrowing capacity for general corporate purposes of approximately $2.3 billion under our multi-currency revolving senior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we were in compliance with the various financial covenant requirements of all our debt facilities.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the funds that it uses to pay dividends to its shareholders.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To satisfy our performance bond obligation with Singapore Exchange Limited, we may pledge irrevocable standby letters of credit. At December 31, 2021, the letters of credit totaled $330.0 million. We also maintain a $350.0 million line of credit to meet our obligations under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December 31,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Rating Agency</w:t>
            </w:r>
          </w:p>
        </w:tc>
        <w:tc>
          <w:tcPr>
            <w:tcW w:w="3680" w:type="dxa"/>
            <w:vAlign w:val="bottom"/>
          </w:tcPr>
          <w:p>
            <w:pPr>
              <w:ind w:left="2560"/>
              <w:spacing w:after="0"/>
              <w:rPr>
                <w:sz w:val="20"/>
                <w:szCs w:val="20"/>
                <w:color w:val="auto"/>
              </w:rPr>
            </w:pPr>
            <w:r>
              <w:rPr>
                <w:rFonts w:ascii="Arial" w:cs="Arial" w:eastAsia="Arial" w:hAnsi="Arial"/>
                <w:sz w:val="14"/>
                <w:szCs w:val="14"/>
                <w:b w:val="1"/>
                <w:bCs w:val="1"/>
                <w:color w:val="auto"/>
              </w:rPr>
              <w:t>Short-Term</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188"/>
        </w:trPr>
        <w:tc>
          <w:tcPr>
            <w:tcW w:w="4500" w:type="dxa"/>
            <w:vAlign w:val="bottom"/>
            <w:tcBorders>
              <w:bottom w:val="single" w:sz="8" w:color="auto"/>
            </w:tcBorders>
            <w:vMerge w:val="continue"/>
          </w:tcPr>
          <w:p>
            <w:pPr>
              <w:spacing w:after="0"/>
              <w:rPr>
                <w:sz w:val="16"/>
                <w:szCs w:val="16"/>
                <w:color w:val="auto"/>
              </w:rPr>
            </w:pPr>
          </w:p>
        </w:tc>
        <w:tc>
          <w:tcPr>
            <w:tcW w:w="368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Debt Rating</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Debt Rating</w:t>
            </w: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 &amp; Poor’s</w:t>
            </w:r>
          </w:p>
        </w:tc>
        <w:tc>
          <w:tcPr>
            <w:tcW w:w="3680" w:type="dxa"/>
            <w:vAlign w:val="bottom"/>
            <w:shd w:val="clear" w:color="auto" w:fill="CCEEFF"/>
          </w:tcPr>
          <w:p>
            <w:pPr>
              <w:jc w:val="center"/>
              <w:ind w:left="2079"/>
              <w:spacing w:after="0"/>
              <w:rPr>
                <w:sz w:val="20"/>
                <w:szCs w:val="20"/>
                <w:color w:val="auto"/>
              </w:rPr>
            </w:pPr>
            <w:r>
              <w:rPr>
                <w:rFonts w:ascii="Arial" w:cs="Arial" w:eastAsia="Arial" w:hAnsi="Arial"/>
                <w:sz w:val="18"/>
                <w:szCs w:val="18"/>
                <w:color w:val="auto"/>
                <w:w w:val="98"/>
              </w:rPr>
              <w:t>A1+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Moody’s Investors Service</w:t>
            </w:r>
          </w:p>
        </w:tc>
        <w:tc>
          <w:tcPr>
            <w:tcW w:w="3680" w:type="dxa"/>
            <w:vAlign w:val="bottom"/>
          </w:tcPr>
          <w:p>
            <w:pPr>
              <w:jc w:val="center"/>
              <w:ind w:left="2079"/>
              <w:spacing w:after="0"/>
              <w:rPr>
                <w:sz w:val="20"/>
                <w:szCs w:val="20"/>
                <w:color w:val="auto"/>
              </w:rPr>
            </w:pPr>
            <w:r>
              <w:rPr>
                <w:rFonts w:ascii="Arial" w:cs="Arial" w:eastAsia="Arial" w:hAnsi="Arial"/>
                <w:sz w:val="18"/>
                <w:szCs w:val="18"/>
                <w:color w:val="auto"/>
                <w:w w:val="90"/>
              </w:rPr>
              <w:t>P1</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Management</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Cash and cash equivalents, excluding restricted cash, totaled $2.8 billion and $1.6 billion at December 31, 2021 and December 31, 2020, respectively. 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no additional contribution will be necessary in 2022 to meet our funding goal. However, the amount of the actual contribution is contingent on various factors, including the actual rate of return on our plan assets during 2022 and the December 31, 2022 discount rate.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Requirements</w:t>
      </w:r>
    </w:p>
    <w:p>
      <w:pPr>
        <w:spacing w:after="0" w:line="12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CME is regulated by the CFTC as a U.S. Derivatives Clearing Organization (DCO).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spacing w:after="0" w:line="53"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5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BrokerTec Americas LLC is required to maintain sufficient net capital under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 dealers, but not to unregistered affiliates. The firm began operating as a (k)(2)(i) broker dealer in November 2017 following notification to the Financial Industry Regulatory Authority and the SEC. A company operating under the (k)(2) (i) exemption is not required to lock up customer funds as would otherwise be required under Exchange Act Rule 15c3-3.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various market risks, including those caused by changes in interest rates, credit and foreign currency exchange rates.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Debt outstanding at December 31, 2021 consisted of fixed-rate borrowings of $3.4 billion (in U.S. dollar equivalent). Changes in interest rates impact the fair values of fixed-rate debt, but do not impact earnings or cash flows. We did not have any variable-rate borrowings at December 31, 2021.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CME Clearing House</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clearing house acts as the counterparty to all trades consummated on our exchanges as well as through third-party exchanges and swaps markets for which we provide clearing services. As a result, we are exposed to significant credit risk of third parties, including clearing firms. We are also exposed, indirectly, to the credit risk of customers of our clearing firms. These parties may default on their obligations due to bankruptcy, lack of liquidity, operational failure or other reasons.</w:t>
      </w:r>
    </w:p>
    <w:p>
      <w:pPr>
        <w:spacing w:after="0" w:line="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order to ensure performance, we establish and monitor financial requirements for our clearing firms. We set minimum performance bond requirements for exchange-traded and interest rate swaps products. For clearing firms, we establish performance bond requirements to cover at least 99% of expected price changes for a given product within a given historical period with further quantitative and qualitative considerations based on market risk. We establish haircuts applied to collateral deposited to meet performance bond requirements to cover at least 99% of expected price changes and foreign currency changes for a given asset within a given historical period with further quantitative and qualitative considerations. Haircuts vary depending on the type of collateral and maturity. We mark-to-market open positions of clearing firms at least once a day (twice a day for futures and options contracts) and require payment from clearing firms whose positions have lost value and make payments to clearing firms whose positions have gained value. We have the capability to mark-to-market more frequently as market conditions warrant. These practices allow our clearing house to quickly identify any clearing firms that may not be able to satisfy the financial obligations resulting from changes in the prices of their open positions before those financial obligations become exceptionally large and jeopardize the ability of our clearing house to ensure performance of their open positions.</w:t>
      </w:r>
    </w:p>
    <w:p>
      <w:pPr>
        <w:spacing w:after="0" w:line="60"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w:t>
      </w:r>
    </w:p>
    <w:p>
      <w:pPr>
        <w:spacing w:after="0" w:line="7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Despite our safeguards, we cannot guarantee that these measures will be sufficient to protect us from a default or that we will not be materially and adversely affected in the event of a significant default.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maintain two separate financial safeguard packages:</w:t>
      </w:r>
    </w:p>
    <w:p>
      <w:pPr>
        <w:spacing w:after="0" w:line="117" w:lineRule="exact"/>
        <w:rPr>
          <w:sz w:val="20"/>
          <w:szCs w:val="20"/>
          <w:color w:val="auto"/>
        </w:rPr>
      </w:pPr>
    </w:p>
    <w:p>
      <w:pPr>
        <w:ind w:left="660" w:right="40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financial safeguard package for all futures, options and over-the-counter swap contracts other than cleared interest rate swap contracts (base package);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financial safeguard package for cleared interest rate swap contracts.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unlikely event of a payment default by a clearing firm, we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In addition, we would make a demand for payment pursuant to any applicable guarantee provided to us by the parent company of the clearing firm. Thereafter, if the payment default remains unsatisfied, we would use our corporate contributions designated for the respective financial safeguard package. We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maintain a $7.0 billion 364-day multi-currency line of credit with a consortium of domestic and international banks to be used in certain situations by our clearing house. We have the option to request an increase in the line from $7.0 billion to $10.0 billion. We may use the proceeds to provide temporary liquidity in the unlikely event of a clearing firm default, in the event of a liquidity constraint or default by a depositary (custodian of the collateral) or in the event of a temporary disruption with the payments systems that would delay payment of settlement variation between us and our clearing firms. The credit agreement requires us to pledge certain assets to the line of credit custodian prior to drawing on the line of credit. Pledged assets may include clearing firm guaranty fund deposits held by us in the form of cash or U.S. Treasury securities. Performance bond collateral of a defaulting clearing firm may also be used to secure a draw on the line. In addition to the 364-day multi-currency line of credit, we also have the option to use our $2.3 billion multi-currency revolving senior credit facility to provide liquidity for our clearing house in the unlikely event of default.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At December 31, 2021, aggregate performance bond deposits for clearing firms for both financial safeguard packages was $224.8 billion, including cash performance bond deposits, non-cash deposits, Interest Earnings Facility funds and letters of credit. A defaulting firm's performance bond deposits can be used in the event of default of that clearing firm.</w:t>
      </w:r>
    </w:p>
    <w:p>
      <w:pPr>
        <w:spacing w:after="0" w:line="76"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color w:val="auto"/>
        </w:rPr>
        <w:t>The following shows the available assets at December 31, 2021 in the event of a payment default by a clearing firm for the base financial safeguard package after first utilizing the defaulting firm's available assets:</w:t>
      </w:r>
    </w:p>
    <w:tbl>
      <w:tblPr>
        <w:tblLayout w:type="fixed"/>
        <w:tblInd w:w="0" w:type="dxa"/>
        <w:tblCellMar>
          <w:top w:w="0" w:type="dxa"/>
          <w:left w:w="0" w:type="dxa"/>
          <w:bottom w:w="0" w:type="dxa"/>
          <w:right w:w="0" w:type="dxa"/>
        </w:tblCellMar>
      </w:tblPr>
      <w:tr>
        <w:trPr>
          <w:trHeight w:val="144"/>
        </w:trPr>
        <w:tc>
          <w:tcPr>
            <w:tcW w:w="6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780" w:type="dxa"/>
            <w:vAlign w:val="bottom"/>
          </w:tcPr>
          <w:p>
            <w:pPr>
              <w:spacing w:after="0"/>
              <w:rPr>
                <w:sz w:val="12"/>
                <w:szCs w:val="12"/>
                <w:color w:val="auto"/>
              </w:rPr>
            </w:pPr>
          </w:p>
        </w:tc>
        <w:tc>
          <w:tcPr>
            <w:tcW w:w="1520" w:type="dxa"/>
            <w:vAlign w:val="bottom"/>
          </w:tcPr>
          <w:p>
            <w:pPr>
              <w:jc w:val="right"/>
              <w:ind w:right="317"/>
              <w:spacing w:after="0" w:line="145" w:lineRule="exact"/>
              <w:rPr>
                <w:sz w:val="20"/>
                <w:szCs w:val="20"/>
                <w:color w:val="auto"/>
              </w:rPr>
            </w:pPr>
            <w:r>
              <w:rPr>
                <w:rFonts w:ascii="Arial" w:cs="Arial" w:eastAsia="Arial" w:hAnsi="Arial"/>
                <w:sz w:val="14"/>
                <w:szCs w:val="14"/>
                <w:b w:val="1"/>
                <w:bCs w:val="1"/>
                <w:color w:val="auto"/>
              </w:rPr>
              <w:t>Clearing House</w:t>
            </w:r>
          </w:p>
        </w:tc>
        <w:tc>
          <w:tcPr>
            <w:tcW w:w="0" w:type="dxa"/>
            <w:vAlign w:val="bottom"/>
          </w:tcPr>
          <w:p>
            <w:pPr>
              <w:spacing w:after="0"/>
              <w:rPr>
                <w:sz w:val="1"/>
                <w:szCs w:val="1"/>
                <w:color w:val="auto"/>
              </w:rPr>
            </w:pPr>
          </w:p>
        </w:tc>
      </w:tr>
      <w:tr>
        <w:trPr>
          <w:trHeight w:val="188"/>
        </w:trPr>
        <w:tc>
          <w:tcPr>
            <w:tcW w:w="6920" w:type="dxa"/>
            <w:vAlign w:val="bottom"/>
            <w:tcBorders>
              <w:bottom w:val="single" w:sz="8" w:color="auto"/>
            </w:tcBorders>
            <w:vMerge w:val="continue"/>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24"/>
        </w:trPr>
        <w:tc>
          <w:tcPr>
            <w:tcW w:w="69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Designated corporate contributions for futures and options</w:t>
            </w:r>
            <w:r>
              <w:rPr>
                <w:rFonts w:ascii="Arial" w:cs="Arial" w:eastAsia="Arial" w:hAnsi="Arial"/>
                <w:sz w:val="23"/>
                <w:szCs w:val="23"/>
                <w:color w:val="auto"/>
                <w:vertAlign w:val="superscript"/>
              </w:rPr>
              <w:t>(1)</w:t>
            </w:r>
          </w:p>
        </w:tc>
        <w:tc>
          <w:tcPr>
            <w:tcW w:w="2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line="23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3"/>
                <w:szCs w:val="23"/>
                <w:color w:val="auto"/>
                <w:vertAlign w:val="superscript"/>
              </w:rPr>
              <w:t>(2)</w:t>
            </w:r>
          </w:p>
        </w:tc>
        <w:tc>
          <w:tcPr>
            <w:tcW w:w="27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5,902.9</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Assessment powers</w:t>
            </w:r>
            <w:r>
              <w:rPr>
                <w:rFonts w:ascii="Arial" w:cs="Arial" w:eastAsia="Arial" w:hAnsi="Arial"/>
                <w:sz w:val="23"/>
                <w:szCs w:val="23"/>
                <w:color w:val="auto"/>
                <w:vertAlign w:val="superscript"/>
              </w:rPr>
              <w:t>(3)</w:t>
            </w:r>
          </w:p>
        </w:tc>
        <w:tc>
          <w:tcPr>
            <w:tcW w:w="2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16,233.0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8" w:lineRule="exact"/>
        <w:rPr>
          <w:sz w:val="20"/>
          <w:szCs w:val="20"/>
          <w:color w:val="auto"/>
        </w:rPr>
      </w:pPr>
    </w:p>
    <w:p>
      <w:pPr>
        <w:ind w:left="660" w:right="180" w:hanging="652"/>
        <w:spacing w:after="0" w:line="275"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clearing house designates $100.0 million of corporate contributions to satisfy a clearing firm default in the event that the defaulting clearing firm's guaranty contributions and performance bonds do not satisfy the deficit.</w:t>
      </w:r>
    </w:p>
    <w:p>
      <w:pPr>
        <w:spacing w:after="0" w:line="10"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Guaranty fund contributions of clearing firms include guaranty fund contributions required of clearing firms, but do not include any excess deposits held by us at the direction of clearing firms.</w:t>
      </w:r>
    </w:p>
    <w:p>
      <w:pPr>
        <w:spacing w:after="0" w:line="10" w:lineRule="exact"/>
        <w:rPr>
          <w:rFonts w:ascii="Arial" w:cs="Arial" w:eastAsia="Arial" w:hAnsi="Arial"/>
          <w:sz w:val="16"/>
          <w:szCs w:val="16"/>
          <w:color w:val="auto"/>
        </w:rPr>
      </w:pPr>
    </w:p>
    <w:p>
      <w:pPr>
        <w:ind w:left="660" w:right="80" w:hanging="652"/>
        <w:spacing w:after="0" w:line="272" w:lineRule="auto"/>
        <w:tabs>
          <w:tab w:leader="none" w:pos="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 the event of a clearing firm default, if a loss continues to exist after the utilization of the assets of the defaulted firm, our corporate contribution and the non-defaulting clearing firms' guaranty fund contributions, we would assess all non-defaulting clearing members as provided in the rules governing the guaranty fund. We could assess non-defaulting clearing members 275% of their existing guaranty fund requirements up to a maximum of 550% of their existing guaranty fund requirements as provided in the rules. Assessment powers are calculated to reflect the potential obligation that each clearing member could be called for in the event clearing member defaults exhaust the guaranty fund; however, the total amount available would be reduced by the defaulted clearing members' assessment obligations since they would no longer be able to satisfy their obligations.</w:t>
      </w:r>
    </w:p>
    <w:p>
      <w:pPr>
        <w:spacing w:after="0" w:line="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shows the available assets for the interest rate swap financial safeguard package at December 31, 2021 in the event of a payment default by a clearing firm that clears interest rate swap contracts, after first utilizing the defaulting firm's available assets: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500" w:type="dxa"/>
            <w:vAlign w:val="bottom"/>
          </w:tcPr>
          <w:p>
            <w:pPr>
              <w:spacing w:after="0"/>
              <w:rPr>
                <w:sz w:val="14"/>
                <w:szCs w:val="14"/>
                <w:color w:val="auto"/>
              </w:rPr>
            </w:pPr>
          </w:p>
        </w:tc>
        <w:tc>
          <w:tcPr>
            <w:tcW w:w="1520" w:type="dxa"/>
            <w:vAlign w:val="bottom"/>
          </w:tcPr>
          <w:p>
            <w:pPr>
              <w:jc w:val="right"/>
              <w:ind w:right="317"/>
              <w:spacing w:after="0"/>
              <w:rPr>
                <w:sz w:val="20"/>
                <w:szCs w:val="20"/>
                <w:color w:val="auto"/>
              </w:rPr>
            </w:pPr>
            <w:r>
              <w:rPr>
                <w:rFonts w:ascii="Arial" w:cs="Arial" w:eastAsia="Arial" w:hAnsi="Arial"/>
                <w:sz w:val="14"/>
                <w:szCs w:val="14"/>
                <w:b w:val="1"/>
                <w:bCs w:val="1"/>
                <w:color w:val="auto"/>
              </w:rPr>
              <w:t>Clearing House</w:t>
            </w:r>
          </w:p>
        </w:tc>
        <w:tc>
          <w:tcPr>
            <w:tcW w:w="0" w:type="dxa"/>
            <w:vAlign w:val="bottom"/>
          </w:tcPr>
          <w:p>
            <w:pPr>
              <w:spacing w:after="0"/>
              <w:rPr>
                <w:sz w:val="1"/>
                <w:szCs w:val="1"/>
                <w:color w:val="auto"/>
              </w:rPr>
            </w:pPr>
          </w:p>
        </w:tc>
      </w:tr>
      <w:tr>
        <w:trPr>
          <w:trHeight w:val="188"/>
        </w:trPr>
        <w:tc>
          <w:tcPr>
            <w:tcW w:w="720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Designated corporate contributions for interest rate swap contracts</w:t>
            </w:r>
            <w:r>
              <w:rPr>
                <w:rFonts w:ascii="Arial" w:cs="Arial" w:eastAsia="Arial" w:hAnsi="Arial"/>
                <w:sz w:val="23"/>
                <w:szCs w:val="23"/>
                <w:color w:val="auto"/>
                <w:vertAlign w:val="superscript"/>
              </w:rPr>
              <w:t>(1)</w:t>
            </w:r>
          </w:p>
        </w:tc>
        <w:tc>
          <w:tcPr>
            <w:tcW w:w="2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line="23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3"/>
                <w:szCs w:val="23"/>
                <w:color w:val="auto"/>
                <w:vertAlign w:val="superscript"/>
              </w:rPr>
              <w:t>(2)</w:t>
            </w:r>
          </w:p>
        </w:tc>
        <w:tc>
          <w:tcPr>
            <w:tcW w:w="2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3,798.4</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Assessment powers</w:t>
            </w:r>
            <w:r>
              <w:rPr>
                <w:rFonts w:ascii="Arial" w:cs="Arial" w:eastAsia="Arial" w:hAnsi="Arial"/>
                <w:sz w:val="23"/>
                <w:szCs w:val="23"/>
                <w:color w:val="auto"/>
                <w:vertAlign w:val="superscript"/>
              </w:rPr>
              <w:t>(3)</w:t>
            </w:r>
          </w:p>
        </w:tc>
        <w:tc>
          <w:tcPr>
            <w:tcW w:w="2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ind w:left="660" w:right="180" w:hanging="652"/>
        <w:spacing w:after="0" w:line="275"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clearing house designates $150.0 million of corporate contributions to satisfy a clearing firm default in the event that the defaulting clearing firm's guaranty contributions and performance bonds do not satisfy the deficit.</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interest rate swap contracts include guaranty fund contributions required of those clearing firms.</w:t>
      </w:r>
    </w:p>
    <w:p>
      <w:pPr>
        <w:spacing w:after="0" w:line="59" w:lineRule="exact"/>
        <w:rPr>
          <w:rFonts w:ascii="Arial" w:cs="Arial" w:eastAsia="Arial" w:hAnsi="Arial"/>
          <w:sz w:val="16"/>
          <w:szCs w:val="16"/>
          <w:color w:val="auto"/>
        </w:rPr>
      </w:pPr>
    </w:p>
    <w:p>
      <w:pPr>
        <w:ind w:left="660" w:right="40" w:hanging="652"/>
        <w:spacing w:after="0" w:line="25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event of a clearing firm default, if a loss continues to exist after the utilization of the assets of the defaulted firm, our corporate contribution and the non-defaulting firms' guaranty fund contributions, we would assess non-defaulting clearing members as provided in the rules governing the interest rate swap guaranty fund. Assessment powers are calculated to reflect the potential obligation that each clearing member could be called for based on potential failure of the third and fourth largest clearing.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BrokerTec Americas Matched Principal Business</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BrokerTec Americas maintains a matched principal business, where it serves as a fully matched counterparty to offsetting positions entered into by clients on its electronic trading platform to facilitate anonymity and access to clearing and settlement. BrokerTec Americas uses Fixed Income Clearing Corporation (FICC), a third-party central clearing house as well as a third-party clearing bank for the settlement of transactions and is required to post short-term margin requirements twice a day that can vary based on the size of unsettled transactions and any adverse market changes. At December 31, 2021, the balance of the collateral at FICC was $100.0 million, which was included in other current assets on the consolidated balance sheet.</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Without sufficient funds to meet its obligations, BrokerTec Americas could be exposed to risk of breach of contract with the counterparties and the inability to continue as a member of the third-party central clearing house. Transactions with clearing house members are typically confirmed and novated shortly after execution, at which point the clearing house assumes the risk of settlement. For transactions with counterparties that are not members of the third-party clearing house, settlement typically occurs on the day following execution and, prior to settlement, BrokerTec Americas is exposed to the risk of loss in the event a counterparty fails to meet its obligations. If that were to occur, BrokerTec Americas would have the right to cover or liquidate the open position but could incur a loss as a result of market movements.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 Risk</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foreign currency transaction risk related to changes in exchange rates on monetary assets, liabilities, revenues and expenses held at subsidiaries where those balances and activity are denominated in a currency other than the subsidiary's functional currency. Gains and losses on foreign currency transactions result primarily from cash, debt and other monetary assets, liabilities, revenues and expenses denominated in British pounds, euros and Japanese yen.</w:t>
      </w:r>
    </w:p>
    <w:p>
      <w:pPr>
        <w:spacing w:after="0" w:line="79"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Aggregate transaction gains (losses) for 2021, 2020 and 2019 were $0.4 million, $(9.3) million and $(7.2) million, respectively. We expect the foreign currency gain/loss to continue to fluctuate as long as we continue to hold monetary assets and liabilities at those subsidiaries. Market uncertainty could potentially lead to significant volatility with foreign currency exchange rates, which could result in additional foreign currency gain/loss.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Risk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foreign currency translation risk related to the translation of our foreign subsidiaries' assets, liabilities, revenues and expenses from their respective functional currencies to the U.S. dollar at each reporting date. Fluctuations in exchange rates may impact the amount of assets, liabilities, revenues and expenses we report on our consolidated balance sheets and consolidated statements of income. The financial statements of those foreign subsidiaries with functional currencies other than the U.S. dollar are translated into U.S. dollars using a current exchange rate. Gains and losses resulting from this translation are recognized as a foreign currency translation adjustment within accumulated other comprehensive income, which is a component of shareholders' equity and comprehensive income. Aggregate translation gains (losses), net of tax, for 2021, 2020 and 2019 were $(62.0) million, $134.3 million and $(0.6) million,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 Related to Customer Collateral</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 portion of performance bond deposits is denominated in various foreign currencies. We mark-to-market all deposits daily and require payment from clearing firms whose collateral has lost value due to changes in foreign currency rates and price. Therefore, our exposure to foreign currency risk related to performance bond deposits is considered minimal and is not expected to be material to our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1,633.2</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 of $5.6 and $5.4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Other current assets (includes $4.8 and $4.7 in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bonds and guaranty fund contributions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157,949.6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86,781.8</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161,761.8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89,283.9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assets—trading products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10,528.0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10,798.8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(includes $0.5 and $0.6 in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1,957.1</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196,780.3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124,659.6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1,346.8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bonds and guaranty fund contributions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157,949.6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86,781.8</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160,398.4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88,197.9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3,443.8</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Deferred income tax liabilities,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5,390.4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5,607.0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169,381.0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98,308.1</w:t>
            </w:r>
          </w:p>
        </w:tc>
        <w:tc>
          <w:tcPr>
            <w:tcW w:w="0" w:type="dxa"/>
            <w:vAlign w:val="bottom"/>
          </w:tcPr>
          <w:p>
            <w:pPr>
              <w:spacing w:after="0"/>
              <w:rPr>
                <w:sz w:val="1"/>
                <w:szCs w:val="1"/>
                <w:color w:val="auto"/>
              </w:rPr>
            </w:pPr>
          </w:p>
        </w:tc>
      </w:tr>
      <w:tr>
        <w:trPr>
          <w:trHeight w:val="129"/>
        </w:trPr>
        <w:tc>
          <w:tcPr>
            <w:tcW w:w="8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Preferred stock, $0.01 par value, 10,000 shares authorized as of December 31, 2021 and 2020; 4,584 and</w:t>
            </w:r>
          </w:p>
        </w:tc>
        <w:tc>
          <w:tcPr>
            <w:tcW w:w="3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none issued and outstanding as of December 31, 2021 and 2020, respectively</w:t>
            </w:r>
          </w:p>
        </w:tc>
        <w:tc>
          <w:tcPr>
            <w:tcW w:w="3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tcPr>
          <w:p>
            <w:pPr>
              <w:ind w:left="360"/>
              <w:spacing w:after="0" w:line="176" w:lineRule="exact"/>
              <w:rPr>
                <w:sz w:val="20"/>
                <w:szCs w:val="20"/>
                <w:color w:val="auto"/>
              </w:rPr>
            </w:pPr>
            <w:r>
              <w:rPr>
                <w:rFonts w:ascii="Arial" w:cs="Arial" w:eastAsia="Arial" w:hAnsi="Arial"/>
                <w:sz w:val="18"/>
                <w:szCs w:val="18"/>
                <w:color w:val="auto"/>
                <w:w w:val="92"/>
              </w:rPr>
              <w:t>Class A common stock, $0.01 par value, 1,000,000 shares authorized as of December 31, 2021 and 2020,</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w w:val="96"/>
              </w:rPr>
              <w:t>358,599 and 358,110 shares issued and outstanding as of December 31, 2021 and 2020, respectively</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Class B common stock, $0.01 par value, 3 shares authorized, issued and outstanding as of December 31,</w:t>
            </w:r>
          </w:p>
        </w:tc>
        <w:tc>
          <w:tcPr>
            <w:tcW w:w="3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2021 and 2020</w:t>
            </w:r>
          </w:p>
        </w:tc>
        <w:tc>
          <w:tcPr>
            <w:tcW w:w="3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22,190.3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21,185.5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CME Group shareholders’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26,319.9</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27,399.3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26,351.5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196,780.3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124,659.6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Clearing and transaction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3,765.1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3,897.4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3,946.1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 and information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4,868.0</w:t>
            </w:r>
          </w:p>
        </w:tc>
      </w:tr>
      <w:tr>
        <w:trPr>
          <w:trHeight w:val="20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 and outside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314.7</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Licensing and other fee agreements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2,587.8</w:t>
            </w:r>
          </w:p>
        </w:tc>
      </w:tr>
      <w:tr>
        <w:trPr>
          <w:trHeight w:val="108"/>
        </w:trPr>
        <w:tc>
          <w:tcPr>
            <w:tcW w:w="6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637.9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borrowing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Equity in net earnings (losses) of unconsolidated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176.8</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 Non-Operating Income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2,689.6</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2,115.8</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CME Group</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2,116.5</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Common Shareholders of CME Group</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2,116.5</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6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Earnings per Share Attributable to Common Shareholders of CME Group:</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357,764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357,155</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358,239</w:t>
            </w: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securities: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of gains (losses) on sale included in investment income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securities,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7240" w:type="dxa"/>
            <w:vAlign w:val="bottom"/>
          </w:tcPr>
          <w:p>
            <w:pPr>
              <w:ind w:left="12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76"/>
        </w:trPr>
        <w:tc>
          <w:tcPr>
            <w:tcW w:w="7240" w:type="dxa"/>
            <w:vAlign w:val="bottom"/>
          </w:tcPr>
          <w:p>
            <w:pPr>
              <w:ind w:left="200"/>
              <w:spacing w:after="0" w:line="176" w:lineRule="exact"/>
              <w:rPr>
                <w:sz w:val="20"/>
                <w:szCs w:val="20"/>
                <w:color w:val="auto"/>
              </w:rPr>
            </w:pPr>
            <w:r>
              <w:rPr>
                <w:rFonts w:ascii="Arial" w:cs="Arial" w:eastAsia="Arial" w:hAnsi="Arial"/>
                <w:sz w:val="18"/>
                <w:szCs w:val="18"/>
                <w:color w:val="auto"/>
                <w:w w:val="95"/>
              </w:rPr>
              <w:t>Amortization of net actuarial (gains) losses and prior service costs included in compensation</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7240" w:type="dxa"/>
            <w:vAlign w:val="bottom"/>
          </w:tcPr>
          <w:p>
            <w:pPr>
              <w:ind w:left="200"/>
              <w:spacing w:after="0"/>
              <w:rPr>
                <w:sz w:val="20"/>
                <w:szCs w:val="20"/>
                <w:color w:val="auto"/>
              </w:rPr>
            </w:pPr>
            <w:r>
              <w:rPr>
                <w:rFonts w:ascii="Arial" w:cs="Arial" w:eastAsia="Arial" w:hAnsi="Arial"/>
                <w:sz w:val="18"/>
                <w:szCs w:val="18"/>
                <w:color w:val="auto"/>
              </w:rPr>
              <w:t>and benefits expense</w:t>
            </w: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7240" w:type="dxa"/>
            <w:vAlign w:val="bottom"/>
          </w:tcPr>
          <w:p>
            <w:pPr>
              <w:ind w:left="120"/>
              <w:spacing w:after="0"/>
              <w:rPr>
                <w:sz w:val="20"/>
                <w:szCs w:val="20"/>
                <w:color w:val="auto"/>
              </w:rPr>
            </w:pPr>
            <w:r>
              <w:rPr>
                <w:rFonts w:ascii="Arial" w:cs="Arial" w:eastAsia="Arial" w:hAnsi="Arial"/>
                <w:sz w:val="18"/>
                <w:szCs w:val="18"/>
                <w:color w:val="auto"/>
              </w:rPr>
              <w:t>Defined benefit plans,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investments: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76"/>
        </w:trPr>
        <w:tc>
          <w:tcPr>
            <w:tcW w:w="72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Amortization of effective portion of net (gains) losses on cash flow hedges included in</w:t>
            </w: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investments,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7240" w:type="dxa"/>
            <w:vAlign w:val="bottom"/>
          </w:tcPr>
          <w:p>
            <w:pPr>
              <w:ind w:left="12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Reclassification adjustment for loss included in other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1" w:name="page52"/>
    <w:bookmarkEnd w:id="51"/>
    <w:p>
      <w:pPr>
        <w:ind w:left="3980"/>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Total CME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Stock and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1"/>
                <w:szCs w:val="11"/>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8"/>
        </w:trPr>
        <w:tc>
          <w:tcPr>
            <w:tcW w:w="24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(Shares)</w:t>
            </w: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(Shares)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Balance at December 31, 2018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356,824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720"/>
              <w:spacing w:after="0"/>
              <w:rPr>
                <w:sz w:val="20"/>
                <w:szCs w:val="20"/>
                <w:color w:val="auto"/>
              </w:rPr>
            </w:pPr>
            <w:r>
              <w:rPr>
                <w:rFonts w:ascii="Arial" w:cs="Arial" w:eastAsia="Arial" w:hAnsi="Arial"/>
                <w:sz w:val="18"/>
                <w:szCs w:val="18"/>
                <w:color w:val="auto"/>
                <w:w w:val="87"/>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25,918.5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25,965.3</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2,115.8</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80"/>
              <w:spacing w:after="0"/>
              <w:rPr>
                <w:sz w:val="20"/>
                <w:szCs w:val="20"/>
                <w:color w:val="auto"/>
              </w:rPr>
            </w:pPr>
            <w:r>
              <w:rPr>
                <w:rFonts w:ascii="Arial" w:cs="Arial" w:eastAsia="Arial" w:hAnsi="Arial"/>
                <w:sz w:val="18"/>
                <w:szCs w:val="18"/>
                <w:color w:val="auto"/>
                <w:w w:val="91"/>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w w:val="98"/>
              </w:rPr>
              <w:t>Dividends on common stock of</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9"/>
              </w:rPr>
              <w:t>(1,970.0)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(1,970.0)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$5.50 per share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Impact of adoption of standards</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updates on leasing</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Changes in non-controlling</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interest due to measurement</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period adjustments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w w:val="90"/>
              </w:rPr>
              <w:t>Vesting of issued restricted Class</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A common stock</w:t>
            </w: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issued to Board of</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Directors</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w w:val="96"/>
              </w:rPr>
              <w:t>Shares issued under Employee</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Stock Purchase Plan</w:t>
            </w: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w w:val="94"/>
              </w:rPr>
              <w:t>Balance at December 31, 2019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357,469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center"/>
              <w:ind w:left="720"/>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26,128.9</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26,159.3</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6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9"/>
              </w:rPr>
              <w:t>Total CME</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Stock and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1060" w:type="dxa"/>
            <w:vAlign w:val="bottom"/>
          </w:tcPr>
          <w:p>
            <w:pPr>
              <w:jc w:val="center"/>
              <w:ind w:right="95"/>
              <w:spacing w:after="0" w:line="135" w:lineRule="exact"/>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106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200" w:type="dxa"/>
            <w:vAlign w:val="bottom"/>
          </w:tcPr>
          <w:p>
            <w:pPr>
              <w:spacing w:after="0"/>
              <w:rPr>
                <w:sz w:val="11"/>
                <w:szCs w:val="11"/>
                <w:color w:val="auto"/>
              </w:rPr>
            </w:pPr>
          </w:p>
        </w:tc>
        <w:tc>
          <w:tcPr>
            <w:tcW w:w="90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91"/>
              </w:rPr>
              <w:t>controlling</w:t>
            </w:r>
          </w:p>
        </w:tc>
        <w:tc>
          <w:tcPr>
            <w:tcW w:w="220" w:type="dxa"/>
            <w:vAlign w:val="bottom"/>
          </w:tcPr>
          <w:p>
            <w:pPr>
              <w:spacing w:after="0"/>
              <w:rPr>
                <w:sz w:val="11"/>
                <w:szCs w:val="11"/>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8"/>
        </w:trPr>
        <w:tc>
          <w:tcPr>
            <w:tcW w:w="24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(Shares)</w:t>
            </w: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(Shares)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Balance at December 31, 2019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357,469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26,128.9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26,159.3</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2,105.2</w:t>
            </w:r>
          </w:p>
        </w:tc>
        <w:tc>
          <w:tcPr>
            <w:tcW w:w="2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2,106.4</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131.5</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w w:val="98"/>
              </w:rPr>
              <w:t>Dividends on common stock of</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9"/>
              </w:rPr>
              <w:t>(2,117.7)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(2,117.7)</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(2,117.7)</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$5.90 per share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Impact of adoption of accounting</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standards updates on credit</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Vesting of issued restricted Class</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common stock</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Shares issued to Board of</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ind w:right="35"/>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Directors</w:t>
            </w: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Shares issued under Employee</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Purchase Plan</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96.0</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4"/>
              </w:rPr>
              <w:t>Balance at December 31, 2020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358,110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26,319.9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26,351.5</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46"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Dividends of $6.85 per common share and $4.15 per preferred share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Issuance of preferred stock</w:t>
      </w:r>
    </w:p>
    <w:p>
      <w:pPr>
        <w:spacing w:after="0" w:line="23"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Purchase of non-controlling interest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Exercise of stock options</w:t>
      </w:r>
    </w:p>
    <w:p>
      <w:pPr>
        <w:spacing w:after="0" w:line="23"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color w:val="auto"/>
        </w:rPr>
        <w:t>Vesting of issued restricted Class A common stock</w:t>
      </w:r>
    </w:p>
    <w:p>
      <w:pPr>
        <w:ind w:right="380"/>
        <w:spacing w:after="0" w:line="234" w:lineRule="auto"/>
        <w:rPr>
          <w:sz w:val="20"/>
          <w:szCs w:val="20"/>
          <w:color w:val="auto"/>
        </w:rPr>
      </w:pPr>
      <w:r>
        <w:rPr>
          <w:rFonts w:ascii="Arial" w:cs="Arial" w:eastAsia="Arial" w:hAnsi="Arial"/>
          <w:sz w:val="18"/>
          <w:szCs w:val="18"/>
          <w:color w:val="auto"/>
        </w:rPr>
        <w:t>Shares issued to Board of Directors</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Shares issued under Employee Stock Purchase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b w:val="1"/>
          <w:bCs w:val="1"/>
          <w:color w:val="auto"/>
        </w:rPr>
        <w:t>Balance at December 31, 2021</w:t>
      </w:r>
    </w:p>
    <w:p>
      <w:pPr>
        <w:spacing w:after="0" w:line="20" w:lineRule="exact"/>
        <w:rPr>
          <w:sz w:val="20"/>
          <w:szCs w:val="20"/>
          <w:color w:val="auto"/>
        </w:rPr>
      </w:pPr>
      <w:r>
        <w:rPr>
          <w:sz w:val="20"/>
          <w:szCs w:val="20"/>
          <w:color w:val="auto"/>
        </w:rPr>
        <w:br w:type="column"/>
      </w:r>
    </w:p>
    <w:p>
      <w:pPr>
        <w:jc w:val="center"/>
        <w:ind w:right="2320"/>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8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9"/>
              </w:rPr>
              <w:t>Class A</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1"/>
                <w:szCs w:val="11"/>
                <w:color w:val="auto"/>
              </w:rPr>
            </w:pPr>
          </w:p>
        </w:tc>
        <w:tc>
          <w:tcPr>
            <w:tcW w:w="94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0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rPr>
              <w:t>Total CME</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89"/>
              </w:rPr>
              <w:t>Stock and</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vMerge w:val="continue"/>
          </w:tcPr>
          <w:p>
            <w:pPr>
              <w:spacing w:after="0"/>
              <w:rPr>
                <w:sz w:val="11"/>
                <w:szCs w:val="11"/>
                <w:color w:val="auto"/>
              </w:rPr>
            </w:pPr>
          </w:p>
        </w:tc>
        <w:tc>
          <w:tcPr>
            <w:tcW w:w="80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2"/>
              </w:rPr>
              <w:t>Common</w:t>
            </w:r>
          </w:p>
        </w:tc>
        <w:tc>
          <w:tcPr>
            <w:tcW w:w="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1"/>
                <w:szCs w:val="11"/>
                <w:color w:val="auto"/>
              </w:rPr>
            </w:pPr>
          </w:p>
        </w:tc>
        <w:tc>
          <w:tcPr>
            <w:tcW w:w="94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118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102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w w:val="99"/>
              </w:rPr>
              <w:t>Group</w:t>
            </w: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1"/>
                <w:szCs w:val="11"/>
                <w:color w:val="auto"/>
              </w:rPr>
            </w:pPr>
          </w:p>
        </w:tc>
        <w:tc>
          <w:tcPr>
            <w:tcW w:w="94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102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1"/>
                <w:szCs w:val="11"/>
                <w:color w:val="auto"/>
              </w:rPr>
            </w:pPr>
          </w:p>
        </w:tc>
        <w:tc>
          <w:tcPr>
            <w:tcW w:w="80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3"/>
              </w:rPr>
              <w:t>controlling</w:t>
            </w:r>
          </w:p>
        </w:tc>
        <w:tc>
          <w:tcPr>
            <w:tcW w:w="120" w:type="dxa"/>
            <w:vAlign w:val="bottom"/>
          </w:tcPr>
          <w:p>
            <w:pPr>
              <w:spacing w:after="0"/>
              <w:rPr>
                <w:sz w:val="11"/>
                <w:szCs w:val="11"/>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8"/>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(Shares)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358,110</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21,189.1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ind w:left="56"/>
              <w:spacing w:after="0"/>
              <w:rPr>
                <w:sz w:val="20"/>
                <w:szCs w:val="20"/>
                <w:color w:val="auto"/>
              </w:rPr>
            </w:pPr>
            <w:r>
              <w:rPr>
                <w:rFonts w:ascii="Arial" w:cs="Arial" w:eastAsia="Arial" w:hAnsi="Arial"/>
                <w:sz w:val="18"/>
                <w:szCs w:val="18"/>
                <w:color w:val="auto"/>
                <w:w w:val="89"/>
              </w:rPr>
              <w:t>4,995.9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26,319.9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26,351.5</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left="56"/>
              <w:spacing w:after="0"/>
              <w:rPr>
                <w:sz w:val="20"/>
                <w:szCs w:val="20"/>
                <w:color w:val="auto"/>
              </w:rPr>
            </w:pPr>
            <w:r>
              <w:rPr>
                <w:rFonts w:ascii="Arial" w:cs="Arial" w:eastAsia="Arial" w:hAnsi="Arial"/>
                <w:sz w:val="18"/>
                <w:szCs w:val="18"/>
                <w:color w:val="auto"/>
                <w:w w:val="89"/>
              </w:rPr>
              <w:t>2,636.4</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2,636.4</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2,636.9</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580"/>
        </w:trPr>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left="16"/>
              <w:spacing w:after="0"/>
              <w:rPr>
                <w:sz w:val="20"/>
                <w:szCs w:val="20"/>
                <w:color w:val="auto"/>
              </w:rPr>
            </w:pPr>
            <w:r>
              <w:rPr>
                <w:rFonts w:ascii="Arial" w:cs="Arial" w:eastAsia="Arial" w:hAnsi="Arial"/>
                <w:sz w:val="18"/>
                <w:szCs w:val="18"/>
                <w:color w:val="auto"/>
                <w:w w:val="91"/>
              </w:rPr>
              <w:t>(2,480.4)</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(2,480.4)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(2,480.4)</w:t>
            </w:r>
          </w:p>
        </w:tc>
        <w:tc>
          <w:tcPr>
            <w:tcW w:w="0" w:type="dxa"/>
            <w:vAlign w:val="bottom"/>
          </w:tcPr>
          <w:p>
            <w:pPr>
              <w:spacing w:after="0"/>
              <w:rPr>
                <w:sz w:val="1"/>
                <w:szCs w:val="1"/>
                <w:color w:val="auto"/>
              </w:rPr>
            </w:pPr>
          </w:p>
        </w:tc>
      </w:tr>
      <w:tr>
        <w:trPr>
          <w:trHeight w:val="230"/>
        </w:trPr>
        <w:tc>
          <w:tcPr>
            <w:tcW w:w="880" w:type="dxa"/>
            <w:vAlign w:val="bottom"/>
          </w:tcPr>
          <w:p>
            <w:pPr>
              <w:jc w:val="right"/>
              <w:ind w:right="59"/>
              <w:spacing w:after="0"/>
              <w:rPr>
                <w:sz w:val="20"/>
                <w:szCs w:val="20"/>
                <w:color w:val="auto"/>
              </w:rPr>
            </w:pPr>
            <w:r>
              <w:rPr>
                <w:rFonts w:ascii="Arial" w:cs="Arial" w:eastAsia="Arial" w:hAnsi="Arial"/>
                <w:sz w:val="18"/>
                <w:szCs w:val="18"/>
                <w:color w:val="auto"/>
              </w:rPr>
              <w:t>4,584</w:t>
            </w: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965.0</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965.0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404"/>
        </w:trPr>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05"/>
        </w:trPr>
        <w:tc>
          <w:tcPr>
            <w:tcW w:w="8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405"/>
        </w:trPr>
        <w:tc>
          <w:tcPr>
            <w:tcW w:w="8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04"/>
        </w:trPr>
        <w:tc>
          <w:tcPr>
            <w:tcW w:w="8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8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358"/>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358,599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22,193.9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center"/>
              <w:ind w:left="56"/>
              <w:spacing w:after="0"/>
              <w:rPr>
                <w:sz w:val="20"/>
                <w:szCs w:val="20"/>
                <w:color w:val="auto"/>
              </w:rPr>
            </w:pPr>
            <w:r>
              <w:rPr>
                <w:rFonts w:ascii="Arial" w:cs="Arial" w:eastAsia="Arial" w:hAnsi="Arial"/>
                <w:sz w:val="18"/>
                <w:szCs w:val="18"/>
                <w:color w:val="auto"/>
                <w:w w:val="89"/>
              </w:rPr>
              <w:t>5,151.9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27,399.3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27,399.3</w:t>
            </w: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-2553970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-2253615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-1739265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-1336675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-933450</wp:posOffset>
            </wp:positionV>
            <wp:extent cx="7132320" cy="257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-419100</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20" w:space="80"/>
            <w:col w:w="8920"/>
          </w:cols>
          <w:pgMar w:left="340" w:top="891"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2,636.9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2,106.4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2,115.8</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158.6</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losses on assets held for sale and impaired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Gain on sale of building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joint venture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(Gain)/Loss on derivative contracts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 and unrealized (gains)/losses on investments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Undistributed earnings, net of losses, of unconsolidated subsidiaries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Change in: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30"/>
        </w:trPr>
        <w:tc>
          <w:tcPr>
            <w:tcW w:w="6700" w:type="dxa"/>
            <w:vAlign w:val="bottom"/>
          </w:tcPr>
          <w:p>
            <w:pPr>
              <w:ind w:left="46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110.2</w:t>
            </w:r>
          </w:p>
        </w:tc>
      </w:tr>
      <w:tr>
        <w:trPr>
          <w:trHeight w:val="229"/>
        </w:trPr>
        <w:tc>
          <w:tcPr>
            <w:tcW w:w="6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29"/>
        </w:trPr>
        <w:tc>
          <w:tcPr>
            <w:tcW w:w="670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30"/>
        </w:trPr>
        <w:tc>
          <w:tcPr>
            <w:tcW w:w="6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9"/>
        </w:trPr>
        <w:tc>
          <w:tcPr>
            <w:tcW w:w="6700" w:type="dxa"/>
            <w:vAlign w:val="bottom"/>
          </w:tcPr>
          <w:p>
            <w:pPr>
              <w:ind w:left="4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(99.3)</w:t>
            </w:r>
          </w:p>
        </w:tc>
      </w:tr>
      <w:tr>
        <w:trPr>
          <w:trHeight w:val="230"/>
        </w:trPr>
        <w:tc>
          <w:tcPr>
            <w:tcW w:w="6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30"/>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2,672.8</w:t>
            </w:r>
          </w:p>
        </w:tc>
      </w:tr>
      <w:tr>
        <w:trPr>
          <w:trHeight w:val="88"/>
        </w:trPr>
        <w:tc>
          <w:tcPr>
            <w:tcW w:w="6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Proceeds from maturities and sales of available-for-sale marketable securities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Purchases of property,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(245.6)</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business ventures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Proceeds from sale of business ventures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89.6</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for acquisition of subsidiary's interests from the non-controlling interest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Proceeds from the sale of building property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proceeds from OSTTRA joint venture transaction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w:t>
            </w: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Repayment issuance of commercial paper,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other borrowings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Proceeds from preferred stock offering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Change in performance bond and guaranty fund contributions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71,167.8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(2,378.5)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settlement of derivative contract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Employee taxes paid on restricted stock vesting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69,908.7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(4,719.3)</w:t>
            </w:r>
          </w:p>
        </w:tc>
        <w:tc>
          <w:tcPr>
            <w:tcW w:w="0" w:type="dxa"/>
            <w:vAlign w:val="bottom"/>
          </w:tcPr>
          <w:p>
            <w:pPr>
              <w:spacing w:after="0"/>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w w:val="98"/>
              </w:rPr>
              <w:t>Net change in cash, cash equivalents, restricted cash and restricted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72,369.5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49,786.7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(2,199.1)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Cash, cash equivalents, restricted cash and restricted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88,420.3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40,832.7</w:t>
            </w:r>
          </w:p>
        </w:tc>
        <w:tc>
          <w:tcPr>
            <w:tcW w:w="0" w:type="dxa"/>
            <w:vAlign w:val="bottom"/>
          </w:tcPr>
          <w:p>
            <w:pPr>
              <w:spacing w:after="0"/>
              <w:rPr>
                <w:sz w:val="1"/>
                <w:szCs w:val="1"/>
                <w:color w:val="auto"/>
              </w:rPr>
            </w:pPr>
          </w:p>
        </w:tc>
      </w:tr>
      <w:tr>
        <w:trPr>
          <w:trHeight w:val="156"/>
        </w:trPr>
        <w:tc>
          <w:tcPr>
            <w:tcW w:w="670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4"/>
              </w:rPr>
              <w:t>Cash, Cash Equivalents, Restricted Cash and Restricted Cash Equivalents, End of</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160,789.8</w:t>
            </w:r>
          </w:p>
        </w:tc>
        <w:tc>
          <w:tcPr>
            <w:tcW w:w="4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88,420.3</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38,633.6</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Period</w:t>
            </w:r>
          </w:p>
        </w:tc>
        <w:tc>
          <w:tcPr>
            <w:tcW w:w="3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Reconciliation of cash, cash equivalents, restricted cash and restricted cash</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equivalents: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2,834.9</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1,551.4</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Short-term restricted cash (within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restricted cash (within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75"/>
        </w:trPr>
        <w:tc>
          <w:tcPr>
            <w:tcW w:w="6700" w:type="dxa"/>
            <w:vAlign w:val="bottom"/>
          </w:tcPr>
          <w:p>
            <w:pPr>
              <w:ind w:left="20"/>
              <w:spacing w:after="0" w:line="176" w:lineRule="exact"/>
              <w:rPr>
                <w:sz w:val="20"/>
                <w:szCs w:val="20"/>
                <w:color w:val="auto"/>
              </w:rPr>
            </w:pPr>
            <w:r>
              <w:rPr>
                <w:rFonts w:ascii="Arial" w:cs="Arial" w:eastAsia="Arial" w:hAnsi="Arial"/>
                <w:sz w:val="18"/>
                <w:szCs w:val="18"/>
                <w:color w:val="auto"/>
                <w:w w:val="96"/>
              </w:rPr>
              <w:t>Restricted cash and restricted cash equivalents (performance bonds and guaranty fund</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157,949.6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86,781.8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37,077.0</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contributions)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160,789.8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38,633.6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7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paid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Interest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00" w:type="dxa"/>
            <w:vAlign w:val="bottom"/>
          </w:tcPr>
          <w:p>
            <w:pPr>
              <w:ind w:left="480"/>
              <w:spacing w:after="0" w:line="176" w:lineRule="exact"/>
              <w:rPr>
                <w:sz w:val="20"/>
                <w:szCs w:val="20"/>
                <w:color w:val="auto"/>
              </w:rPr>
            </w:pPr>
            <w:r>
              <w:rPr>
                <w:rFonts w:ascii="Arial" w:cs="Arial" w:eastAsia="Arial" w:hAnsi="Arial"/>
                <w:sz w:val="18"/>
                <w:szCs w:val="18"/>
                <w:color w:val="auto"/>
                <w:w w:val="92"/>
              </w:rPr>
              <w:t>Declaration of annual variable dividend, payable in January 2021, January 2020 and</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1,183.8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895.2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30"/>
        </w:trPr>
        <w:tc>
          <w:tcPr>
            <w:tcW w:w="6700" w:type="dxa"/>
            <w:vAlign w:val="bottom"/>
          </w:tcPr>
          <w:p>
            <w:pPr>
              <w:ind w:left="480"/>
              <w:spacing w:after="0"/>
              <w:rPr>
                <w:sz w:val="20"/>
                <w:szCs w:val="20"/>
                <w:color w:val="auto"/>
              </w:rPr>
            </w:pPr>
            <w:r>
              <w:rPr>
                <w:rFonts w:ascii="Arial" w:cs="Arial" w:eastAsia="Arial" w:hAnsi="Arial"/>
                <w:sz w:val="18"/>
                <w:szCs w:val="18"/>
                <w:color w:val="auto"/>
              </w:rPr>
              <w:t>January 2019</w:t>
            </w: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CME Group Inc. (CME Group) exchanges offer the widest range of global benchmark products across all major asset classes based on interest rates, equity indexes, foreign exchange (FX), agricultural, energy and metal commodities. We offer futures and options trading across asset classes through the CME Globex platform, cash and repo fixed income trading via BrokerTec, and cash and OTC FX trading via EBS. In addition, it operates one of the world’s leading central counterparty clearing houses. CME Group offers clearing, settlement and guarantees for all products cleared through the clearing house.</w:t>
      </w:r>
    </w:p>
    <w:p>
      <w:pPr>
        <w:spacing w:after="0" w:line="4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Chicago Mercantile Exchange Inc. (CME), the Board of Trade of the City of Chicago, Inc. (CBOT), New York Mercantile Exchange, Inc. (NYMEX) and Commodity Exchange, Inc. (COMEX), wholly-owned subsidiaries of CME Group, are designated contract markets for the trading of futures and options contracts.</w:t>
      </w:r>
    </w:p>
    <w:p>
      <w:pPr>
        <w:spacing w:after="0" w:line="76"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In January 2021, the company announced that it agreed with IHS Markit to combine their post-trade services into a new joint venture. The joint venture, OSTTRA, was launched in September 2021. OSTTRA performs trade processing and risk mitigation services. The company contributed the net assets of its optimization business, which included Traiana, TriOptima and Reset, to the new joint venture and deconsolidated the net assets of the optimization business. The financial statements and accompanying notes presented in this report exclude the assets, liabilities, revenues and expenses from the optimization business and include an investment in the joint venture and equity in net earnings from the joint venture after September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CME Group and its subsidiaries are referred to collectively as "the company" in the notes to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accompanying consolidated financial statements are prepared in accordance with accounting principles generally accepted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U.S. and include the accounts of the company and its subsidiaries. All intercompany transactions and balances have been eliminated.</w:t>
      </w:r>
    </w:p>
    <w:p>
      <w:pPr>
        <w:spacing w:after="0" w:line="12"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During the fourth quarter of 2021, the company revised the presentation of the consolidated statements of cash flows to include cash performance bonds and guaranty fund contributions as restricted cash and restricted cash equivalents within the beginning and ending balances of the reconciliation of cash, cash equivalents, restricted cash and restricted cash equivalents. Total cash flows from financing activities were revised to include the changes associated with the cash performance bonds and guaranty fund contribution liability. See note 4. Performance Bonds and Guaranty Fund Contributions for additional information on cash performance bonds and guaranty fund contributions.</w:t>
      </w:r>
    </w:p>
    <w:p>
      <w:pPr>
        <w:spacing w:after="0" w:line="68"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The prior period amounts have been revised to conform to the current period presentation. The revision in presentation is considered immaterial to the company's overall financial statements and has had no impact on the consolidated balance sheets, consolidated statements of income, consolidated statements of comprehensive income or consolidated statements of equity, including all previously filed financial statements. These cash performance bonds and guaranty fund contributions cannot be used for the company's operations or to satisfy any operational liabilities.</w:t>
      </w:r>
    </w:p>
    <w:p>
      <w:pPr>
        <w:spacing w:after="0" w:line="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the effects of the changes on the presentation of these cash flows to the previously reported consolidated statements of cash flows: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1"/>
                <w:szCs w:val="11"/>
                <w:color w:val="auto"/>
              </w:rPr>
            </w:pPr>
          </w:p>
        </w:tc>
        <w:tc>
          <w:tcPr>
            <w:tcW w:w="1180" w:type="dxa"/>
            <w:vAlign w:val="bottom"/>
          </w:tcPr>
          <w:p>
            <w:pPr>
              <w:jc w:val="center"/>
              <w:ind w:right="139"/>
              <w:spacing w:after="0" w:line="135" w:lineRule="exact"/>
              <w:rPr>
                <w:sz w:val="20"/>
                <w:szCs w:val="20"/>
                <w:color w:val="auto"/>
              </w:rPr>
            </w:pPr>
            <w:r>
              <w:rPr>
                <w:rFonts w:ascii="Arial" w:cs="Arial" w:eastAsia="Arial" w:hAnsi="Arial"/>
                <w:sz w:val="14"/>
                <w:szCs w:val="14"/>
                <w:b w:val="1"/>
                <w:bCs w:val="1"/>
                <w:color w:val="auto"/>
                <w:w w:val="90"/>
              </w:rPr>
              <w:t>As Previously</w:t>
            </w:r>
          </w:p>
        </w:tc>
        <w:tc>
          <w:tcPr>
            <w:tcW w:w="240" w:type="dxa"/>
            <w:vAlign w:val="bottom"/>
          </w:tcPr>
          <w:p>
            <w:pPr>
              <w:spacing w:after="0"/>
              <w:rPr>
                <w:sz w:val="11"/>
                <w:szCs w:val="11"/>
                <w:color w:val="auto"/>
              </w:rPr>
            </w:pPr>
          </w:p>
        </w:tc>
        <w:tc>
          <w:tcPr>
            <w:tcW w:w="11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w w:val="99"/>
              </w:rPr>
              <w:t>Adjustments</w:t>
            </w:r>
          </w:p>
        </w:tc>
        <w:tc>
          <w:tcPr>
            <w:tcW w:w="340" w:type="dxa"/>
            <w:vAlign w:val="bottom"/>
          </w:tcPr>
          <w:p>
            <w:pPr>
              <w:spacing w:after="0"/>
              <w:rPr>
                <w:sz w:val="11"/>
                <w:szCs w:val="11"/>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Revised</w:t>
            </w:r>
          </w:p>
        </w:tc>
        <w:tc>
          <w:tcPr>
            <w:tcW w:w="160" w:type="dxa"/>
            <w:vAlign w:val="bottom"/>
          </w:tcPr>
          <w:p>
            <w:pPr>
              <w:spacing w:after="0"/>
              <w:rPr>
                <w:sz w:val="11"/>
                <w:szCs w:val="11"/>
                <w:color w:val="auto"/>
              </w:rPr>
            </w:pPr>
          </w:p>
        </w:tc>
        <w:tc>
          <w:tcPr>
            <w:tcW w:w="120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0"/>
              </w:rPr>
              <w:t>As Previously</w:t>
            </w:r>
          </w:p>
        </w:tc>
        <w:tc>
          <w:tcPr>
            <w:tcW w:w="240" w:type="dxa"/>
            <w:vAlign w:val="bottom"/>
          </w:tcPr>
          <w:p>
            <w:pPr>
              <w:spacing w:after="0"/>
              <w:rPr>
                <w:sz w:val="11"/>
                <w:szCs w:val="11"/>
                <w:color w:val="auto"/>
              </w:rPr>
            </w:pPr>
          </w:p>
        </w:tc>
        <w:tc>
          <w:tcPr>
            <w:tcW w:w="118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w w:val="99"/>
              </w:rPr>
              <w:t>Adjustments</w:t>
            </w:r>
          </w:p>
        </w:tc>
        <w:tc>
          <w:tcPr>
            <w:tcW w:w="320" w:type="dxa"/>
            <w:vAlign w:val="bottom"/>
          </w:tcPr>
          <w:p>
            <w:pPr>
              <w:spacing w:after="0"/>
              <w:rPr>
                <w:sz w:val="11"/>
                <w:szCs w:val="11"/>
                <w:color w:val="auto"/>
              </w:rPr>
            </w:pPr>
          </w:p>
        </w:tc>
        <w:tc>
          <w:tcPr>
            <w:tcW w:w="104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188"/>
        </w:trPr>
        <w:tc>
          <w:tcPr>
            <w:tcW w:w="2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4"/>
              </w:rPr>
              <w:t>Reported</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Reported</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Net cash provided by (used in)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(2,458.2)</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49,704.8</w:t>
            </w:r>
          </w:p>
        </w:tc>
        <w:tc>
          <w:tcPr>
            <w:tcW w:w="3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47,246.6</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(2,340.8)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(2,378.5)</w:t>
            </w:r>
          </w:p>
        </w:tc>
        <w:tc>
          <w:tcPr>
            <w:tcW w:w="3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(4,719.3)</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line="176" w:lineRule="exact"/>
              <w:rPr>
                <w:sz w:val="20"/>
                <w:szCs w:val="20"/>
                <w:color w:val="auto"/>
              </w:rPr>
            </w:pPr>
            <w:r>
              <w:rPr>
                <w:rFonts w:ascii="Arial" w:cs="Arial" w:eastAsia="Arial" w:hAnsi="Arial"/>
                <w:sz w:val="18"/>
                <w:szCs w:val="18"/>
                <w:color w:val="auto"/>
              </w:rPr>
              <w:t>Net increase in cash, cash</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line="176" w:lineRule="exact"/>
              <w:rPr>
                <w:sz w:val="20"/>
                <w:szCs w:val="20"/>
                <w:color w:val="auto"/>
              </w:rPr>
            </w:pPr>
            <w:r>
              <w:rPr>
                <w:rFonts w:ascii="Arial" w:cs="Arial" w:eastAsia="Arial" w:hAnsi="Arial"/>
                <w:sz w:val="18"/>
                <w:szCs w:val="18"/>
                <w:color w:val="auto"/>
              </w:rPr>
              <w:t>equivalents, restricted cash and</w:t>
            </w:r>
          </w:p>
        </w:tc>
        <w:tc>
          <w:tcPr>
            <w:tcW w:w="160" w:type="dxa"/>
            <w:vAlign w:val="bottom"/>
          </w:tcPr>
          <w:p>
            <w:pPr>
              <w:spacing w:after="0"/>
              <w:rPr>
                <w:sz w:val="15"/>
                <w:szCs w:val="15"/>
                <w:color w:val="auto"/>
              </w:rPr>
            </w:pPr>
          </w:p>
        </w:tc>
        <w:tc>
          <w:tcPr>
            <w:tcW w:w="1180" w:type="dxa"/>
            <w:vAlign w:val="bottom"/>
            <w:vMerge w:val="restart"/>
          </w:tcPr>
          <w:p>
            <w:pPr>
              <w:jc w:val="right"/>
              <w:ind w:right="39"/>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15"/>
                <w:szCs w:val="15"/>
                <w:color w:val="auto"/>
              </w:rPr>
            </w:pPr>
          </w:p>
        </w:tc>
        <w:tc>
          <w:tcPr>
            <w:tcW w:w="1160" w:type="dxa"/>
            <w:vAlign w:val="bottom"/>
            <w:vMerge w:val="restart"/>
          </w:tcPr>
          <w:p>
            <w:pPr>
              <w:jc w:val="right"/>
              <w:ind w:right="19"/>
              <w:spacing w:after="0"/>
              <w:rPr>
                <w:sz w:val="20"/>
                <w:szCs w:val="20"/>
                <w:color w:val="auto"/>
              </w:rPr>
            </w:pPr>
            <w:r>
              <w:rPr>
                <w:rFonts w:ascii="Arial" w:cs="Arial" w:eastAsia="Arial" w:hAnsi="Arial"/>
                <w:sz w:val="18"/>
                <w:szCs w:val="18"/>
                <w:color w:val="auto"/>
              </w:rPr>
              <w:t>49,704.8</w:t>
            </w:r>
          </w:p>
        </w:tc>
        <w:tc>
          <w:tcPr>
            <w:tcW w:w="3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49,786.7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ind w:right="39"/>
              <w:spacing w:after="0"/>
              <w:rPr>
                <w:sz w:val="20"/>
                <w:szCs w:val="20"/>
                <w:color w:val="auto"/>
              </w:rPr>
            </w:pPr>
            <w:r>
              <w:rPr>
                <w:rFonts w:ascii="Arial" w:cs="Arial" w:eastAsia="Arial" w:hAnsi="Arial"/>
                <w:sz w:val="18"/>
                <w:szCs w:val="18"/>
                <w:color w:val="auto"/>
              </w:rPr>
              <w:t>179.4</w:t>
            </w:r>
          </w:p>
        </w:tc>
        <w:tc>
          <w:tcPr>
            <w:tcW w:w="2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(2,378.5)</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(2,199.1)</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1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consolidated financial statements requires management to make estimates and assumptions that affect the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and the disclosure of contingent amounts on the consolidated financial statements and accompanying notes. Estimates are based on historical experience, where applicable, and assumptions management believes are reasonable under the circumstances. Due to the inherent uncertainty involved with estimates, actual results may differ.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and highly liquid investments with a maturity of three months or less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w:t>
      </w:r>
    </w:p>
    <w:p>
      <w:pPr>
        <w:spacing w:after="0" w:line="54"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Financial Investments. </w:t>
      </w:r>
      <w:r>
        <w:rPr>
          <w:rFonts w:ascii="Arial" w:cs="Arial" w:eastAsia="Arial" w:hAnsi="Arial"/>
          <w:sz w:val="17"/>
          <w:szCs w:val="17"/>
          <w:color w:val="auto"/>
        </w:rPr>
        <w:t>The company maintains short-term and long-term investments, classified as equity method investments, equity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available-for-sale debt securities, and trading securities. Available-for-sale debt securities are carried at fair value, with unrealized gains and losses, net of deferred income taxes, reported as a component of accumulated other comprehensive income. Trading securities held in connection with non-qualified deferred compensation plans and equity securities are recorded at fair value, with net realized and unrealized gains and losses and dividend income reported as investment income. For equity investments in privately-held entities that do not have a readily determinable fair value, our accounting policy is to utilize the measurement alternative for valuation of these investments, which permits the company to estimate fair value at cost minus impairment, plus or minus changes resulting from observable price movements. Additionally, the company maintains long-term investments accounted for under the equity method, which requires that the company recognize its share of net income (loss) in the investee as an adjustment to the carrying amount of the investment each reporting period.</w:t>
      </w:r>
    </w:p>
    <w:p>
      <w:pPr>
        <w:spacing w:after="0" w:line="70"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The company reviews its investment portfolio at least quarterly, as well as whenever facts or circumstances exist which indicate that the carrying value of the investment is greater than its fair value. For investments not carried at fair value, the carrying value of the investment is reduced to its fair value and a corresponding impairment expense is charged to earnings, if events and circumstances indicate that a markdown to fair value is warranted. Declines in the fair value of available-for-sale debt securities that are deemed to represent indicators of impairment are charged to earnings as a realized loss.</w:t>
      </w:r>
    </w:p>
    <w:p>
      <w:pPr>
        <w:spacing w:after="0" w:line="4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company uses a three-level classification hierarchy of fair value measurements that establishes the quality of</w:t>
      </w:r>
      <w:r>
        <w:rPr>
          <w:rFonts w:ascii="Arial" w:cs="Arial" w:eastAsia="Arial" w:hAnsi="Arial"/>
          <w:sz w:val="18"/>
          <w:szCs w:val="18"/>
          <w:b w:val="1"/>
          <w:bCs w:val="1"/>
          <w:color w:val="auto"/>
        </w:rPr>
        <w:t xml:space="preserve"> </w:t>
      </w:r>
      <w:r>
        <w:rPr>
          <w:rFonts w:ascii="Arial" w:cs="Arial" w:eastAsia="Arial" w:hAnsi="Arial"/>
          <w:sz w:val="18"/>
          <w:szCs w:val="18"/>
          <w:color w:val="auto"/>
        </w:rPr>
        <w:t>inputs used to measure fair value. The fair value of a financial instrument is the amount that would be received to sell an asset or paid to transfer a liability in an orderly transaction between market participants at the measurement date. The fair value of financial instruments is determined using various techniques that involve some level of estimation and judgment, the degree of which is dependent on the price transparency and the complexity of the instruments.</w:t>
      </w:r>
    </w:p>
    <w:p>
      <w:pPr>
        <w:spacing w:after="0" w:line="7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color w:val="auto"/>
        </w:rPr>
        <w:t xml:space="preserve">Derivative Investments. </w:t>
      </w:r>
      <w:r>
        <w:rPr>
          <w:rFonts w:ascii="Arial" w:cs="Arial" w:eastAsia="Arial" w:hAnsi="Arial"/>
          <w:sz w:val="16"/>
          <w:szCs w:val="16"/>
          <w:color w:val="auto"/>
        </w:rPr>
        <w:t>The company occasionally uses derivative instruments to limit exposure to changes in interest rates and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rates. Derivatives are recorded at fair value on the consolidated balance sheets. For those derivatives that meet the criteria for hedge accounting and are classified as effective cash flow hedges, changes in the fair value of the hedges are deferred in accumulated other comprehensive income. Any realized gains and losses from effective hedges are classified within the same financial statement line item on the consolidated statements of income as the hedge risk. For any hedges no longer deemed effective or for which hedge accounting is not applied, changes in fair value of the derivative instruments are recognized in earnings immediately within other non-operating income (expense). There were no outstanding derivative instruments at December 31, 2021.</w:t>
      </w:r>
    </w:p>
    <w:p>
      <w:pPr>
        <w:spacing w:after="0" w:line="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comprised of trade receivables and unbilled revenue. All accounts receivable are stated at net realizable</w:t>
      </w:r>
      <w:r>
        <w:rPr>
          <w:rFonts w:ascii="Arial" w:cs="Arial" w:eastAsia="Arial" w:hAnsi="Arial"/>
          <w:sz w:val="18"/>
          <w:szCs w:val="18"/>
          <w:b w:val="1"/>
          <w:bCs w:val="1"/>
          <w:color w:val="auto"/>
        </w:rPr>
        <w:t xml:space="preserve"> </w:t>
      </w:r>
      <w:r>
        <w:rPr>
          <w:rFonts w:ascii="Arial" w:cs="Arial" w:eastAsia="Arial" w:hAnsi="Arial"/>
          <w:sz w:val="18"/>
          <w:szCs w:val="18"/>
          <w:color w:val="auto"/>
        </w:rPr>
        <w:t>value. Exposure to losses on receivables for clearing and transaction fees and other amounts owed by clearing and trading firms is dependent on each firm's financial condition. With respect to clearing firms, our credit loss exposure is mitigated by the memberships that collateralize fees owed to the company. The company retains the right to liquidate exchange memberships to satisfy an outstanding receivable. The allowance for doubtful accounts is calculated based on management's assessment of future expected losses over the life of the receivable, historical trends and the current economic environment within which we operate.</w:t>
      </w:r>
    </w:p>
    <w:p>
      <w:pPr>
        <w:spacing w:after="0" w:line="7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Performance Bonds and Guaranty Fund Contributions. </w:t>
      </w:r>
      <w:r>
        <w:rPr>
          <w:rFonts w:ascii="Arial" w:cs="Arial" w:eastAsia="Arial" w:hAnsi="Arial"/>
          <w:sz w:val="18"/>
          <w:szCs w:val="18"/>
          <w:color w:val="auto"/>
        </w:rPr>
        <w:t>Performance bonds and guaranty fund contributions held for clearing firms may be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cash, securities or other non-cash deposits.</w:t>
      </w:r>
    </w:p>
    <w:p>
      <w:pPr>
        <w:spacing w:after="0" w:line="5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Performance bonds and guaranty fund contributions received in the form of cash held by CME may be invested in U.S. government securities, U.S. government agency securities and certain foreign government securities acquired through and held by a bank or broker-dealer subsidiary of a bank, a cash account at the Federal Reserve Bank of Chicago, reverse repurchase agreements secured with highly rated government securities, money market funds or through CME's Interest Earning Facility (IEF) program. Any interest earned on these investments accrues to CME and is included in investment income on the consolidated statements of income. CME may distribute any interest earned on its investments to the clearing firms at its discretion. Because CME has control of the cash collateral and the benefits and market risks of ownership accrue to CME, cash performance bonds and guaranty fund contributions are reflected on the consolidated balance sheets. The cash performance bonds and guaranty fund contributions are considered restricted cash as the cash deposits cannot be used for the company's operations or to satisfy any operational liabilities.</w:t>
      </w:r>
    </w:p>
    <w:p>
      <w:pPr>
        <w:spacing w:after="0" w:line="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Securities and other non-cash deposits may include U.S. Treasury securities, U.S. government agency securities, Eurobonds, corporate bonds, other foreign government securities and gold bullion. Securities and other non-cash deposits are held in safekeeping by a custodian bank. Interest and gains or losses on securities deposited to satisfy performance bond and guaranty fund requirements accrue to the clearing firm. Because the benefits and risks of ownership accrue to the clearing firm, non-cash performance bonds and guaranty fund contributions are not reflected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Property. </w:t>
      </w:r>
      <w:r>
        <w:rPr>
          <w:rFonts w:ascii="Arial" w:cs="Arial" w:eastAsia="Arial" w:hAnsi="Arial"/>
          <w:sz w:val="17"/>
          <w:szCs w:val="17"/>
          <w:color w:val="auto"/>
        </w:rPr>
        <w:t>Property is stated at cost, less accumulated depreciation and amortization. Depreciation and amortization are calculated using the straight-line</w:t>
      </w:r>
      <w:r>
        <w:rPr>
          <w:rFonts w:ascii="Arial" w:cs="Arial" w:eastAsia="Arial" w:hAnsi="Arial"/>
          <w:sz w:val="17"/>
          <w:szCs w:val="17"/>
          <w:b w:val="1"/>
          <w:bCs w:val="1"/>
          <w:color w:val="auto"/>
        </w:rPr>
        <w:t xml:space="preserve"> </w:t>
      </w:r>
      <w:r>
        <w:rPr>
          <w:rFonts w:ascii="Arial" w:cs="Arial" w:eastAsia="Arial" w:hAnsi="Arial"/>
          <w:sz w:val="17"/>
          <w:szCs w:val="17"/>
          <w:color w:val="auto"/>
        </w:rPr>
        <w:t>method, generally over two to twenty years. Property and equipment are depreciated over their estimated useful lives. Leasehold improvements are amortized over the shorter of the remaining term of the respective lease to which they relate or the remaining useful life of the leasehold improvement. Land is reported at cost. Internal and external costs incurred in developing or obtaining computer software for internal use which meet the requirements for capitalization are amortized on a straight-line basis over the estimated useful life of the software, generally two to four years, but up to eight years for certain trading and clearing applications, depending upon expected useful lives.</w:t>
      </w:r>
    </w:p>
    <w:p>
      <w:pPr>
        <w:spacing w:after="0" w:line="6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The company accounts for our leases of office space as operating leases. Landlord allowances are recorded as a direct reduction to the capitalized</w:t>
      </w:r>
      <w:r>
        <w:rPr>
          <w:rFonts w:ascii="Arial" w:cs="Arial" w:eastAsia="Arial" w:hAnsi="Arial"/>
          <w:sz w:val="17"/>
          <w:szCs w:val="17"/>
          <w:b w:val="1"/>
          <w:bCs w:val="1"/>
          <w:color w:val="auto"/>
        </w:rPr>
        <w:t xml:space="preserve"> </w:t>
      </w:r>
      <w:r>
        <w:rPr>
          <w:rFonts w:ascii="Arial" w:cs="Arial" w:eastAsia="Arial" w:hAnsi="Arial"/>
          <w:sz w:val="17"/>
          <w:szCs w:val="17"/>
          <w:color w:val="auto"/>
        </w:rPr>
        <w:t>lease asset, which is reported in other assets and amortized to rent expense over the term of the lease. The associated lease liability represents the present value of lease payments remaining in the lease term and is recorded within current and other liabilities depending upon the balance sheet classification of the payment obligations as short-term or long-term. For sale leaseback transactions, the company evaluates the sale and the lease arrangement based on the company's conclusion as to whether control of the underlying asset has been transferred and recognizes the sale leaseback as either a sale transaction or under the financing method, which requires the asset to remain on the consolidated balance sheets throughout the term of the lease and the proceeds to be recognized as a financing obligation. A portion of the lease payments is recognized as a reduction of the financing obligation and a portion is recognized as interest expense based on an imputed interest rate.</w:t>
      </w:r>
    </w:p>
    <w:p>
      <w:pPr>
        <w:spacing w:after="0" w:line="64"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b w:val="1"/>
          <w:bCs w:val="1"/>
          <w:color w:val="auto"/>
        </w:rPr>
        <w:t xml:space="preserve">Goodwill and Other Intangible Assets. </w:t>
      </w:r>
      <w:r>
        <w:rPr>
          <w:rFonts w:ascii="Arial" w:cs="Arial" w:eastAsia="Arial" w:hAnsi="Arial"/>
          <w:sz w:val="16"/>
          <w:szCs w:val="16"/>
          <w:color w:val="auto"/>
        </w:rPr>
        <w:t>Goodwill represents the excess of the purchase price over the fair value of the net assets acquired in a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 company reviews goodwill for impairment at least quarterly and whenever events or circumstances indicate that their carrying values may not be recoverable. The company may test goodwill quantitatively for impairment by comparing the carrying value of a reporting unit to its estimated fair value. Estimating the fair value of a reporting unit involves significant judgments inherent in the analysis, including estimating the amount and timing of future cash flows and the selection of appropriate discount rates and long-term growth rate assumptions. Changes in these estimates and assumptions could materially affect the determination of fair value for the reporting unit. If the carrying amount exceeds fair value, an impairment loss is recorded. In certain circumstances, goodwill may be reviewed qualitatively for indications of impairment without utilizing valuation techniques to estimate fair value.</w:t>
      </w:r>
    </w:p>
    <w:p>
      <w:pPr>
        <w:spacing w:after="0" w:line="5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performs an impairment assessment of indefinite-lived intangible assets at least quarterly or whenever events or circumstances indicate that their carrying values may not be recoverable. If the indefinite-lived intangible asset carrying value exceeds its fair value, an impairment loss is recognized in an amount equal to that excess. Estimating the fair value of indefinite-lived intangible assets involves the use of valuation techniques that rely on significant estimates and assumptions, including forecasted revenue growth rates, forecasted allocations of expense and risk-adjusted discount rates. Changes in these estimates and assumptions could materially affect the determination of fair value for indefinite-lived intangible assets. In certain circumstances, indefinite-lived intangible assets may be reviewed qualitatively for indications of impairment without utilizing valuation techniques to estimate fair value.</w:t>
      </w:r>
    </w:p>
    <w:p>
      <w:pPr>
        <w:spacing w:after="0" w:line="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Intangible assets subject to amortization are also assessed for impairment at least quarterly or when indicated by a change in economic or operational circumstances. The impairment assessment of these assets requires management to first compare the carrying value of the amortizing asset to undiscounted net cash flows. If the carrying value exceeds the undiscounted net cash flows, management is then required to estimate the fair value of the assets and record an impairment loss for the excess of the carrying value over the fair value. In connection with this impairment assessment, management also challenges the useful lives of our amortizing intangible assets.</w:t>
      </w:r>
    </w:p>
    <w:p>
      <w:pPr>
        <w:spacing w:after="0" w:line="7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Business Combinations. </w:t>
      </w:r>
      <w:r>
        <w:rPr>
          <w:rFonts w:ascii="Arial" w:cs="Arial" w:eastAsia="Arial" w:hAnsi="Arial"/>
          <w:sz w:val="17"/>
          <w:szCs w:val="17"/>
          <w:color w:val="auto"/>
        </w:rPr>
        <w:t>The company accounts for business combinations using the acquisition method. The method requires the acquirer to recognize</w:t>
      </w:r>
      <w:r>
        <w:rPr>
          <w:rFonts w:ascii="Arial" w:cs="Arial" w:eastAsia="Arial" w:hAnsi="Arial"/>
          <w:sz w:val="17"/>
          <w:szCs w:val="17"/>
          <w:b w:val="1"/>
          <w:bCs w:val="1"/>
          <w:color w:val="auto"/>
        </w:rPr>
        <w:t xml:space="preserve"> </w:t>
      </w:r>
      <w:r>
        <w:rPr>
          <w:rFonts w:ascii="Arial" w:cs="Arial" w:eastAsia="Arial" w:hAnsi="Arial"/>
          <w:sz w:val="17"/>
          <w:szCs w:val="17"/>
          <w:color w:val="auto"/>
        </w:rPr>
        <w:t>the assets acquired, liabilities assumed, and any non-controlling interest in the acquiree at the acquisition date, measured at their fair values as of that date. The company may use independent valuation services to assist in determining the estimated fair values.</w:t>
      </w:r>
    </w:p>
    <w:p>
      <w:pPr>
        <w:spacing w:after="0" w:line="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The company recognizes the funded status of defined benefit postretirement plans on its consolidated balance sheets.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funded status are recognized in the year of change in other comprehensive income (loss). Plan assets and obligations are measured at year end. The company recognizes future changes in actuarial gains and losses and prior service costs in the year in which the changes occur through accumulated other comprehensive income (loss).</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Foreign Currency Translation</w:t>
      </w:r>
      <w:r>
        <w:rPr>
          <w:rFonts w:ascii="Arial" w:cs="Arial" w:eastAsia="Arial" w:hAnsi="Arial"/>
          <w:sz w:val="18"/>
          <w:szCs w:val="18"/>
          <w:color w:val="auto"/>
        </w:rPr>
        <w:t>. Foreign currency denominated assets and liabilities are re-measured into the functional currency using period-end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rates. Gains and losses from foreign currency transactions are included in other expense on the accompanying consolidated statements of income. When the functional currency differs from the reporting currency, revenues and expenses of foreign subsidiaries are translated from their functional currencies into U.S. dollars using weighted-average exchange rates while their assets and liabilities are translated into U.S. dollars using period-end exchange rates. Gains and losses resulting from foreign currency translations are included in accumulated other comprehensive income (loss) within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recognition policies for specific sources of revenue are discussed below.</w:t>
      </w:r>
    </w:p>
    <w:p>
      <w:pPr>
        <w:spacing w:after="0" w:line="121"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i w:val="1"/>
          <w:iCs w:val="1"/>
          <w:color w:val="auto"/>
        </w:rPr>
        <w:t xml:space="preserve">Clearing and Transaction Fees. </w:t>
      </w:r>
      <w:r>
        <w:rPr>
          <w:rFonts w:ascii="Arial" w:cs="Arial" w:eastAsia="Arial" w:hAnsi="Arial"/>
          <w:sz w:val="17"/>
          <w:szCs w:val="17"/>
          <w:color w:val="auto"/>
        </w:rPr>
        <w:t>Clearing and transaction fees include per-contract charges for trade execution, clearing, trading on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 trading platforms, portfolio reconciliation and compression services, risk mitigation, and other fees. Fees are charged at various rates based on the product traded, the method of trade, the exchange trading privileges of the customer making the trade and the type of contract. The majority of our clearing and transaction fees are recognized as revenue when a buy and sell order are matched. Therefore, unfilled or canceled buy and sell orders have no impact on revenue. On occasion, the customer's exchange trading privileges may not be properly entered by the clearing firm and incorrect fees are charged for the transactions. When this information is corrected within the time period allowed by the company, a fee adjustment is provided to the clearing firm. A reserve is established for estimated fee adjustments to reflect corrections to customer exchange trading privileges. The reserve is based on the historical pattern of adjustments processed as well as specific adjustment requests. The company believes the allowances are adequate to cover estimated adjustments.</w:t>
      </w:r>
    </w:p>
    <w:p>
      <w:pPr>
        <w:spacing w:after="0" w:line="73" w:lineRule="exact"/>
        <w:rPr>
          <w:sz w:val="20"/>
          <w:szCs w:val="20"/>
          <w:color w:val="auto"/>
        </w:rPr>
      </w:pPr>
    </w:p>
    <w:p>
      <w:pPr>
        <w:ind w:left="460" w:right="120"/>
        <w:spacing w:after="0" w:line="301" w:lineRule="auto"/>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Market data and information services represent revenue earned for the dissemination of market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are accrued each month based on the number of devices reported by vendors or over a straight line basis in accordance with the market data subscription contract term. The company conducts periodic examinations of the number of devices reported and assesses additional fees as necessary. On occasion, customers will pay for services in a lump sum payment; however, revenue is recognized as services are provided.</w:t>
      </w:r>
    </w:p>
    <w:p>
      <w:pPr>
        <w:spacing w:after="0" w:line="49" w:lineRule="exact"/>
        <w:rPr>
          <w:sz w:val="20"/>
          <w:szCs w:val="20"/>
          <w:color w:val="auto"/>
        </w:rPr>
      </w:pPr>
    </w:p>
    <w:p>
      <w:pPr>
        <w:jc w:val="both"/>
        <w:ind w:left="460" w:right="120"/>
        <w:spacing w:after="0" w:line="263"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revenues include access and communication fees, fees for collateral management, equity membership subscription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fees for trade order routing through agreements from various strategic relationships as well as other services to customers. Revenue is recognized as services are provided.</w:t>
      </w:r>
    </w:p>
    <w:p>
      <w:pPr>
        <w:spacing w:after="0" w:line="76" w:lineRule="exact"/>
        <w:rPr>
          <w:sz w:val="20"/>
          <w:szCs w:val="20"/>
          <w:color w:val="auto"/>
        </w:rPr>
      </w:pPr>
    </w:p>
    <w:p>
      <w:pPr>
        <w:ind w:left="460" w:right="180"/>
        <w:spacing w:after="0" w:line="275" w:lineRule="auto"/>
        <w:rPr>
          <w:sz w:val="20"/>
          <w:szCs w:val="20"/>
          <w:color w:val="auto"/>
        </w:rPr>
      </w:pPr>
      <w:r>
        <w:rPr>
          <w:rFonts w:ascii="Arial" w:cs="Arial" w:eastAsia="Arial" w:hAnsi="Arial"/>
          <w:sz w:val="17"/>
          <w:szCs w:val="17"/>
          <w:i w:val="1"/>
          <w:iCs w:val="1"/>
          <w:color w:val="auto"/>
        </w:rPr>
        <w:t xml:space="preserve">Concentration of Revenue. </w:t>
      </w:r>
      <w:r>
        <w:rPr>
          <w:rFonts w:ascii="Arial" w:cs="Arial" w:eastAsia="Arial" w:hAnsi="Arial"/>
          <w:sz w:val="17"/>
          <w:szCs w:val="17"/>
          <w:color w:val="auto"/>
        </w:rPr>
        <w:t>One clearing firm represented 10% of the company's clearing and transaction fee revenue in 2021. One clearing firm</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represented at least 10% of the company's clearing and transaction fee revenue in 2020. No individual clearing firm represented at least 10% of our clearing and transaction fees in 2019. Should a clearing firm withdraw from the company, management believes that the customer portion of that firm's trading activity would likely transfer to another clearing firm. Therefore, management does not believe that the company is exposed to significant risk from the ongoing loss of revenue received from a particular clearing firm.</w:t>
      </w:r>
    </w:p>
    <w:p>
      <w:pPr>
        <w:spacing w:after="0" w:line="68"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color w:val="auto"/>
        </w:rPr>
        <w:t>The two largest resellers of market data represented approximately 34% of market data and information services revenue in 2021, 35% in 2020, and 37% in 2019. Should one of these vendors no longer subscribe to the company's market data, management believes that the majority of that firm's customers would likely subscribe to the market data through another reseller. Therefore, management does not believe that the company is exposed to significant risk from a loss of revenue received from any particular market data reseller.</w:t>
      </w:r>
    </w:p>
    <w:p>
      <w:pPr>
        <w:spacing w:after="0" w:line="59"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Share-Based Payments. </w:t>
      </w:r>
      <w:r>
        <w:rPr>
          <w:rFonts w:ascii="Arial" w:cs="Arial" w:eastAsia="Arial" w:hAnsi="Arial"/>
          <w:sz w:val="16"/>
          <w:szCs w:val="16"/>
          <w:color w:val="auto"/>
        </w:rPr>
        <w:t>The company accounts for share-based payments at fair value, which is based on the grant date price of the equity awards issued.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recognizes expense relating to stock-based compensation on an accelerated basis. As a result, the expense associated with each vesting date within a stock grant is recognized over the period of time that each portion of that grant vests. Forfeitures are recognized in the period in which they occur.</w:t>
      </w:r>
    </w:p>
    <w:p>
      <w:pPr>
        <w:spacing w:after="0" w:line="34"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 xml:space="preserve">Marketing Costs. </w:t>
      </w:r>
      <w:r>
        <w:rPr>
          <w:rFonts w:ascii="Arial" w:cs="Arial" w:eastAsia="Arial" w:hAnsi="Arial"/>
          <w:sz w:val="16"/>
          <w:szCs w:val="16"/>
          <w:color w:val="auto"/>
        </w:rPr>
        <w:t>Marketing costs are incurred for the production and communication of advertising as well as other marketing activities. These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expensed when incurred, except for costs related to the production of broadcast advertising, which are expensed when the first broadcast occurs.</w:t>
      </w:r>
    </w:p>
    <w:p>
      <w:pPr>
        <w:spacing w:after="0" w:line="8" w:lineRule="exact"/>
        <w:rPr>
          <w:sz w:val="20"/>
          <w:szCs w:val="20"/>
          <w:color w:val="auto"/>
        </w:rPr>
      </w:pPr>
    </w:p>
    <w:p>
      <w:pPr>
        <w:ind w:right="320"/>
        <w:spacing w:after="0" w:line="30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income taxes arise from temporary differences between the tax basis and book basis of assets and liabilities. A valuation</w:t>
      </w:r>
      <w:r>
        <w:rPr>
          <w:rFonts w:ascii="Arial" w:cs="Arial" w:eastAsia="Arial" w:hAnsi="Arial"/>
          <w:sz w:val="16"/>
          <w:szCs w:val="16"/>
          <w:b w:val="1"/>
          <w:bCs w:val="1"/>
          <w:color w:val="auto"/>
        </w:rPr>
        <w:t xml:space="preserve"> </w:t>
      </w:r>
      <w:r>
        <w:rPr>
          <w:rFonts w:ascii="Arial" w:cs="Arial" w:eastAsia="Arial" w:hAnsi="Arial"/>
          <w:sz w:val="16"/>
          <w:szCs w:val="16"/>
          <w:color w:val="auto"/>
        </w:rPr>
        <w:t>allowance 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recognizes interest and penalties related to uncertain tax positions in income tax expense.</w:t>
      </w:r>
    </w:p>
    <w:p>
      <w:pPr>
        <w:spacing w:after="0" w:line="43"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The company reports the results of its operations as one operating segment primarily comprised of the businesses of CME, CBOT,</w:t>
      </w:r>
      <w:r>
        <w:rPr>
          <w:rFonts w:ascii="Arial" w:cs="Arial" w:eastAsia="Arial" w:hAnsi="Arial"/>
          <w:sz w:val="18"/>
          <w:szCs w:val="18"/>
          <w:b w:val="1"/>
          <w:bCs w:val="1"/>
          <w:color w:val="auto"/>
        </w:rPr>
        <w:t xml:space="preserve"> </w:t>
      </w:r>
      <w:r>
        <w:rPr>
          <w:rFonts w:ascii="Arial" w:cs="Arial" w:eastAsia="Arial" w:hAnsi="Arial"/>
          <w:sz w:val="18"/>
          <w:szCs w:val="18"/>
          <w:color w:val="auto"/>
        </w:rPr>
        <w:t>NYMEX, COMEX and our cash markets business. The individual operations of the company do not meet the thresholds for reporting separate segment information.</w:t>
      </w:r>
    </w:p>
    <w:p>
      <w:pPr>
        <w:spacing w:after="0" w:line="6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Newly Adopted Accounting Policies. </w:t>
      </w:r>
      <w:r>
        <w:rPr>
          <w:rFonts w:ascii="Arial" w:cs="Arial" w:eastAsia="Arial" w:hAnsi="Arial"/>
          <w:sz w:val="18"/>
          <w:szCs w:val="18"/>
          <w:color w:val="auto"/>
        </w:rPr>
        <w:t>The company did not adopt new accounting policies in 2021. The company also does not currently expect any</w:t>
      </w:r>
      <w:r>
        <w:rPr>
          <w:rFonts w:ascii="Arial" w:cs="Arial" w:eastAsia="Arial" w:hAnsi="Arial"/>
          <w:sz w:val="18"/>
          <w:szCs w:val="18"/>
          <w:b w:val="1"/>
          <w:bCs w:val="1"/>
          <w:color w:val="auto"/>
        </w:rPr>
        <w:t xml:space="preserve"> </w:t>
      </w:r>
      <w:r>
        <w:rPr>
          <w:rFonts w:ascii="Arial" w:cs="Arial" w:eastAsia="Arial" w:hAnsi="Arial"/>
          <w:sz w:val="18"/>
          <w:szCs w:val="18"/>
          <w:color w:val="auto"/>
        </w:rPr>
        <w:t>pending accounting pronouncements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 from customers from the following sources: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Clearing and transaction fees. </w:t>
      </w:r>
      <w:r>
        <w:rPr>
          <w:rFonts w:ascii="Arial" w:cs="Arial" w:eastAsia="Arial" w:hAnsi="Arial"/>
          <w:sz w:val="17"/>
          <w:szCs w:val="17"/>
          <w:color w:val="auto"/>
        </w:rPr>
        <w:t>Clearing and transaction fees include electronic trading fees and brokerage commissions, surcharges for privately-negotiated</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portfolio reconciliation and compression services, risk mitigation and other volume-related charges for trade contracts.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5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2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Market data and information services. </w:t>
      </w:r>
      <w:r>
        <w:rPr>
          <w:rFonts w:ascii="Arial" w:cs="Arial" w:eastAsia="Arial" w:hAnsi="Arial"/>
          <w:sz w:val="17"/>
          <w:szCs w:val="17"/>
          <w:color w:val="auto"/>
        </w:rPr>
        <w:t>Market data and information services represent revenue from the dissemination of market data to subscribers,</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5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Other revenues include certain access and communication fees, fees for collateral management, equity membership subscription fees, and fees for</w:t>
      </w:r>
      <w:r>
        <w:rPr>
          <w:rFonts w:ascii="Arial" w:cs="Arial" w:eastAsia="Arial" w:hAnsi="Arial"/>
          <w:sz w:val="17"/>
          <w:szCs w:val="17"/>
          <w:i w:val="1"/>
          <w:iCs w:val="1"/>
          <w:color w:val="auto"/>
        </w:rPr>
        <w:t xml:space="preserve"> </w:t>
      </w:r>
      <w:r>
        <w:rPr>
          <w:rFonts w:ascii="Arial" w:cs="Arial" w:eastAsia="Arial" w:hAnsi="Arial"/>
          <w:sz w:val="17"/>
          <w:szCs w:val="17"/>
          <w:color w:val="auto"/>
        </w:rPr>
        <w:t>trade order routing through agreements from various strategic relationships. Access and communication fees are charges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We also have an equity membership program, which provides equity members the option to substitute a monthly subscription fee for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that provide for monthly as well as quarterly payments in arrears. Revenue is recognized monthly for strategic relationship arrangements as the customers receive and consume the benefits of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disaggregation of revenue from contracts with customers for the years ended December 31, 2021, 2020 and 2019:</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Interest rates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1,121.9</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1,008.1</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1,278.5</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indexes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158.8</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Agricultural commodities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Energy</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616.5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699.3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683.5</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Interest rate swap and credit default swap</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markets business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Total clearing and transaction fees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3,765.1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3,897.4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3,946.1</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 and information services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4,883.6</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Timing of Revenue Recognition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Services transferred at a point in time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3,528.1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3,658.2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3,696.2</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One-time charges and miscellaneous revenues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4,883.6</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Upfront customer payments are recognized as revenue over time as the obligations under the contracts are satisfied. Changes in the contract liability balances during 2021 were not materially impacted by any other factors. Contract liabilities are presented within other current liabilities. The balance of contract liabilities was $15.2 million and $37.3 million as of December 31, 2021 and 2020,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PERFORMANCE BONDS AND GUARANTY FUND CONTRIBUTIONS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clearing house clears and guarantees the settlement of contracts traded in the futures and options and interest rate swap markets. In its guarantor role, the clearing house has precisely equal and offsetting claims to and from clearing firms on opposite sides of each contract, standing as an intermediary on every contract cleared. In the U.S., clearing firm funds are held according to Commodity and Futures Trading Commission (CFTC) regulatory account segregation standards. To the extent that funds are not otherwise available to satisfy an obligation under the applicable contract, the clearing house bears counterparty credit risk in the event that future market movements create conditions that could lead to clearing firms failing to meet their obligations to the clearing house. The clearing house reduces the exposure through risk management programs that include initial and ongoing financial standards for designation as a clearing firm, performance bond requirements, daily mark-to-market, mandatory guaranty fund contributions and intra-day monitoring.</w:t>
      </w:r>
    </w:p>
    <w:p>
      <w:pPr>
        <w:spacing w:after="0" w:line="5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Each clearing firm is required to deposit and maintain balances in the form of cash, U.S. government securities, certain foreign government securities, bank letters of credit or other approved collateral investments to satisfy performance bond and guaranty fund requirements. All non-cash deposits and certain cash deposits with foreign currency exposure are marked-to-market and haircut on a daily basis. Securities deposited by the clearing firms are not reflected on the consolidated financial statements and the clearing house does not earn any interest on these deposits. These balances may fluctuate significantly over time due to collateral investment choices available to clearing firms and changes in the amount of contributions required.</w:t>
      </w:r>
    </w:p>
    <w:p>
      <w:pPr>
        <w:spacing w:after="0" w:line="5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clearing house marks-to-market open positions at least once a day (twice a day for futures and options contracts), and requires payment from clearing firms whose positions have lost value and makes payments to clearing firms whose positions have gained value. The clearing house has the capability to mark-to-market more frequently as market conditions warrant.</w:t>
      </w:r>
    </w:p>
    <w:p>
      <w:pPr>
        <w:spacing w:after="0" w:line="7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Under the extremely unlikely scenario of simultaneous default by every clearing firm who has open positions with unrealized losses, the maximum exposure at the time of default related to positions other than interest rate swap contracts would be one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half day of changes in fair value of all open positions, before considering the clearing house's ability to access defaulting clearing firms' collateral deposits. For cleared interest rate swap contracts, the maximum exposure at the time of default related to the clearing house's guarantee would be one full day of changes in fair value of all open positions, before considering the clearing house's ability to access defaulting clearing firms' collateral. The clearing firms' collateral requirements are sized to cover at least one day of anticipated price movements. During 2021, the clearing house transferred an average of approximately $4.1 billion a day through the clearing system for settlement from clearing firms whose positions had lost value to clearing firms whose positions had gained value. The clearing house reduces its exposure through maintenance performance bond requirements and guaranty fund contributions. For futures and options products, the clearing firms' collateral requirements are sized to cover at least one day of anticipated price movements. For cleared swap products, the clearing firms' collateral requirements are sized to cover at least five days of anticipated price movements.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December 31, 2021.</w:t>
      </w:r>
    </w:p>
    <w:p>
      <w:pPr>
        <w:spacing w:after="0" w:line="7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CME has been designated as a systemically important financial market utility by the Financial Stability Oversight Council and is authorized to maintain cash accounts at the Federal Reserve Bank of Chicago. At December 31, 2021 and 2020, the clearing house maintained $146.1 billion and $76.3 billion, respectively, within the cash accounts at the Federal Reserve Bank of Chicago. The cash deposited at the Federal Reserve Bank of Chicago is included within performance bonds and guaranty fund contributions on the consolidated balance sheets.</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CME and The Options Clearing Corporation (OCC) have a perpetual cross-margin arrangement, whereby a clearing firm may maintain a cross-margin account in which a clearing firm's positions in certain equity index futures and options are combined with certain positions cleared by OCC for purposes of calculating performance bond requirements. The performance bond deposits are held jointly by CME and OCC. Cross-margin cash, securities and letters of credit jointly held with OCC under the cross-margin agreement are reflected at 50% of the total, or CME's proportionate share per that agreement. If a participating firm defaults, the gain or loss on the liquidation of the firm's open position and the proceeds from the liquidation of the cross-margin account would be allocated 50% each to CME and OCC. In the event of a remaining loss, CME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In addition, the clearing house would make a demand for payment pursuant to any applicable guarantee, if any, provided to it by the parent company of the clearing firm. Thereafter, if the payment default remains unsatisfied, the clearing house would use its corporate contributions designated for the respective financial safeguard package. The clearing house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71"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In addition, CME has perpetual cross-margin agreements with Fixed Income Clearing Corporation (FICC) whereby the clearing firms' offsetting positions with CME and FICC are subject to reduced performance bond requirements. Clearing firms maintain separate performance bond deposits with each clearing house, but depending on the net offsetting positions between CME and FICC, each clearing house may reduce that firm's performance bond requirements.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 In the event of a remaining loss, CME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In addition, the clearing house would make a demand for payment pursuant to any applicable guarantee, if any, provided to it by the parent company of the clearing firm. Thereafter, if the payment default remains unsatisfied, the clearing house would use its corporate contributions designated for the respective financial safeguard package. The clearing house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Each clearing firm for futures and options is required to deposit and maintain specified guaranty fund contributions in the form of cash or U.S. Treasury securities (base guaranty fund). In the event that performance bonds, guaranty fund contributions and other assets required to support clearing membership of a defaulting clearing firm are inadequate to fulfill that clearing firm's outstanding financial obligation, the base guaranty fund for contracts other than interest rate swaps is available to cover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potential losses after first utilizing $100.0 million of corporate contributions designated by CME to be used in the event of a default of a clearing firm for the base guaranty fund.</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clearing house maintains a separate guaranty fund to support the clearing firms that clear interest rate swap products (cleared interest rate swaps contract guaranty fund). The funds for interest rate swaps are independent of the base guaranty fund and are isolated to clearing firms for products in the respective asset class. Each clearing firm for cleared interest rate swaps is required to deposit and maintain specified guaranty fund contributions in the form of cash or U.S. Treasury securities. In the event that performance bonds, guaranty fund contributions and other assets required to support clearing membership of a defaulting clearing firm for cleared interest rate swap contracts are inadequate to fulfill that clearing firm's outstanding financial obligation, the interest rate swaps contracts guaranty fund is available to cover potential losses after first utilizing $150.0 million of corporate contributions designated by CME to be used in the event of a default of a cleared interest rate swap clearing firm.</w:t>
      </w:r>
    </w:p>
    <w:p>
      <w:pPr>
        <w:spacing w:after="0" w:line="6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CME maintains a 364-day multi-currency line of credit with a consortium of domestic and international banks to be used in certain situations by the clearing house.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 and its clearing firms. Clearing firm guaranty fund contributions received in the form of cash or U.S. Treasury securities as well as the performance bond assets of a defaulting firm can be used to collateralize the facility. The line of credit provides for borrowings of up to $7.0 billion. At December 31, 2021, guaranty fund contributions available for clearing firms were $9.7 billion. CME has the option to request an increase in the line from $7.0 billion to $10.0 billion, subject to the approval of participating banks. In addition to the 364-day fully secured, committed multi-currency line of credit, the company also has the option to use the $2.3 billion multi-currency revolving senior credit facility to provide liquidity for the clearing house in the unlikely event of default.</w:t>
      </w:r>
    </w:p>
    <w:p>
      <w:pPr>
        <w:spacing w:after="0" w:line="73"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clearing house is required under the Commodity Exchange Act in the U.S. to segregate cash and securities deposited by clearing firms from its customers. In addition, the clearing house requires segregation of all funds deposited by its clearing firms from operating funds.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Cash and non-cash deposits held as performance bonds and guaranty fund contributions at fair value at December 31, 2021 and 2020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93"/>
              </w:rPr>
              <w:t>Non-Cash</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w w:val="93"/>
              </w:rPr>
              <w:t>Non-Cash</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Deposits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87"/>
              </w:rPr>
              <w:t>Deposits</w:t>
            </w:r>
          </w:p>
        </w:tc>
        <w:tc>
          <w:tcPr>
            <w:tcW w:w="0" w:type="dxa"/>
            <w:vAlign w:val="bottom"/>
          </w:tcPr>
          <w:p>
            <w:pPr>
              <w:spacing w:after="0"/>
              <w:rPr>
                <w:sz w:val="1"/>
                <w:szCs w:val="1"/>
                <w:color w:val="auto"/>
              </w:rPr>
            </w:pPr>
          </w:p>
        </w:tc>
      </w:tr>
      <w:tr>
        <w:trPr>
          <w:trHeight w:val="135"/>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Cash</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and</w:t>
            </w:r>
          </w:p>
        </w:tc>
        <w:tc>
          <w:tcPr>
            <w:tcW w:w="34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Cash</w:t>
            </w:r>
          </w:p>
        </w:tc>
        <w:tc>
          <w:tcPr>
            <w:tcW w:w="220" w:type="dxa"/>
            <w:vAlign w:val="bottom"/>
          </w:tcPr>
          <w:p>
            <w:pPr>
              <w:spacing w:after="0"/>
              <w:rPr>
                <w:sz w:val="11"/>
                <w:szCs w:val="11"/>
                <w:color w:val="auto"/>
              </w:rPr>
            </w:pPr>
          </w:p>
        </w:tc>
        <w:tc>
          <w:tcPr>
            <w:tcW w:w="122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89"/>
        </w:trPr>
        <w:tc>
          <w:tcPr>
            <w:tcW w:w="51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20"/>
              <w:spacing w:after="0" w:line="189" w:lineRule="exact"/>
              <w:rPr>
                <w:sz w:val="20"/>
                <w:szCs w:val="20"/>
                <w:color w:val="auto"/>
              </w:rPr>
            </w:pPr>
            <w:r>
              <w:rPr>
                <w:rFonts w:ascii="Arial" w:cs="Arial" w:eastAsia="Arial" w:hAnsi="Arial"/>
                <w:sz w:val="14"/>
                <w:szCs w:val="14"/>
                <w:b w:val="1"/>
                <w:bCs w:val="1"/>
                <w:color w:val="auto"/>
                <w:w w:val="92"/>
              </w:rPr>
              <w:t xml:space="preserve">IEF Funds </w:t>
            </w:r>
            <w:r>
              <w:rPr>
                <w:rFonts w:ascii="Arial" w:cs="Arial" w:eastAsia="Arial" w:hAnsi="Arial"/>
                <w:sz w:val="18"/>
                <w:szCs w:val="18"/>
                <w:b w:val="1"/>
                <w:bCs w:val="1"/>
                <w:color w:val="auto"/>
                <w:w w:val="92"/>
                <w:vertAlign w:val="superscript"/>
              </w:rPr>
              <w:t>(1)</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8"/>
              <w:spacing w:after="0" w:line="189" w:lineRule="exact"/>
              <w:rPr>
                <w:sz w:val="20"/>
                <w:szCs w:val="20"/>
                <w:color w:val="auto"/>
              </w:rPr>
            </w:pPr>
            <w:r>
              <w:rPr>
                <w:rFonts w:ascii="Arial" w:cs="Arial" w:eastAsia="Arial" w:hAnsi="Arial"/>
                <w:sz w:val="14"/>
                <w:szCs w:val="14"/>
                <w:b w:val="1"/>
                <w:bCs w:val="1"/>
                <w:color w:val="auto"/>
                <w:w w:val="92"/>
              </w:rPr>
              <w:t xml:space="preserve">IEF Funds </w:t>
            </w:r>
            <w:r>
              <w:rPr>
                <w:rFonts w:ascii="Arial" w:cs="Arial" w:eastAsia="Arial" w:hAnsi="Arial"/>
                <w:sz w:val="18"/>
                <w:szCs w:val="18"/>
                <w:b w:val="1"/>
                <w:bCs w:val="1"/>
                <w:color w:val="auto"/>
                <w:w w:val="92"/>
                <w:vertAlign w:val="superscript"/>
              </w:rPr>
              <w:t>(1)</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bonds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151,094.8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124,573.7</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Guaranty fund contributions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6,745.6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6,015.7</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Cross-margin arrangements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bond collateral for delivery</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157,949.6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130,599.6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IEF funds include customer-directed investments in IEF funds that are not included on the consolidated balance sheets.</w:t>
      </w:r>
    </w:p>
    <w:p>
      <w:pPr>
        <w:spacing w:after="0" w:line="10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Cross-margin arrangements include collateral for the cross-margin accounts with OCC and FICC.</w:t>
      </w:r>
    </w:p>
    <w:p>
      <w:pPr>
        <w:spacing w:after="0" w:line="11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Cash performance bonds may include intraday settlement, if any, that is owed to the clearing firms and paid the following business day. The balance of intraday settlements was $156.4 million and $134.7 million at December 31, 2021 and 2020, respectively. Intraday settlements may be invested on an overnight basis and are offset by an equal liability owed to clearing firms.</w:t>
      </w:r>
    </w:p>
    <w:p>
      <w:pPr>
        <w:spacing w:after="0" w:line="7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addition to cash, securities and other non-cash deposits, irrevocable letters of credit may be used as performance bond deposits for clearing firms. At December 31, 2021 and 2020 these letters of credit, which are not included in the accompanying consolidated balance sheets,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bonds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bond collateral for delivery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Letters of Credit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cash, securities and letters of credit posted as performance bonds are only available to meet the financial obligations of that clearing firm to the clearing house.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property accounts at December 31, 2021 and 2020 is presented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66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94"/>
              </w:rPr>
              <w:t>Estimated Useful Life</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60" w:type="dxa"/>
            <w:vAlign w:val="bottom"/>
            <w:shd w:val="clear" w:color="auto" w:fill="CCEEFF"/>
          </w:tcPr>
          <w:p>
            <w:pPr>
              <w:jc w:val="center"/>
              <w:ind w:left="33"/>
              <w:spacing w:after="0" w:line="229" w:lineRule="exact"/>
              <w:rPr>
                <w:sz w:val="20"/>
                <w:szCs w:val="20"/>
                <w:color w:val="auto"/>
              </w:rPr>
            </w:pPr>
            <w:r>
              <w:rPr>
                <w:rFonts w:ascii="Arial" w:cs="Arial" w:eastAsia="Arial" w:hAnsi="Arial"/>
                <w:sz w:val="18"/>
                <w:szCs w:val="18"/>
                <w:color w:val="auto"/>
                <w:w w:val="85"/>
              </w:rPr>
              <w:t xml:space="preserve">10 - 20 years </w:t>
            </w:r>
            <w:r>
              <w:rPr>
                <w:rFonts w:ascii="Arial" w:cs="Arial" w:eastAsia="Arial" w:hAnsi="Arial"/>
                <w:sz w:val="23"/>
                <w:szCs w:val="23"/>
                <w:color w:val="auto"/>
                <w:w w:val="85"/>
                <w:vertAlign w:val="superscript"/>
              </w:rPr>
              <w:t>(1)</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Building and building improvements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167.1</w:t>
            </w:r>
          </w:p>
        </w:tc>
        <w:tc>
          <w:tcPr>
            <w:tcW w:w="1660" w:type="dxa"/>
            <w:vAlign w:val="bottom"/>
          </w:tcPr>
          <w:p>
            <w:pPr>
              <w:jc w:val="center"/>
              <w:ind w:left="13"/>
              <w:spacing w:after="0"/>
              <w:rPr>
                <w:sz w:val="20"/>
                <w:szCs w:val="20"/>
                <w:color w:val="auto"/>
              </w:rPr>
            </w:pPr>
            <w:r>
              <w:rPr>
                <w:rFonts w:ascii="Arial" w:cs="Arial" w:eastAsia="Arial" w:hAnsi="Arial"/>
                <w:sz w:val="18"/>
                <w:szCs w:val="18"/>
                <w:color w:val="auto"/>
                <w:w w:val="88"/>
              </w:rPr>
              <w:t>1 - 10 years</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66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8"/>
              </w:rPr>
              <w:t>3 - 19 years</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492.9</w:t>
            </w:r>
          </w:p>
        </w:tc>
        <w:tc>
          <w:tcPr>
            <w:tcW w:w="1660" w:type="dxa"/>
            <w:vAlign w:val="bottom"/>
          </w:tcPr>
          <w:p>
            <w:pPr>
              <w:jc w:val="center"/>
              <w:ind w:left="13"/>
              <w:spacing w:after="0"/>
              <w:rPr>
                <w:sz w:val="20"/>
                <w:szCs w:val="20"/>
                <w:color w:val="auto"/>
              </w:rPr>
            </w:pPr>
            <w:r>
              <w:rPr>
                <w:rFonts w:ascii="Arial" w:cs="Arial" w:eastAsia="Arial" w:hAnsi="Arial"/>
                <w:sz w:val="18"/>
                <w:szCs w:val="18"/>
                <w:color w:val="auto"/>
                <w:w w:val="89"/>
              </w:rPr>
              <w:t>2 - 7 years</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and software development costs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166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9"/>
              </w:rPr>
              <w:t>2 - 4 years</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property</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1,540.4</w:t>
            </w:r>
          </w:p>
        </w:tc>
        <w:tc>
          <w:tcPr>
            <w:tcW w:w="1660" w:type="dxa"/>
            <w:vAlign w:val="bottom"/>
          </w:tcPr>
          <w:p>
            <w:pPr>
              <w:spacing w:after="0"/>
              <w:rPr>
                <w:sz w:val="19"/>
                <w:szCs w:val="19"/>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1660" w:type="dxa"/>
            <w:vAlign w:val="bottom"/>
            <w:shd w:val="clear" w:color="auto" w:fill="CCEEFF"/>
          </w:tcPr>
          <w:p>
            <w:pPr>
              <w:spacing w:after="0"/>
              <w:rPr>
                <w:sz w:val="19"/>
                <w:szCs w:val="19"/>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w:t>
            </w:r>
          </w:p>
        </w:tc>
        <w:tc>
          <w:tcPr>
            <w:tcW w:w="1660" w:type="dxa"/>
            <w:vAlign w:val="bottom"/>
          </w:tcPr>
          <w:p>
            <w:pPr>
              <w:spacing w:after="0"/>
              <w:rPr>
                <w:sz w:val="19"/>
                <w:szCs w:val="19"/>
                <w:color w:val="auto"/>
              </w:rPr>
            </w:pPr>
          </w:p>
        </w:tc>
      </w:tr>
      <w:tr>
        <w:trPr>
          <w:trHeight w:val="21"/>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(1) Estimated useful life applies only to land improvements.</w:t>
      </w:r>
    </w:p>
    <w:p>
      <w:pPr>
        <w:spacing w:after="0" w:line="1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November 2021, the company sold a building and land in Chicago for $39.3 million and recognized a gain of $30.4 million. The gain was recognized in other non-operating income in the consolidated statements of income.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December 31,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1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Assigned Value</w:t>
            </w:r>
          </w:p>
        </w:tc>
        <w:tc>
          <w:tcPr>
            <w:tcW w:w="140" w:type="dxa"/>
            <w:vAlign w:val="bottom"/>
          </w:tcPr>
          <w:p>
            <w:pPr>
              <w:spacing w:after="0"/>
              <w:rPr>
                <w:sz w:val="11"/>
                <w:szCs w:val="11"/>
                <w:color w:val="auto"/>
              </w:rPr>
            </w:pPr>
          </w:p>
        </w:tc>
        <w:tc>
          <w:tcPr>
            <w:tcW w:w="1040" w:type="dxa"/>
            <w:vAlign w:val="bottom"/>
          </w:tcPr>
          <w:p>
            <w:pPr>
              <w:jc w:val="right"/>
              <w:ind w:right="96"/>
              <w:spacing w:after="0" w:line="135" w:lineRule="exact"/>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Deconsolidation</w:t>
            </w:r>
            <w:r>
              <w:rPr>
                <w:rFonts w:ascii="Arial" w:cs="Arial" w:eastAsia="Arial" w:hAnsi="Arial"/>
                <w:sz w:val="18"/>
                <w:szCs w:val="18"/>
                <w:b w:val="1"/>
                <w:bCs w:val="1"/>
                <w:color w:val="auto"/>
                <w:vertAlign w:val="superscript"/>
              </w:rPr>
              <w:t>(2)</w:t>
            </w:r>
          </w:p>
        </w:tc>
        <w:tc>
          <w:tcPr>
            <w:tcW w:w="200" w:type="dxa"/>
            <w:vAlign w:val="bottom"/>
          </w:tcPr>
          <w:p>
            <w:pPr>
              <w:spacing w:after="0"/>
              <w:rPr>
                <w:sz w:val="11"/>
                <w:szCs w:val="11"/>
                <w:color w:val="auto"/>
              </w:rPr>
            </w:pPr>
          </w:p>
        </w:tc>
        <w:tc>
          <w:tcPr>
            <w:tcW w:w="900" w:type="dxa"/>
            <w:vAlign w:val="bottom"/>
          </w:tcPr>
          <w:p>
            <w:pPr>
              <w:jc w:val="right"/>
              <w:ind w:right="174"/>
              <w:spacing w:after="0" w:line="135"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1"/>
                <w:szCs w:val="11"/>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Assigned Value</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00" w:type="dxa"/>
            <w:vAlign w:val="bottom"/>
          </w:tcPr>
          <w:p>
            <w:pPr>
              <w:jc w:val="right"/>
              <w:ind w:right="174"/>
              <w:spacing w:after="0" w:line="135"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89"/>
        </w:trPr>
        <w:tc>
          <w:tcPr>
            <w:tcW w:w="23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9"/>
        </w:trPr>
        <w:tc>
          <w:tcPr>
            <w:tcW w:w="23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Amortizable Intangible</w:t>
            </w: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line="176" w:lineRule="exact"/>
              <w:rPr>
                <w:sz w:val="20"/>
                <w:szCs w:val="20"/>
                <w:color w:val="auto"/>
              </w:rPr>
            </w:pPr>
            <w:r>
              <w:rPr>
                <w:rFonts w:ascii="Arial" w:cs="Arial" w:eastAsia="Arial" w:hAnsi="Arial"/>
                <w:sz w:val="18"/>
                <w:szCs w:val="18"/>
                <w:color w:val="auto"/>
                <w:w w:val="96"/>
              </w:rPr>
              <w:t>Clearing firm, market data and</w:t>
            </w:r>
          </w:p>
        </w:tc>
        <w:tc>
          <w:tcPr>
            <w:tcW w:w="300" w:type="dxa"/>
            <w:vAlign w:val="bottom"/>
            <w:vMerge w:val="restart"/>
          </w:tcPr>
          <w:p>
            <w:pPr>
              <w:jc w:val="right"/>
              <w:ind w:right="96"/>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5,818.2</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(1,847.7)</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3,020.5</w:t>
            </w:r>
          </w:p>
        </w:tc>
        <w:tc>
          <w:tcPr>
            <w:tcW w:w="40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5,858.0</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(1,632.5)</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4,225.5</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other customer relationships</w:t>
            </w:r>
          </w:p>
        </w:tc>
        <w:tc>
          <w:tcPr>
            <w:tcW w:w="3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Technology-related</w:t>
            </w:r>
          </w:p>
        </w:tc>
        <w:tc>
          <w:tcPr>
            <w:tcW w:w="3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3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Amortizable Intangible</w:t>
            </w: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6,099.2</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(1,959.5)</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3,082.0</w:t>
            </w:r>
          </w:p>
        </w:tc>
        <w:tc>
          <w:tcPr>
            <w:tcW w:w="400" w:type="dxa"/>
            <w:vAlign w:val="bottom"/>
            <w:gridSpan w:val="2"/>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6,143.3</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(1,728.0)</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4,415.3</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Assets</w:t>
            </w:r>
          </w:p>
        </w:tc>
        <w:tc>
          <w:tcPr>
            <w:tcW w:w="30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Indefinite-Lived Intangible</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Intangible Assets—</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3,532.0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4,865.3</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3"/>
                <w:szCs w:val="23"/>
                <w:color w:val="auto"/>
                <w:vertAlign w:val="superscript"/>
              </w:rPr>
              <w:t>(1)</w:t>
            </w: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17,175.3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40" w:hanging="652"/>
        <w:spacing w:after="0" w:line="264" w:lineRule="auto"/>
        <w:tabs>
          <w:tab w:leader="none" w:pos="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CFTC. Product authorizations from the CFTC have no term limits.</w:t>
      </w:r>
    </w:p>
    <w:p>
      <w:pPr>
        <w:spacing w:after="0" w:line="1" w:lineRule="exact"/>
        <w:rPr>
          <w:rFonts w:ascii="Arial" w:cs="Arial" w:eastAsia="Arial" w:hAnsi="Arial"/>
          <w:sz w:val="15"/>
          <w:szCs w:val="15"/>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activity from deconsolidation includes intangible assets as part of the contribution of the net assets of the optimization business to OSTTRA.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originally assigned useful lives for the amortizable intangible assets as of December 31, 2021 are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7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Clearing firm, market data and other customer relationships</w:t>
            </w:r>
          </w:p>
        </w:tc>
        <w:tc>
          <w:tcPr>
            <w:tcW w:w="3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5 - 30 years</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Technology-related intellectual property</w:t>
            </w:r>
          </w:p>
        </w:tc>
        <w:tc>
          <w:tcPr>
            <w:tcW w:w="3940" w:type="dxa"/>
            <w:vAlign w:val="bottom"/>
          </w:tcPr>
          <w:p>
            <w:pPr>
              <w:jc w:val="right"/>
              <w:spacing w:after="0"/>
              <w:rPr>
                <w:sz w:val="20"/>
                <w:szCs w:val="20"/>
                <w:color w:val="auto"/>
              </w:rPr>
            </w:pPr>
            <w:r>
              <w:rPr>
                <w:rFonts w:ascii="Arial" w:cs="Arial" w:eastAsia="Arial" w:hAnsi="Arial"/>
                <w:sz w:val="18"/>
                <w:szCs w:val="18"/>
                <w:color w:val="auto"/>
              </w:rPr>
              <w:t>5 - 9 years</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3 - 24.5 years</w:t>
            </w:r>
          </w:p>
        </w:tc>
      </w:tr>
    </w:tbl>
    <w:p>
      <w:pPr>
        <w:spacing w:after="0" w:line="20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Total amortization expense for intangible assets was $237.6 million, $311.2 million and $314.7 million for the years ended December 31, 2021, 2020 and 2019, respectively. As of December 31, 2021, the future estimated amortization expense related to amortizable intangible assets is expected to be as follows:</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860" w:type="dxa"/>
            <w:vAlign w:val="bottom"/>
            <w:gridSpan w:val="5"/>
          </w:tcPr>
          <w:p>
            <w:pPr>
              <w:spacing w:after="0"/>
              <w:rPr>
                <w:sz w:val="20"/>
                <w:szCs w:val="20"/>
                <w:color w:val="auto"/>
              </w:rPr>
            </w:pPr>
            <w:r>
              <w:rPr>
                <w:rFonts w:ascii="Arial" w:cs="Arial" w:eastAsia="Arial" w:hAnsi="Arial"/>
                <w:sz w:val="18"/>
                <w:szCs w:val="18"/>
                <w:color w:val="auto"/>
                <w:w w:val="92"/>
              </w:rPr>
              <w:t>Goodwill activity consisted of the following for the years ended December 31, 2021 and 2020</w:t>
            </w:r>
            <w:r>
              <w:rPr>
                <w:rFonts w:ascii="Arial" w:cs="Arial" w:eastAsia="Arial" w:hAnsi="Arial"/>
                <w:sz w:val="16"/>
                <w:szCs w:val="16"/>
                <w:color w:val="auto"/>
                <w:w w:val="92"/>
              </w:rPr>
              <w:t>:</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3"/>
                <w:szCs w:val="23"/>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23"/>
                <w:szCs w:val="23"/>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Deconsolidation</w:t>
            </w:r>
            <w:r>
              <w:rPr>
                <w:rFonts w:ascii="Arial" w:cs="Arial" w:eastAsia="Arial" w:hAnsi="Arial"/>
                <w:sz w:val="9"/>
                <w:szCs w:val="9"/>
                <w:b w:val="1"/>
                <w:bCs w:val="1"/>
                <w:color w:val="auto"/>
              </w:rPr>
              <w:t>(1)</w:t>
            </w:r>
          </w:p>
        </w:tc>
        <w:tc>
          <w:tcPr>
            <w:tcW w:w="260" w:type="dxa"/>
            <w:vAlign w:val="bottom"/>
          </w:tcPr>
          <w:p>
            <w:pPr>
              <w:spacing w:after="0"/>
              <w:rPr>
                <w:sz w:val="23"/>
                <w:szCs w:val="23"/>
                <w:color w:val="auto"/>
              </w:rPr>
            </w:pPr>
          </w:p>
        </w:tc>
        <w:tc>
          <w:tcPr>
            <w:tcW w:w="1160" w:type="dxa"/>
            <w:vAlign w:val="bottom"/>
          </w:tcPr>
          <w:p>
            <w:pPr>
              <w:jc w:val="center"/>
              <w:ind w:right="176"/>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Balance at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 xml:space="preserve">Activity </w:t>
            </w:r>
            <w:r>
              <w:rPr>
                <w:rFonts w:ascii="Arial" w:cs="Arial" w:eastAsia="Arial" w:hAnsi="Arial"/>
                <w:sz w:val="9"/>
                <w:szCs w:val="9"/>
                <w:b w:val="1"/>
                <w:bCs w:val="1"/>
                <w:color w:val="auto"/>
                <w:w w:val="94"/>
              </w:rPr>
              <w:t>(2)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1"/>
              </w:rPr>
              <w:t>December 31, 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CBOT Holdings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NYMEX Holdings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NEX</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4"/>
              </w:rPr>
              <w:t>(246.2)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4"/>
              </w:rPr>
              <w:t>(246.2)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9"/>
                <w:szCs w:val="9"/>
                <w:color w:val="auto"/>
              </w:rPr>
            </w:pPr>
          </w:p>
        </w:tc>
        <w:tc>
          <w:tcPr>
            <w:tcW w:w="1320" w:type="dxa"/>
            <w:vAlign w:val="bottom"/>
          </w:tcPr>
          <w:p>
            <w:pPr>
              <w:jc w:val="center"/>
              <w:ind w:right="36"/>
              <w:spacing w:after="0" w:line="109" w:lineRule="exact"/>
              <w:rPr>
                <w:sz w:val="20"/>
                <w:szCs w:val="20"/>
                <w:color w:val="auto"/>
              </w:rPr>
            </w:pPr>
            <w:r>
              <w:rPr>
                <w:rFonts w:ascii="Arial" w:cs="Arial" w:eastAsia="Arial" w:hAnsi="Arial"/>
                <w:sz w:val="12"/>
                <w:szCs w:val="12"/>
                <w:b w:val="1"/>
                <w:bCs w:val="1"/>
                <w:color w:val="auto"/>
              </w:rPr>
              <w:t>Balance at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Deconsolidation</w:t>
            </w:r>
            <w:r>
              <w:rPr>
                <w:rFonts w:ascii="Arial" w:cs="Arial" w:eastAsia="Arial" w:hAnsi="Arial"/>
                <w:sz w:val="9"/>
                <w:szCs w:val="9"/>
                <w:b w:val="1"/>
                <w:bCs w:val="1"/>
                <w:color w:val="auto"/>
              </w:rPr>
              <w:t>(1)</w:t>
            </w:r>
          </w:p>
        </w:tc>
        <w:tc>
          <w:tcPr>
            <w:tcW w:w="260" w:type="dxa"/>
            <w:vAlign w:val="bottom"/>
          </w:tcPr>
          <w:p>
            <w:pPr>
              <w:spacing w:after="0"/>
              <w:rPr>
                <w:sz w:val="9"/>
                <w:szCs w:val="9"/>
                <w:color w:val="auto"/>
              </w:rPr>
            </w:pPr>
          </w:p>
        </w:tc>
        <w:tc>
          <w:tcPr>
            <w:tcW w:w="1160" w:type="dxa"/>
            <w:vAlign w:val="bottom"/>
          </w:tcPr>
          <w:p>
            <w:pPr>
              <w:jc w:val="center"/>
              <w:ind w:right="176"/>
              <w:spacing w:after="0" w:line="109" w:lineRule="exact"/>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jc w:val="center"/>
              <w:ind w:right="34"/>
              <w:spacing w:after="0" w:line="109" w:lineRule="exact"/>
              <w:rPr>
                <w:sz w:val="20"/>
                <w:szCs w:val="20"/>
                <w:color w:val="auto"/>
              </w:rPr>
            </w:pPr>
            <w:r>
              <w:rPr>
                <w:rFonts w:ascii="Arial" w:cs="Arial" w:eastAsia="Arial" w:hAnsi="Arial"/>
                <w:sz w:val="12"/>
                <w:szCs w:val="12"/>
                <w:b w:val="1"/>
                <w:bCs w:val="1"/>
                <w:color w:val="auto"/>
              </w:rPr>
              <w:t>Balance at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 xml:space="preserve">Activity </w:t>
            </w:r>
            <w:r>
              <w:rPr>
                <w:rFonts w:ascii="Arial" w:cs="Arial" w:eastAsia="Arial" w:hAnsi="Arial"/>
                <w:sz w:val="9"/>
                <w:szCs w:val="9"/>
                <w:b w:val="1"/>
                <w:bCs w:val="1"/>
                <w:color w:val="auto"/>
                <w:w w:val="94"/>
              </w:rPr>
              <w:t>(2)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CBOT Holdings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NYMEX Holdings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NEX</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10,798.8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08"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activity from deconsolidation includes goodwill as part of the contribution of the net assets of the optimization business to OSTTRA.</w:t>
      </w:r>
    </w:p>
    <w:p>
      <w:pPr>
        <w:spacing w:after="0" w:line="99" w:lineRule="exact"/>
        <w:rPr>
          <w:rFonts w:ascii="Arial" w:cs="Arial" w:eastAsia="Arial" w:hAnsi="Arial"/>
          <w:sz w:val="16"/>
          <w:szCs w:val="16"/>
          <w:color w:val="auto"/>
        </w:rPr>
      </w:pPr>
    </w:p>
    <w:p>
      <w:pPr>
        <w:ind w:left="180" w:hanging="172"/>
        <w:spacing w:after="0"/>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activity includes currency translation adjustments.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various long-term investments as described below. The investments are recorded in other assets on the consolidated balance sheets.</w:t>
      </w:r>
    </w:p>
    <w:p>
      <w:pPr>
        <w:spacing w:after="0" w:line="13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DME Holdings Limited. </w:t>
      </w:r>
      <w:r>
        <w:rPr>
          <w:rFonts w:ascii="Arial" w:cs="Arial" w:eastAsia="Arial" w:hAnsi="Arial"/>
          <w:sz w:val="18"/>
          <w:szCs w:val="18"/>
          <w:color w:val="auto"/>
        </w:rPr>
        <w:t>The company owns an approximately 50% interest in DME Holdings Limited (DME Holdings), and accounts for its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DME Holdings using the equity method of accounting. The company's investment in DME Holdings was $13.7 million at December 31, 2021. The company and DME Holdings maintain an agreement for Dubai Mercantile Exchange futures contracts to be exclusively traded on the CME Globex platform.</w:t>
      </w:r>
    </w:p>
    <w:p>
      <w:pPr>
        <w:spacing w:after="0" w:line="7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OSTTRA. </w:t>
      </w:r>
      <w:r>
        <w:rPr>
          <w:rFonts w:ascii="Arial" w:cs="Arial" w:eastAsia="Arial" w:hAnsi="Arial"/>
          <w:sz w:val="16"/>
          <w:szCs w:val="16"/>
          <w:color w:val="auto"/>
        </w:rPr>
        <w:t>In January 2021, the company announced that it agreed with IHS Markit to combine their post-trade services into a new joint venture. The joint</w:t>
      </w:r>
      <w:r>
        <w:rPr>
          <w:rFonts w:ascii="Arial" w:cs="Arial" w:eastAsia="Arial" w:hAnsi="Arial"/>
          <w:sz w:val="16"/>
          <w:szCs w:val="16"/>
          <w:b w:val="1"/>
          <w:bCs w:val="1"/>
          <w:color w:val="auto"/>
        </w:rPr>
        <w:t xml:space="preserve"> </w:t>
      </w:r>
      <w:r>
        <w:rPr>
          <w:rFonts w:ascii="Arial" w:cs="Arial" w:eastAsia="Arial" w:hAnsi="Arial"/>
          <w:sz w:val="16"/>
          <w:szCs w:val="16"/>
          <w:color w:val="auto"/>
        </w:rPr>
        <w:t>venture, OSTTRA, was launched in September 2021. OSTTRA will perform trade processing and risk mitigation services. The company contributed the net assets of its optimization business, which included Traiana, TriOptima and Reset, to the new joint venture in exchange for $112.5 million in cash and a 50% equity interest in OSTTRA. In September 2021, the company deconsolidated its optimization business. The company recognized a net gain of $400.7 million on the transaction in other non-operating income on the consolidated statements of net income during 2021, which included 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$343.5 million gain on the deconsolidation in the third quarter and a $57.2 million gain on the final settlement of the transaction in the fourth quarter. The deconsolidation primarily included $1.1 billion of intangible assets, $0.2 billion of goodwill and $0.2 billion of deferred tax liabilities. The company's investment in OSTTRA was $1.4 billion at December 31, 2021. The company accounts for its investment using the equity method of accounting.</w:t>
      </w:r>
    </w:p>
    <w:p>
      <w:pPr>
        <w:spacing w:after="0" w:line="37"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b w:val="1"/>
          <w:bCs w:val="1"/>
          <w:color w:val="auto"/>
        </w:rPr>
        <w:t xml:space="preserve">S&amp;P/DJI Indices LLC. </w:t>
      </w:r>
      <w:r>
        <w:rPr>
          <w:rFonts w:ascii="Arial" w:cs="Arial" w:eastAsia="Arial" w:hAnsi="Arial"/>
          <w:sz w:val="17"/>
          <w:szCs w:val="17"/>
          <w:color w:val="auto"/>
        </w:rPr>
        <w:t>The company owns a 27% interest in S&amp;P/Dow Jones Indices LLC (S&amp;P/DJI) and accounts for its investment in S&amp;P/DJI using</w:t>
      </w:r>
      <w:r>
        <w:rPr>
          <w:rFonts w:ascii="Arial" w:cs="Arial" w:eastAsia="Arial" w:hAnsi="Arial"/>
          <w:sz w:val="17"/>
          <w:szCs w:val="17"/>
          <w:b w:val="1"/>
          <w:bCs w:val="1"/>
          <w:color w:val="auto"/>
        </w:rPr>
        <w:t xml:space="preserve"> </w:t>
      </w:r>
      <w:r>
        <w:rPr>
          <w:rFonts w:ascii="Arial" w:cs="Arial" w:eastAsia="Arial" w:hAnsi="Arial"/>
          <w:sz w:val="17"/>
          <w:szCs w:val="17"/>
          <w:color w:val="auto"/>
        </w:rPr>
        <w:t>the equity method of accounting. The company's investment in S&amp;P/DJI was $986.5 million at December 31, 2021. The company has long-term exclusive licensing agreements with S&amp;P/DJI to list products based on the Standard &amp; Poor's Indices and Dow Jones Indices.</w:t>
      </w:r>
    </w:p>
    <w:p>
      <w:pPr>
        <w:spacing w:after="0" w:line="50"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Shanghai CFETS-NEX International Money Broking Co., Ltd. </w:t>
      </w:r>
      <w:r>
        <w:rPr>
          <w:rFonts w:ascii="Arial" w:cs="Arial" w:eastAsia="Arial" w:hAnsi="Arial"/>
          <w:sz w:val="18"/>
          <w:szCs w:val="18"/>
          <w:color w:val="auto"/>
        </w:rPr>
        <w:t>The company owns a 33% interest in Shanghai CFETS-NEX International Money</w:t>
      </w:r>
      <w:r>
        <w:rPr>
          <w:rFonts w:ascii="Arial" w:cs="Arial" w:eastAsia="Arial" w:hAnsi="Arial"/>
          <w:sz w:val="18"/>
          <w:szCs w:val="18"/>
          <w:b w:val="1"/>
          <w:bCs w:val="1"/>
          <w:color w:val="auto"/>
        </w:rPr>
        <w:t xml:space="preserve"> </w:t>
      </w:r>
      <w:r>
        <w:rPr>
          <w:rFonts w:ascii="Arial" w:cs="Arial" w:eastAsia="Arial" w:hAnsi="Arial"/>
          <w:sz w:val="18"/>
          <w:szCs w:val="18"/>
          <w:color w:val="auto"/>
        </w:rPr>
        <w:t>Broking Co., Ltd. (CFETS) and accounts for its investment in CFETS using the equity method of accounting. The company's investment in CFETS was $38.8 million at December 31,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consisted of the following at December 31,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9"/>
        </w:trPr>
        <w:tc>
          <w:tcPr>
            <w:tcW w:w="826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short-term debt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ind w:left="660" w:right="460" w:hanging="652"/>
        <w:spacing w:after="0" w:line="275"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maintained a forward-starting interest rate swap agreement that modified the interest obligation associated with these notes so that the interest payable on the notes effectively beca</w:t>
      </w:r>
      <w:r>
        <w:rPr>
          <w:rFonts w:ascii="Arial" w:cs="Arial" w:eastAsia="Arial" w:hAnsi="Arial"/>
          <w:sz w:val="14"/>
          <w:szCs w:val="14"/>
          <w:color w:val="auto"/>
        </w:rPr>
        <w:t>me fixed at a rate of 3.32%.</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consisted of the following at December 31, 2021 and 2020 (in U.S. dollar equivalents):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9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5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266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$750.0 million fixed rate notes due September 2022, stated rate of 3.00% </w:t>
      </w:r>
      <w:r>
        <w:rPr>
          <w:rFonts w:ascii="Arial" w:cs="Arial" w:eastAsia="Arial" w:hAnsi="Arial"/>
          <w:sz w:val="20"/>
          <w:szCs w:val="20"/>
          <w:color w:val="auto"/>
          <w:vertAlign w:val="superscript"/>
        </w:rPr>
        <w:t>(1)</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€15.0 million fixed rate notes due May 2023, stated rate of 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15175" cy="257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$750.0 million fixed rate notes due March 2025, stated rate of 3.00% </w:t>
      </w:r>
      <w:r>
        <w:rPr>
          <w:rFonts w:ascii="Arial" w:cs="Arial" w:eastAsia="Arial" w:hAnsi="Arial"/>
          <w:sz w:val="22"/>
          <w:szCs w:val="22"/>
          <w:color w:val="auto"/>
          <w:vertAlign w:val="superscript"/>
        </w:rPr>
        <w:t>(2)</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$500.0 million fixed rate notes due June 2028, stated rate of 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15175" cy="257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$750.0 million fixed rate notes due September 2043, stated rate of 5.30% </w:t>
      </w:r>
      <w:r>
        <w:rPr>
          <w:rFonts w:ascii="Arial" w:cs="Arial" w:eastAsia="Arial" w:hAnsi="Arial"/>
          <w:sz w:val="20"/>
          <w:szCs w:val="20"/>
          <w:color w:val="auto"/>
          <w:vertAlign w:val="superscript"/>
        </w:rPr>
        <w:t>(3)</w:t>
      </w:r>
    </w:p>
    <w:p>
      <w:pPr>
        <w:spacing w:after="0" w:line="175" w:lineRule="exact"/>
        <w:rPr>
          <w:sz w:val="20"/>
          <w:szCs w:val="20"/>
          <w:color w:val="auto"/>
        </w:rPr>
      </w:pPr>
    </w:p>
    <w:p>
      <w:pPr>
        <w:ind w:left="20" w:right="2660"/>
        <w:spacing w:after="0" w:line="402" w:lineRule="auto"/>
        <w:rPr>
          <w:sz w:val="20"/>
          <w:szCs w:val="20"/>
          <w:color w:val="auto"/>
        </w:rPr>
      </w:pPr>
      <w:r>
        <w:rPr>
          <w:rFonts w:ascii="Arial" w:cs="Arial" w:eastAsia="Arial" w:hAnsi="Arial"/>
          <w:sz w:val="18"/>
          <w:szCs w:val="18"/>
          <w:color w:val="auto"/>
        </w:rPr>
        <w:t>$700.0 million fixed rate notes due June 2048, stated rate of 4.15% 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1517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748.6</w:t>
            </w:r>
          </w:p>
        </w:tc>
      </w:tr>
      <w:tr>
        <w:trPr>
          <w:trHeight w:val="405"/>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405"/>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747.0</w:t>
            </w:r>
          </w:p>
        </w:tc>
      </w:tr>
      <w:tr>
        <w:trPr>
          <w:trHeight w:val="405"/>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496.8</w:t>
            </w:r>
          </w:p>
        </w:tc>
      </w:tr>
      <w:tr>
        <w:trPr>
          <w:trHeight w:val="405"/>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743.4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743.1</w:t>
            </w:r>
          </w:p>
        </w:tc>
      </w:tr>
      <w:tr>
        <w:trPr>
          <w:trHeight w:val="405"/>
        </w:trPr>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690.2</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3,443.8</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76" w:lineRule="exact"/>
        <w:rPr>
          <w:sz w:val="20"/>
          <w:szCs w:val="20"/>
          <w:color w:val="auto"/>
        </w:rPr>
      </w:pPr>
    </w:p>
    <w:p>
      <w:pPr>
        <w:sectPr>
          <w:pgSz w:w="11900" w:h="16838" w:orient="portrait"/>
          <w:cols w:equalWidth="0" w:num="2">
            <w:col w:w="7520" w:space="720"/>
            <w:col w:w="3000"/>
          </w:cols>
          <w:pgMar w:left="320" w:top="122" w:right="339" w:bottom="1440" w:gutter="0" w:footer="0" w:header="0"/>
          <w:type w:val="continuous"/>
        </w:sectPr>
      </w:pPr>
    </w:p>
    <w:p>
      <w:pPr>
        <w:ind w:left="660" w:right="460" w:hanging="652"/>
        <w:spacing w:after="0" w:line="275"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maintained a forward-starting interest rate swap agreement that modified the interest obligation associated with these notes so that the interest payable on the notes effectively became fixed at a rate of 3.32%.</w:t>
      </w:r>
    </w:p>
    <w:p>
      <w:pPr>
        <w:spacing w:after="0" w:line="64" w:lineRule="exact"/>
        <w:rPr>
          <w:rFonts w:ascii="Arial" w:cs="Arial" w:eastAsia="Arial" w:hAnsi="Arial"/>
          <w:sz w:val="16"/>
          <w:szCs w:val="16"/>
          <w:color w:val="auto"/>
        </w:rPr>
      </w:pPr>
    </w:p>
    <w:p>
      <w:pPr>
        <w:ind w:left="660" w:right="460" w:hanging="652"/>
        <w:spacing w:after="0" w:line="275"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64" w:lineRule="exact"/>
        <w:rPr>
          <w:rFonts w:ascii="Arial" w:cs="Arial" w:eastAsia="Arial" w:hAnsi="Arial"/>
          <w:sz w:val="16"/>
          <w:szCs w:val="16"/>
          <w:color w:val="auto"/>
        </w:rPr>
      </w:pPr>
    </w:p>
    <w:p>
      <w:pPr>
        <w:ind w:left="660" w:right="460" w:hanging="652"/>
        <w:spacing w:after="0" w:line="275"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Short term and long-term debt maturities, at par value (in U.S. dollar equivalents), were as follows as of December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7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Par Value</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2023</w:t>
            </w:r>
          </w:p>
        </w:tc>
        <w:tc>
          <w:tcPr>
            <w:tcW w:w="4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2025</w:t>
            </w:r>
          </w:p>
        </w:tc>
        <w:tc>
          <w:tcPr>
            <w:tcW w:w="4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1,950.0</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is subject to regulation under a wide variety of U.S., federal, state and foreign tax laws and regulations. Income before income taxes and the income tax provision consisted of the following for the years ended December 31, 2021, 2020 and 2019: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Domestic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2,728.5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2,640.7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2,650.2</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3,373.6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2,722.1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2,689.6</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29"/>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701.9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657.3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Total Income Tax Provision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736.7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240" w:type="dxa"/>
            <w:vAlign w:val="bottom"/>
            <w:gridSpan w:val="7"/>
          </w:tcPr>
          <w:p>
            <w:pPr>
              <w:spacing w:after="0"/>
              <w:rPr>
                <w:sz w:val="20"/>
                <w:szCs w:val="20"/>
                <w:color w:val="auto"/>
              </w:rPr>
            </w:pPr>
            <w:r>
              <w:rPr>
                <w:rFonts w:ascii="Arial" w:cs="Arial" w:eastAsia="Arial" w:hAnsi="Arial"/>
                <w:sz w:val="18"/>
                <w:szCs w:val="18"/>
                <w:color w:val="auto"/>
                <w:w w:val="98"/>
              </w:rPr>
              <w:t>Reconciliation of the U.S. federal income tax rate (statutory tax rate) to the effective tax rate is as follows: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Statutory tax rate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State taxes, net of federal benefit</w:t>
            </w:r>
          </w:p>
        </w:tc>
        <w:tc>
          <w:tcPr>
            <w:tcW w:w="2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formation of OSTTRA</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Statutory rate change</w:t>
            </w:r>
          </w:p>
        </w:tc>
        <w:tc>
          <w:tcPr>
            <w:tcW w:w="2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of revised state and local apportionment estimates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324"/>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Foreign-derived intangible income deduction</w:t>
            </w:r>
          </w:p>
        </w:tc>
        <w:tc>
          <w:tcPr>
            <w:tcW w:w="220" w:type="dxa"/>
            <w:vAlign w:val="bottom"/>
          </w:tcPr>
          <w:p>
            <w:pPr>
              <w:spacing w:after="0"/>
              <w:rPr>
                <w:sz w:val="24"/>
                <w:szCs w:val="24"/>
                <w:color w:val="auto"/>
              </w:rPr>
            </w:pPr>
          </w:p>
        </w:tc>
        <w:tc>
          <w:tcPr>
            <w:tcW w:w="1020" w:type="dxa"/>
            <w:vAlign w:val="bottom"/>
            <w:vMerge w:val="restart"/>
          </w:tcPr>
          <w:p>
            <w:pPr>
              <w:jc w:val="right"/>
              <w:ind w:right="7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vMerge w:val="restart"/>
          </w:tcPr>
          <w:p>
            <w:pPr>
              <w:jc w:val="right"/>
              <w:ind w:right="9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ind w:right="9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81"/>
        </w:trPr>
        <w:tc>
          <w:tcPr>
            <w:tcW w:w="6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Effective Tax Expense Benefit Rate</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21.8 %</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22.6 %</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2021, the effective tax rate was higher than the statutory tax rate. The increase to the effective tax rate for the state taxes and the impact of the statutory rate change in the United Kingdom was partially offset by the non-taxable gain on the formation of OSTTRA and the foreign-derived intangible income (FDII) deduction.</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2020, the effective tax rate was higher than the statutory tax rate. The increase to the effective tax rate for the state taxes was partially offset by the FDII deduction.</w:t>
      </w:r>
    </w:p>
    <w:p>
      <w:pPr>
        <w:spacing w:after="0" w:line="3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In 2019, the effective tax rate was slightly higher than the statutory tax rate. The increase to the effective tax rate for the state taxes was partially offset by the FDII deduction. Proposed FDII deduction regulations were released in 2019 and as a result, management revised the income tax calculations to reflect the proposed guidance. The benefit recognized in 2019 includes estimates for the deduction for 2018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and 2020, deferred income tax assets (liabilities)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compensation, leases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Subtotal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Purchased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(5,614.9)</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Property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income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(5,576.0)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Reported as: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non-current deferred tax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non-current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(5,576.0)</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 valuation allowance is recorded when it is more-likely-than-not that some portion or all of the deferred income tax assets may not be realized. The ultimate realization of the deferred income tax assets depends on the ability to generate sufficient taxable income of the appropriate character in the future and in the appropriate taxing jurisdictions.</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31, 2021 and 2020, the company had domestic and foreign income tax loss carry forwards of $88.6 million and $190.2 million, respectively. These amounts primarily related to losses from the acquisition of NEX Group plc, the acquisitions of Swapstream Limited and its affiliates, the acquisition of Pivot, Inc., losses incurred in the operation of various foreign entities. At December 31, 2021 and 2020, the company determined that it was not more-likely-than-not that certain foreign deferred income tax assets will be fully realized.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As a result, valuation allowances of $0.6 million and $11.3 million were recorded at December 31, 2021 and 2020,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unrecognized tax benefits at December 31, 2021, 2020 and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316.4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328.2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Unrecognized tax benefits, net of tax impacts in other jurisdictions</w:t>
            </w:r>
          </w:p>
        </w:tc>
        <w:tc>
          <w:tcPr>
            <w:tcW w:w="98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293.1</w:t>
            </w:r>
          </w:p>
        </w:tc>
        <w:tc>
          <w:tcPr>
            <w:tcW w:w="4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302.4</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359.6</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penalties related to uncertain tax positions</w:t>
            </w:r>
          </w:p>
        </w:tc>
        <w:tc>
          <w:tcPr>
            <w:tcW w:w="9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42.8</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w w:val="99"/>
              </w:rPr>
              <w:t>Interest and penalties recognized on the consolidated statements of income</w:t>
            </w:r>
          </w:p>
        </w:tc>
        <w:tc>
          <w:tcPr>
            <w:tcW w:w="98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7.7</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believe it is reasonably possible that within the next twelve months, unrecognized tax benefits will change by a significant amount.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gross unrecognized tax benefits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for tax positions of prior years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Reductions resulting from the lapse of statutes of limitations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Settlements with taxing authorities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is subject to U.S. federal income tax as well as income taxes in Illinois and multiple other state, local and foreign jurisdictions. As of December 31, 2021, substantially all federal and state income tax matters had been concluded through 2007 and 2006, respectively, and through 2013 for the United Kingdom.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Pension Plans. </w:t>
      </w:r>
      <w:r>
        <w:rPr>
          <w:rFonts w:ascii="Arial" w:cs="Arial" w:eastAsia="Arial" w:hAnsi="Arial"/>
          <w:sz w:val="17"/>
          <w:szCs w:val="17"/>
          <w:color w:val="auto"/>
        </w:rPr>
        <w:t>CME maintains a non-contributory defined benefit cash balance pension plan for eligible employees. CME's plan provides for a pay-based</w:t>
      </w:r>
      <w:r>
        <w:rPr>
          <w:rFonts w:ascii="Arial" w:cs="Arial" w:eastAsia="Arial" w:hAnsi="Arial"/>
          <w:sz w:val="17"/>
          <w:szCs w:val="17"/>
          <w:b w:val="1"/>
          <w:bCs w:val="1"/>
          <w:color w:val="auto"/>
        </w:rPr>
        <w:t xml:space="preserve"> </w:t>
      </w:r>
      <w:r>
        <w:rPr>
          <w:rFonts w:ascii="Arial" w:cs="Arial" w:eastAsia="Arial" w:hAnsi="Arial"/>
          <w:sz w:val="17"/>
          <w:szCs w:val="17"/>
          <w:color w:val="auto"/>
        </w:rPr>
        <w:t>credit added 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projected benefit obligation: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r>
      <w:tr>
        <w:trPr>
          <w:trHeight w:val="229"/>
        </w:trPr>
        <w:tc>
          <w:tcPr>
            <w:tcW w:w="8200" w:type="dxa"/>
            <w:vAlign w:val="bottom"/>
          </w:tcPr>
          <w:p>
            <w:pPr>
              <w:ind w:left="360"/>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8200" w:type="dxa"/>
            <w:vAlign w:val="bottom"/>
          </w:tcPr>
          <w:p>
            <w:pPr>
              <w:ind w:left="360"/>
              <w:spacing w:after="0"/>
              <w:rPr>
                <w:sz w:val="20"/>
                <w:szCs w:val="20"/>
                <w:color w:val="auto"/>
              </w:rPr>
            </w:pPr>
            <w:r>
              <w:rPr>
                <w:rFonts w:ascii="Arial" w:cs="Arial" w:eastAsia="Arial" w:hAnsi="Arial"/>
                <w:sz w:val="18"/>
                <w:szCs w:val="18"/>
                <w:color w:val="auto"/>
              </w:rPr>
              <w:t>Actuarial (gain)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accumulated benefit obligation was $358.7 million and $350.3 million at December 31, 2021 and 2020,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fair value of plan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Actual return on plan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plan assets are classified into a fair value hierarchy in their entirety based on the lowest level of input that is significant to each asset or liability’s fair value measurement. Valuation techniques for level 2 assets use significant observable inputs such as quoted prices for similar assets, quoted market prices in inactive markets and other inputs that are observable or can be supported by observable market data.</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major category of plan assets as of December 31, 2021 and 2020 is indicated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Mutual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68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140.2</w:t>
            </w:r>
          </w:p>
        </w:tc>
      </w:tr>
      <w:tr>
        <w:trPr>
          <w:trHeight w:val="229"/>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r>
      <w:tr>
        <w:trPr>
          <w:trHeight w:val="230"/>
        </w:trPr>
        <w:tc>
          <w:tcPr>
            <w:tcW w:w="8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Foreign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At December 31, 2021 and 2020, the fair value of pension plan assets exceeded the projected benefit obligation by $16.3 million and $7.9 million, respectively, and the excess was recorded as a non-current pension asset in other assets.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CME's funding goal is to have its pension plan 100% funded at each year-end on a projected benefit obligation basis, while also satisfying any minimum required contribution and obtaining the maximum tax deduction. Year-end 2021 assumptions have been used to project the assets and liabilities from December 31, 2021 to December 31, 2022. The company anticipates based on this projection that no additional contribution in 2022 will be necessary for it to meet its funding goal. However, the amount of the actual contribution is contingent on various factors, including the actual rate of return on the plan assets during 2022 and the December 31, 2022 discount rate.</w:t>
      </w:r>
    </w:p>
    <w:p>
      <w:pPr>
        <w:spacing w:after="0" w:line="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components of net pension expense and the assumptions used to determine the end-of-year projected benefit obligation and net pension expense in aggregate at December 31, 2021, 2020 and 2019 are indicated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Pension Expense: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20" w:type="dxa"/>
            <w:vAlign w:val="bottom"/>
          </w:tcPr>
          <w:p>
            <w:pPr>
              <w:ind w:left="360"/>
              <w:spacing w:after="0"/>
              <w:rPr>
                <w:sz w:val="20"/>
                <w:szCs w:val="20"/>
                <w:color w:val="auto"/>
              </w:rPr>
            </w:pPr>
            <w:r>
              <w:rPr>
                <w:rFonts w:ascii="Arial" w:cs="Arial" w:eastAsia="Arial" w:hAnsi="Arial"/>
                <w:sz w:val="18"/>
                <w:szCs w:val="18"/>
                <w:color w:val="auto"/>
              </w:rPr>
              <w:t>Service cost</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19.0</w:t>
            </w:r>
          </w:p>
        </w:tc>
      </w:tr>
      <w:tr>
        <w:trPr>
          <w:trHeight w:val="23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12.3</w:t>
            </w:r>
          </w:p>
        </w:tc>
      </w:tr>
      <w:tr>
        <w:trPr>
          <w:trHeight w:val="229"/>
        </w:trPr>
        <w:tc>
          <w:tcPr>
            <w:tcW w:w="6420" w:type="dxa"/>
            <w:vAlign w:val="bottom"/>
          </w:tcPr>
          <w:p>
            <w:pPr>
              <w:ind w:left="36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89"/>
              </w:rPr>
              <w:t>(21.7)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89"/>
              </w:rPr>
              <w:t>(21.0)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(20.0)</w:t>
            </w:r>
          </w:p>
        </w:tc>
      </w:tr>
      <w:tr>
        <w:trPr>
          <w:trHeight w:val="23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Recognized net actuarial loss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5.0</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Net Pension Expense</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16.3</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6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Assumptions Used to Determine End-of-Year Benefit Obligation:</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Discount rate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3.00 %</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3.40 %</w:t>
            </w:r>
          </w:p>
        </w:tc>
      </w:tr>
      <w:tr>
        <w:trPr>
          <w:trHeight w:val="229"/>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Rate of compensation increase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5.00</w:t>
            </w: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Cash balance interest crediting rate</w:t>
            </w:r>
          </w:p>
        </w:tc>
        <w:tc>
          <w:tcPr>
            <w:tcW w:w="92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4.00</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Assumptions Used to Determine Net Pension Expense: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Discount rate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2.70 %</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4.40 %</w:t>
            </w:r>
          </w:p>
        </w:tc>
      </w:tr>
      <w:tr>
        <w:trPr>
          <w:trHeight w:val="229"/>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Rate of compensation increase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5.00</w:t>
            </w: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6.50</w:t>
            </w:r>
          </w:p>
        </w:tc>
      </w:tr>
      <w:tr>
        <w:trPr>
          <w:trHeight w:val="23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crediting rate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4.00</w:t>
            </w: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discount rate for the plan was determined based on the market value of a theoretical settlement bond portfolio. This portfolio consisted of U.S. dollar denominated Aa-rated corporate bonds across the full maturity spectrum. A single equivalent discount rate was determined to align the present value of the required cash flow with that settlement value. The resulting discount rate was reflective of both the current interest rate environment and the plan's distinct liability characteristics.</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overall objective of the plan is to achieve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2021 and 2020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60" w:type="dxa"/>
            <w:vAlign w:val="bottom"/>
            <w:tcBorders>
              <w:bottom w:val="single" w:sz="8" w:color="auto"/>
            </w:tcBorders>
          </w:tcPr>
          <w:p>
            <w:pPr>
              <w:ind w:left="8640"/>
              <w:spacing w:after="0"/>
              <w:rPr>
                <w:sz w:val="20"/>
                <w:szCs w:val="20"/>
                <w:color w:val="auto"/>
              </w:rPr>
            </w:pPr>
            <w:r>
              <w:rPr>
                <w:rFonts w:ascii="Arial" w:cs="Arial" w:eastAsia="Arial" w:hAnsi="Arial"/>
                <w:sz w:val="14"/>
                <w:szCs w:val="14"/>
                <w:b w:val="1"/>
                <w:bCs w:val="1"/>
                <w:color w:val="auto"/>
                <w:w w:val="96"/>
              </w:rPr>
              <w:t>2021</w:t>
            </w:r>
          </w:p>
        </w:tc>
        <w:tc>
          <w:tcPr>
            <w:tcW w:w="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39.3 %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36.1 %</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960" w:type="dxa"/>
            <w:vAlign w:val="bottom"/>
          </w:tcPr>
          <w:p>
            <w:pPr>
              <w:jc w:val="right"/>
              <w:ind w:right="490"/>
              <w:spacing w:after="0"/>
              <w:rPr>
                <w:sz w:val="20"/>
                <w:szCs w:val="20"/>
                <w:color w:val="auto"/>
              </w:rPr>
            </w:pPr>
            <w:r>
              <w:rPr>
                <w:rFonts w:ascii="Arial" w:cs="Arial" w:eastAsia="Arial" w:hAnsi="Arial"/>
                <w:sz w:val="18"/>
                <w:szCs w:val="18"/>
                <w:color w:val="auto"/>
              </w:rPr>
              <w:t>4.9</w:t>
            </w: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3.6</w:t>
            </w: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equity</w:t>
            </w:r>
          </w:p>
        </w:tc>
        <w:tc>
          <w:tcPr>
            <w:tcW w:w="9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35.5</w:t>
            </w: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38.5</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Foreign equity</w:t>
            </w:r>
          </w:p>
        </w:tc>
        <w:tc>
          <w:tcPr>
            <w:tcW w:w="960" w:type="dxa"/>
            <w:vAlign w:val="bottom"/>
          </w:tcPr>
          <w:p>
            <w:pPr>
              <w:jc w:val="right"/>
              <w:ind w:right="490"/>
              <w:spacing w:after="0"/>
              <w:rPr>
                <w:sz w:val="20"/>
                <w:szCs w:val="20"/>
                <w:color w:val="auto"/>
              </w:rPr>
            </w:pPr>
            <w:r>
              <w:rPr>
                <w:rFonts w:ascii="Arial" w:cs="Arial" w:eastAsia="Arial" w:hAnsi="Arial"/>
                <w:sz w:val="18"/>
                <w:szCs w:val="18"/>
                <w:color w:val="auto"/>
              </w:rPr>
              <w:t>20.3</w:t>
            </w: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21.8</w:t>
            </w:r>
          </w:p>
        </w:tc>
      </w:tr>
    </w:tbl>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2022, management expects the fixed income asset class to be approximately 50% of the portfolio. The target allocation for the U.S. equity asset class is expected to range from 15% to 45% of the portfolio and the target allocation for the foreign equity asset class is expected to range from approximately 10% to 30% of the portfolio.</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At times, the company may determine that it is necessary to place some assets in cash equivalent investments in order to pay expected plan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Given this, the actual asset allocation for the plan may not fall within the target allocation ranges from time to time.</w:t>
      </w:r>
    </w:p>
    <w:p>
      <w:pPr>
        <w:spacing w:after="0" w:line="10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or Moody's.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pre-tax balance and activity of actuarial losses for the pension plan, which are included in other comprehensive income (loss), for 2021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180" w:type="dxa"/>
            <w:vAlign w:val="bottom"/>
          </w:tcPr>
          <w:p>
            <w:pPr>
              <w:jc w:val="right"/>
              <w:ind w:right="353"/>
              <w:spacing w:after="0"/>
              <w:rPr>
                <w:sz w:val="20"/>
                <w:szCs w:val="20"/>
                <w:color w:val="auto"/>
              </w:rPr>
            </w:pPr>
            <w:r>
              <w:rPr>
                <w:rFonts w:ascii="Arial" w:cs="Arial" w:eastAsia="Arial" w:hAnsi="Arial"/>
                <w:sz w:val="14"/>
                <w:szCs w:val="14"/>
                <w:b w:val="1"/>
                <w:bCs w:val="1"/>
                <w:color w:val="auto"/>
              </w:rPr>
              <w:t>Actuarial</w:t>
            </w:r>
          </w:p>
        </w:tc>
        <w:tc>
          <w:tcPr>
            <w:tcW w:w="0" w:type="dxa"/>
            <w:vAlign w:val="bottom"/>
          </w:tcPr>
          <w:p>
            <w:pPr>
              <w:spacing w:after="0"/>
              <w:rPr>
                <w:sz w:val="1"/>
                <w:szCs w:val="1"/>
                <w:color w:val="auto"/>
              </w:rPr>
            </w:pPr>
          </w:p>
        </w:tc>
      </w:tr>
      <w:tr>
        <w:trPr>
          <w:trHeight w:val="188"/>
        </w:trPr>
        <w:tc>
          <w:tcPr>
            <w:tcW w:w="9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24"/>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30"/>
        </w:trPr>
        <w:tc>
          <w:tcPr>
            <w:tcW w:w="9780" w:type="dxa"/>
            <w:vAlign w:val="bottom"/>
          </w:tcPr>
          <w:p>
            <w:pPr>
              <w:ind w:left="360"/>
              <w:spacing w:after="0"/>
              <w:rPr>
                <w:sz w:val="20"/>
                <w:szCs w:val="20"/>
                <w:color w:val="auto"/>
              </w:rPr>
            </w:pPr>
            <w:r>
              <w:rPr>
                <w:rFonts w:ascii="Arial" w:cs="Arial" w:eastAsia="Arial" w:hAnsi="Arial"/>
                <w:sz w:val="18"/>
                <w:szCs w:val="18"/>
                <w:color w:val="auto"/>
              </w:rPr>
              <w:t>Unrecognized net loss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Recognized as a component of net pension expense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8"/>
                <w:szCs w:val="18"/>
                <w:color w:val="auto"/>
              </w:rPr>
              <w:t>At December 31, 2021, anticipated benefit payments from the plan in future years are as follows:</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9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2027-2031</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CME maintains a defined contribution savings plan pursuant to Section 401(k) of the Internal Revenue Code, whereby all U.S.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are participants and have the option to contribute to this plan. CME matches employee contributions up to 3% of the employee's base salary and may make additional discretionary contributions.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plan for U.S. employees, the company maintains defined contribution savings plans for employees in international locations.</w:t>
      </w:r>
    </w:p>
    <w:p>
      <w:pPr>
        <w:spacing w:after="0" w:line="1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Aggregate expense for all of the defined contribution savings plans amounted to $24.7 million, $27.7 million and $23.6 million in 2021, 2020 and 2019, respectively.</w:t>
      </w:r>
    </w:p>
    <w:p>
      <w:pPr>
        <w:spacing w:after="0" w:line="5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CME Non-Qualified Plans. </w:t>
      </w:r>
      <w:r>
        <w:rPr>
          <w:rFonts w:ascii="Arial" w:cs="Arial" w:eastAsia="Arial" w:hAnsi="Arial"/>
          <w:sz w:val="18"/>
          <w:szCs w:val="18"/>
          <w:color w:val="auto"/>
        </w:rPr>
        <w:t>CME maintains non-qualified plans, under which participants may make assumed investment choices with respect to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contributed on their behalf. Although not required to do so, CME invests such contributions in assets that mirror the assumed investment choices. The balances in these plans are subject to the claims of general creditors of the company and totaled $98.6 million and $82.6 million at December 31, 2021 and 2020, respectively. Although the value of the plans is recorded as an asset in marketable securities on the consolidated balance sheets, there is an equal and offsetting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liability. The investment results of these plans have no impact on net income as the investment results are recorded in equal amounts to both investment income and compensation and benefits expense. The non-qualified plans include the following:</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Supplemental Savings Plan. </w:t>
      </w:r>
      <w:r>
        <w:rPr>
          <w:rFonts w:ascii="Arial" w:cs="Arial" w:eastAsia="Arial" w:hAnsi="Arial"/>
          <w:sz w:val="16"/>
          <w:szCs w:val="16"/>
          <w:color w:val="auto"/>
        </w:rPr>
        <w:t>CME maintains a supplemental plan to provide benefits for employees who have been impacted by statutory limits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qualified pension and savings plan. Employees in this plan are subject to the vesting requirements of the underlying qualified plans.</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A deferred compensation plan is maintained by CME, under which eligible employees and members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contribute a percentage of their compensation and defer income taxes thereon until the time of distribution.</w:t>
      </w:r>
    </w:p>
    <w:p>
      <w:pPr>
        <w:spacing w:after="0" w:line="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COMEX Members' Retirement Plan and Benefits. </w:t>
      </w:r>
      <w:r>
        <w:rPr>
          <w:rFonts w:ascii="Arial" w:cs="Arial" w:eastAsia="Arial" w:hAnsi="Arial"/>
          <w:sz w:val="16"/>
          <w:szCs w:val="16"/>
          <w:color w:val="auto"/>
        </w:rPr>
        <w:t>COMEX maintains a non-qualified retirement and benefit plan under the COMEX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Retirement Plan and Benefits plan (MRRP). This plan 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All benefits to be paid under the MRRP are based on reasonable actuarial assumptions, which are based upon the amounts that are available and are expected to be available to pay benefits. There were no contributions to the plan in 2021, 2020 and 2019. At December 31, 2021 and 2020, the obligation for the MRRP totaled $13.5 million and $15.7 million, respectively. Assets with a fair value of $16.6 million and $19.0 million have been allocated to this plan at December 31, 2021 and 2020, respectively, and are included in marketable securities and cash and cash equivalents on the consolidated balance sheets. The balances in this plan are subject to the claims of general creditors of COMEX.</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1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The company has operating leases for datacenters and corporate offices. The operating leases have remaining lease terms of up to 16 years, some</w:t>
      </w:r>
      <w:r>
        <w:rPr>
          <w:rFonts w:ascii="Arial" w:cs="Arial" w:eastAsia="Arial" w:hAnsi="Arial"/>
          <w:sz w:val="16"/>
          <w:szCs w:val="16"/>
          <w:b w:val="1"/>
          <w:bCs w:val="1"/>
          <w:color w:val="auto"/>
        </w:rPr>
        <w:t xml:space="preserve"> </w:t>
      </w:r>
      <w:r>
        <w:rPr>
          <w:rFonts w:ascii="Arial" w:cs="Arial" w:eastAsia="Arial" w:hAnsi="Arial"/>
          <w:sz w:val="16"/>
          <w:szCs w:val="16"/>
          <w:color w:val="auto"/>
        </w:rPr>
        <w:t>of which include options to extend or renew the leases for up to an additional five years, and some of which include options to early terminate the leases in less than 12 months. Management evaluates the exercisability of these options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also has one finance lease, which is related to the sale of our datacenter in March 2016. In connection with the sale, the company leased back a portion of the property. The sale leaseback transaction was recognized under the financing method and not as a sale leaseback arrangement. In November 2021, the company sold a building in Chicago and subsequently entered into a leaseback arrangement for this property. This lease is classified as an operating lease.</w:t>
      </w:r>
    </w:p>
    <w:p>
      <w:pPr>
        <w:spacing w:after="0" w:line="5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right-of-use lease asset is recorded within other assets, and the present value of the lease liability is recorded within other liabilities (segregated between short-term and long-term) on the consolidated balance sheets. The discount rate applied to the lease payments represents the company's incremental borrowing rate. The company has elected to utilize the short-term lease exception as prescribed in the leasing standard, such that the company has not capitalized on the balance sheet a lease asset or lease liability associated with leases with terms of 12 months or less from the commencement date.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 for the years ended December 31, 2021 and 2020:</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4860" w:type="dxa"/>
            <w:vAlign w:val="bottom"/>
          </w:tcPr>
          <w:p>
            <w:pPr>
              <w:jc w:val="right"/>
              <w:ind w:right="788"/>
              <w:spacing w:after="0"/>
              <w:rPr>
                <w:sz w:val="20"/>
                <w:szCs w:val="20"/>
                <w:color w:val="auto"/>
              </w:rPr>
            </w:pPr>
            <w:r>
              <w:rPr>
                <w:rFonts w:ascii="Arial" w:cs="Arial" w:eastAsia="Arial" w:hAnsi="Arial"/>
                <w:sz w:val="14"/>
                <w:szCs w:val="14"/>
                <w:b w:val="1"/>
                <w:bCs w:val="1"/>
                <w:color w:val="auto"/>
              </w:rPr>
              <w:t>2021</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 lease cost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operating lease expense included in other expense</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Depreciation expense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finance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63.2</w:t>
            </w:r>
          </w:p>
        </w:tc>
        <w:tc>
          <w:tcPr>
            <w:tcW w:w="8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7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63.9</w:t>
            </w:r>
          </w:p>
        </w:tc>
        <w:tc>
          <w:tcPr>
            <w:tcW w:w="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27"/>
        </w:trPr>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8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20" w:space="720"/>
            <w:col w:w="3800"/>
          </w:cols>
          <w:pgMar w:left="320" w:top="122" w:right="339" w:bottom="1440" w:gutter="0" w:footer="0" w:header="0"/>
          <w:type w:val="continuous"/>
        </w:sectPr>
      </w:pPr>
    </w:p>
    <w:p>
      <w:pPr>
        <w:spacing w:after="0" w:line="42" w:lineRule="exact"/>
        <w:rPr>
          <w:sz w:val="20"/>
          <w:szCs w:val="20"/>
          <w:color w:val="auto"/>
        </w:rPr>
      </w:pPr>
    </w:p>
    <w:p>
      <w:pPr>
        <w:ind w:left="20"/>
        <w:spacing w:after="0"/>
        <w:tabs>
          <w:tab w:leader="none" w:pos="7440" w:val="left"/>
          <w:tab w:leader="none" w:pos="8840" w:val="left"/>
          <w:tab w:leader="none" w:pos="9420" w:val="left"/>
          <w:tab w:leader="none" w:pos="10840" w:val="left"/>
        </w:tabs>
        <w:rPr>
          <w:sz w:val="20"/>
          <w:szCs w:val="20"/>
          <w:color w:val="auto"/>
        </w:rPr>
      </w:pPr>
      <w:r>
        <w:rPr>
          <w:rFonts w:ascii="Arial" w:cs="Arial" w:eastAsia="Arial" w:hAnsi="Arial"/>
          <w:sz w:val="18"/>
          <w:szCs w:val="18"/>
          <w:color w:val="auto"/>
        </w:rPr>
        <w:t>Sublease revenue included in other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10.4</w:t>
        <w:tab/>
        <w:t>$</w:t>
      </w:r>
      <w:r>
        <w:rPr>
          <w:sz w:val="20"/>
          <w:szCs w:val="20"/>
          <w:color w:val="auto"/>
        </w:rPr>
        <w:tab/>
      </w:r>
      <w:r>
        <w:rPr>
          <w:rFonts w:ascii="Arial" w:cs="Arial" w:eastAsia="Arial" w:hAnsi="Arial"/>
          <w:sz w:val="15"/>
          <w:szCs w:val="15"/>
          <w:color w:val="auto"/>
        </w:rPr>
        <w:t>13.3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for years ended December 31,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9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Cash outflows for operating leases</w:t>
            </w:r>
          </w:p>
        </w:tc>
        <w:tc>
          <w:tcPr>
            <w:tcW w:w="2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64.2</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outflows for finance leases</w:t>
            </w:r>
          </w:p>
        </w:tc>
        <w:tc>
          <w:tcPr>
            <w:tcW w:w="29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17.0</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 as of December 31,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345.3</w:t>
            </w:r>
          </w:p>
        </w:tc>
        <w:tc>
          <w:tcPr>
            <w:tcW w:w="16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390.3</w:t>
            </w:r>
          </w:p>
        </w:tc>
      </w:tr>
      <w:tr>
        <w:trPr>
          <w:trHeight w:val="270"/>
        </w:trPr>
        <w:tc>
          <w:tcPr>
            <w:tcW w:w="7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44.5</w:t>
            </w:r>
          </w:p>
        </w:tc>
      </w:tr>
      <w:tr>
        <w:trPr>
          <w:trHeight w:val="229"/>
        </w:trPr>
        <w:tc>
          <w:tcPr>
            <w:tcW w:w="7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449.4</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492.2</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496.7</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536.7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months)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3.9 %</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3.9 %</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auto"/>
            </w:tcBorders>
          </w:tcPr>
          <w:p>
            <w:pPr>
              <w:spacing w:after="0"/>
              <w:rPr>
                <w:sz w:val="16"/>
                <w:szCs w:val="16"/>
                <w:color w:val="auto"/>
              </w:rPr>
            </w:pPr>
          </w:p>
        </w:tc>
        <w:tc>
          <w:tcPr>
            <w:tcW w:w="7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80.2</w:t>
            </w:r>
          </w:p>
        </w:tc>
        <w:tc>
          <w:tcPr>
            <w:tcW w:w="1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88.8</w:t>
            </w:r>
          </w:p>
        </w:tc>
        <w:tc>
          <w:tcPr>
            <w:tcW w:w="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340" w:type="dxa"/>
            <w:vAlign w:val="bottom"/>
            <w:gridSpan w:val="3"/>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83.8</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Total finance lease liabilities</w:t>
            </w: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9"/>
                <w:szCs w:val="19"/>
                <w:color w:val="auto"/>
              </w:rPr>
            </w:pPr>
          </w:p>
        </w:tc>
        <w:tc>
          <w:tcPr>
            <w:tcW w:w="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91.5</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Weighted average remaining lease term (in months)</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0" w:type="dxa"/>
            <w:vAlign w:val="bottom"/>
            <w:shd w:val="clear" w:color="auto" w:fill="CCEEFF"/>
          </w:tcPr>
          <w:p>
            <w:pPr>
              <w:spacing w:after="0"/>
              <w:rPr>
                <w:sz w:val="19"/>
                <w:szCs w:val="19"/>
                <w:color w:val="auto"/>
              </w:rPr>
            </w:pPr>
          </w:p>
        </w:tc>
      </w:tr>
      <w:tr>
        <w:trPr>
          <w:trHeight w:val="432"/>
        </w:trPr>
        <w:tc>
          <w:tcPr>
            <w:tcW w:w="790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Future minimum lease payments were as follows as of December 31, 2021 for operating and finance leases: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72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Operating Leases</w:t>
            </w:r>
          </w:p>
        </w:tc>
      </w:tr>
      <w:tr>
        <w:trPr>
          <w:trHeight w:val="229"/>
        </w:trPr>
        <w:tc>
          <w:tcPr>
            <w:tcW w:w="72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2022</w:t>
            </w:r>
          </w:p>
        </w:tc>
        <w:tc>
          <w:tcPr>
            <w:tcW w:w="6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19"/>
                <w:szCs w:val="19"/>
                <w:color w:val="auto"/>
              </w:rPr>
            </w:pPr>
          </w:p>
        </w:tc>
      </w:tr>
      <w:tr>
        <w:trPr>
          <w:trHeight w:val="22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9"/>
                <w:szCs w:val="19"/>
                <w:color w:val="auto"/>
              </w:rPr>
            </w:pPr>
          </w:p>
        </w:tc>
      </w:tr>
      <w:tr>
        <w:trPr>
          <w:trHeight w:val="229"/>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9"/>
                <w:szCs w:val="19"/>
                <w:color w:val="auto"/>
              </w:rPr>
            </w:pPr>
          </w:p>
        </w:tc>
      </w:tr>
      <w:tr>
        <w:trPr>
          <w:trHeight w:val="23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9"/>
                <w:szCs w:val="19"/>
                <w:color w:val="auto"/>
              </w:rPr>
            </w:pPr>
          </w:p>
        </w:tc>
      </w:tr>
      <w:tr>
        <w:trPr>
          <w:trHeight w:val="229"/>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Total lease payments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613.6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Present value of lease liability</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4"/>
        </w:trPr>
        <w:tc>
          <w:tcPr>
            <w:tcW w:w="2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Finance Lease</w:t>
            </w:r>
          </w:p>
        </w:tc>
      </w:tr>
      <w:tr>
        <w:trPr>
          <w:trHeight w:val="229"/>
        </w:trPr>
        <w:tc>
          <w:tcPr>
            <w:tcW w:w="20" w:type="dxa"/>
            <w:vAlign w:val="bottom"/>
          </w:tcPr>
          <w:p>
            <w:pPr>
              <w:spacing w:after="0"/>
              <w:rPr>
                <w:sz w:val="19"/>
                <w:szCs w:val="19"/>
                <w:color w:val="auto"/>
              </w:rPr>
            </w:pPr>
          </w:p>
        </w:tc>
        <w:tc>
          <w:tcPr>
            <w:tcW w:w="7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2022</w:t>
            </w:r>
          </w:p>
        </w:tc>
        <w:tc>
          <w:tcPr>
            <w:tcW w:w="6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2024</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2026</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Present value of lease liability</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the normal course of business, the company discusses matters with its regulators raised during regulatory examinations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5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 putative class action complaint was filed January 15, 2014 in the Circuit Court of Cook County, Chancery Division, against CME Group Inc. and the Board of Trade of the City of Chicago, Inc. The plaintiffs, certain Class B shareholders of CME Group 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No trial date has been set. Given the uncertainty of factors that may potentially impact the resolution of the matter, at this time the company is unable to estimate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940"/>
        <w:spacing w:after="0" w:line="246" w:lineRule="auto"/>
        <w:rPr>
          <w:sz w:val="20"/>
          <w:szCs w:val="20"/>
          <w:color w:val="auto"/>
        </w:rPr>
      </w:pPr>
      <w:r>
        <w:rPr>
          <w:rFonts w:ascii="Arial" w:cs="Arial" w:eastAsia="Arial" w:hAnsi="Arial"/>
          <w:sz w:val="18"/>
          <w:szCs w:val="18"/>
          <w:color w:val="auto"/>
        </w:rPr>
        <w:t>reasonably possible loss or range of reasonably possible losses in the unlikely event it were found to be liable at trial in the matter. Based on its investigation to date, the company believes that it has strong factual and legal defenses to the claims.</w:t>
      </w:r>
    </w:p>
    <w:p>
      <w:pPr>
        <w:spacing w:after="0" w:line="35" w:lineRule="exact"/>
        <w:rPr>
          <w:sz w:val="20"/>
          <w:szCs w:val="20"/>
          <w:color w:val="auto"/>
        </w:rPr>
      </w:pPr>
    </w:p>
    <w:p>
      <w:pPr>
        <w:jc w:val="both"/>
        <w:ind w:right="460"/>
        <w:spacing w:after="0" w:line="276" w:lineRule="auto"/>
        <w:rPr>
          <w:sz w:val="20"/>
          <w:szCs w:val="20"/>
          <w:color w:val="auto"/>
        </w:rPr>
      </w:pPr>
      <w:r>
        <w:rPr>
          <w:rFonts w:ascii="Arial" w:cs="Arial" w:eastAsia="Arial" w:hAnsi="Arial"/>
          <w:sz w:val="16"/>
          <w:szCs w:val="16"/>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No accrual was required for contingent legal and regulatory matters as none were probable and estimable as of December 31, 2021 and 2020.</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Group platforms, utilizing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GUARANTEES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Mutual Offset Agreement. </w:t>
      </w:r>
      <w:r>
        <w:rPr>
          <w:rFonts w:ascii="Arial" w:cs="Arial" w:eastAsia="Arial" w:hAnsi="Arial"/>
          <w:sz w:val="17"/>
          <w:szCs w:val="17"/>
          <w:color w:val="auto"/>
        </w:rPr>
        <w:t>CME and Singapore Exchange Limited (SGX) maintain a mutual offset agreement with a current term through May 2023.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enables market participants to open a futures position on one exchange and liquidate it on the other. The term of the agreement will automatically renew for a one-year period after May 2023 unless either party provides advance notice of its intent to terminate. CME can maintain collateral in the form of irrevocable, standby letters of credit. At December 31, 2021, CME was contingently liable to SGX on irrevocable letters of credit totaling $330.0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December 31, 2021.</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Family Farmer and Rancher Protection Fund. </w:t>
      </w:r>
      <w:r>
        <w:rPr>
          <w:rFonts w:ascii="Arial" w:cs="Arial" w:eastAsia="Arial" w:hAnsi="Arial"/>
          <w:sz w:val="16"/>
          <w:szCs w:val="16"/>
          <w:color w:val="auto"/>
        </w:rPr>
        <w:t>In 2012, the company established the Family Farmer and Rancher Protection Fund (the Fund). The Fund 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designed to provide payments, up to certain maximum levels, to family farmers, ranchers and other agricultural industry participants who use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agricultural products and who suffer losses to their segregated account balances due to their CME clearing member becoming insolvent.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the Fund, farmers and ranchers are eligible for up to $25,000 per participant. Farming and ranching cooperatives are eligible for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per cooperative. The Fund has an aggregate maximum payment amount of $100.0 million. Since its establishment, the Fund has made payments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approximately $2.0 million, which leaves $98.0 million available for future claims. If payments to participants were to exceed this amount, payments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would be pro-rated. Clearing members and customers must register in advance with the company and provide certain documentation in order to substantiate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their eligibility. The company believes that its guarantee liability is nominal and therefore has not recorded any liability at December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The following table presents information regarding capital stock:</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0" w:type="dxa"/>
            <w:vAlign w:val="bottom"/>
            <w:tcBorders>
              <w:bottom w:val="single" w:sz="8" w:color="auto"/>
            </w:tcBorders>
          </w:tcPr>
          <w:p>
            <w:pPr>
              <w:jc w:val="right"/>
              <w:ind w:right="1054"/>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authorized</w:t>
            </w:r>
          </w:p>
        </w:tc>
        <w:tc>
          <w:tcPr>
            <w:tcW w:w="20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Preferred stock issued and outstanding</w:t>
            </w:r>
          </w:p>
        </w:tc>
        <w:tc>
          <w:tcPr>
            <w:tcW w:w="2000" w:type="dxa"/>
            <w:vAlign w:val="bottom"/>
          </w:tcPr>
          <w:p>
            <w:pPr>
              <w:jc w:val="right"/>
              <w:ind w:right="494"/>
              <w:spacing w:after="0"/>
              <w:rPr>
                <w:sz w:val="20"/>
                <w:szCs w:val="20"/>
                <w:color w:val="auto"/>
              </w:rPr>
            </w:pPr>
            <w:r>
              <w:rPr>
                <w:rFonts w:ascii="Arial" w:cs="Arial" w:eastAsia="Arial" w:hAnsi="Arial"/>
                <w:sz w:val="18"/>
                <w:szCs w:val="18"/>
                <w:color w:val="auto"/>
              </w:rPr>
              <w:t>4,584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authorized</w:t>
            </w:r>
          </w:p>
        </w:tc>
        <w:tc>
          <w:tcPr>
            <w:tcW w:w="20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1,000,000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Class A common stock issued and outstanding</w:t>
            </w:r>
          </w:p>
        </w:tc>
        <w:tc>
          <w:tcPr>
            <w:tcW w:w="2000" w:type="dxa"/>
            <w:vAlign w:val="bottom"/>
          </w:tcPr>
          <w:p>
            <w:pPr>
              <w:jc w:val="right"/>
              <w:ind w:right="494"/>
              <w:spacing w:after="0"/>
              <w:rPr>
                <w:sz w:val="20"/>
                <w:szCs w:val="20"/>
                <w:color w:val="auto"/>
              </w:rPr>
            </w:pPr>
            <w:r>
              <w:rPr>
                <w:rFonts w:ascii="Arial" w:cs="Arial" w:eastAsia="Arial" w:hAnsi="Arial"/>
                <w:sz w:val="18"/>
                <w:szCs w:val="18"/>
                <w:color w:val="auto"/>
              </w:rPr>
              <w:t>358,599</w:t>
            </w:r>
          </w:p>
        </w:tc>
        <w:tc>
          <w:tcPr>
            <w:tcW w:w="980" w:type="dxa"/>
            <w:vAlign w:val="bottom"/>
          </w:tcPr>
          <w:p>
            <w:pPr>
              <w:jc w:val="right"/>
              <w:spacing w:after="0"/>
              <w:rPr>
                <w:sz w:val="20"/>
                <w:szCs w:val="20"/>
                <w:color w:val="auto"/>
              </w:rPr>
            </w:pPr>
            <w:r>
              <w:rPr>
                <w:rFonts w:ascii="Arial" w:cs="Arial" w:eastAsia="Arial" w:hAnsi="Arial"/>
                <w:sz w:val="18"/>
                <w:szCs w:val="18"/>
                <w:color w:val="auto"/>
              </w:rPr>
              <w:t>358,110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B-1 common stock authorized, issued and outstanding</w:t>
            </w:r>
          </w:p>
        </w:tc>
        <w:tc>
          <w:tcPr>
            <w:tcW w:w="20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0.6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Class B-2 common stock authorized, issued and outstanding</w:t>
            </w:r>
          </w:p>
        </w:tc>
        <w:tc>
          <w:tcPr>
            <w:tcW w:w="2000" w:type="dxa"/>
            <w:vAlign w:val="bottom"/>
          </w:tcPr>
          <w:p>
            <w:pPr>
              <w:jc w:val="right"/>
              <w:ind w:right="494"/>
              <w:spacing w:after="0"/>
              <w:rPr>
                <w:sz w:val="20"/>
                <w:szCs w:val="20"/>
                <w:color w:val="auto"/>
              </w:rPr>
            </w:pPr>
            <w:r>
              <w:rPr>
                <w:rFonts w:ascii="Arial" w:cs="Arial" w:eastAsia="Arial" w:hAnsi="Arial"/>
                <w:sz w:val="18"/>
                <w:szCs w:val="18"/>
                <w:color w:val="auto"/>
              </w:rPr>
              <w:t>0.8</w:t>
            </w: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B-3 common stock authorized, issued and outstanding</w:t>
            </w:r>
          </w:p>
        </w:tc>
        <w:tc>
          <w:tcPr>
            <w:tcW w:w="20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Class B-4 common stock authorized, issued and outstanding</w:t>
            </w:r>
          </w:p>
        </w:tc>
        <w:tc>
          <w:tcPr>
            <w:tcW w:w="2000" w:type="dxa"/>
            <w:vAlign w:val="bottom"/>
          </w:tcPr>
          <w:p>
            <w:pPr>
              <w:jc w:val="right"/>
              <w:ind w:right="494"/>
              <w:spacing w:after="0"/>
              <w:rPr>
                <w:sz w:val="20"/>
                <w:szCs w:val="20"/>
                <w:color w:val="auto"/>
              </w:rPr>
            </w:pPr>
            <w:r>
              <w:rPr>
                <w:rFonts w:ascii="Arial" w:cs="Arial" w:eastAsia="Arial" w:hAnsi="Arial"/>
                <w:sz w:val="18"/>
                <w:szCs w:val="18"/>
                <w:color w:val="auto"/>
              </w:rPr>
              <w:t>0.4</w:t>
            </w: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183"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In November 2021, CME Group issued and sold in a private placement to Google LLC 4.6 million shares of Series G Non-Voting</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Preferred Stock (Series G preferred stock) for an aggregate purchase price of approximately $1.0 billion in cash. The Series G preferred stock is non-voting and is convertible into Class A common stock at a specified conversation rate, which is initially 1:1. The Series G preferred stock ranks on a parity basis with the Class A common stock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with respect to dividend and liquidation rights and will therefore participate in the earnings and losses of CME Group on the same basis as Class A common stock.</w:t>
      </w:r>
    </w:p>
    <w:p>
      <w:pPr>
        <w:spacing w:after="0" w:line="7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 xml:space="preserve">Associated Trading Rights. </w:t>
      </w:r>
      <w:r>
        <w:rPr>
          <w:rFonts w:ascii="Arial" w:cs="Arial" w:eastAsia="Arial" w:hAnsi="Arial"/>
          <w:sz w:val="17"/>
          <w:szCs w:val="17"/>
          <w:color w:val="auto"/>
        </w:rPr>
        <w:t>Members of CME, CBOT, NYMEX and COMEX own or lease trading rights which entitle them to access open outcry</w:t>
      </w:r>
      <w:r>
        <w:rPr>
          <w:rFonts w:ascii="Arial" w:cs="Arial" w:eastAsia="Arial" w:hAnsi="Arial"/>
          <w:sz w:val="17"/>
          <w:szCs w:val="17"/>
          <w:b w:val="1"/>
          <w:bCs w:val="1"/>
          <w:color w:val="auto"/>
        </w:rPr>
        <w:t xml:space="preserve"> </w:t>
      </w:r>
      <w:r>
        <w:rPr>
          <w:rFonts w:ascii="Arial" w:cs="Arial" w:eastAsia="Arial" w:hAnsi="Arial"/>
          <w:sz w:val="17"/>
          <w:szCs w:val="17"/>
          <w:color w:val="auto"/>
        </w:rPr>
        <w:t>trading, discounts on trading fees and the right to vote on certain matters as provided for by the rules of the particular exchange and CME Group's or the subsidiary's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the election of six members to the board of directors and approval rights with respect to the core rights described below.</w:t>
      </w:r>
    </w:p>
    <w:p>
      <w:pPr>
        <w:spacing w:after="0" w:line="6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Trading rights at CBOT are evidenced by Class B memberships in CBOT, at NYMEX by Class A memberships in NYMEX and at COMEX by COMEX Division Memberships. Members of CBOT, NYMEX and COMEX do not have any rights to elect members of the board of directors and are not entitled to receive dividends or other distributions on their memberships or trading permits.</w:t>
      </w:r>
    </w:p>
    <w:p>
      <w:pPr>
        <w:spacing w:after="0" w:line="72"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Core Rights. </w:t>
      </w:r>
      <w:r>
        <w:rPr>
          <w:rFonts w:ascii="Arial" w:cs="Arial" w:eastAsia="Arial" w:hAnsi="Arial"/>
          <w:sz w:val="17"/>
          <w:szCs w:val="17"/>
          <w:color w:val="auto"/>
        </w:rPr>
        <w:t>Holders of CME Group Class B common shares have the right to approve changes in specified rights relating to the trading privileges at</w:t>
      </w:r>
      <w:r>
        <w:rPr>
          <w:rFonts w:ascii="Arial" w:cs="Arial" w:eastAsia="Arial" w:hAnsi="Arial"/>
          <w:sz w:val="17"/>
          <w:szCs w:val="17"/>
          <w:b w:val="1"/>
          <w:bCs w:val="1"/>
          <w:color w:val="auto"/>
        </w:rPr>
        <w:t xml:space="preserve"> </w:t>
      </w:r>
      <w:r>
        <w:rPr>
          <w:rFonts w:ascii="Arial" w:cs="Arial" w:eastAsia="Arial" w:hAnsi="Arial"/>
          <w:sz w:val="17"/>
          <w:szCs w:val="17"/>
          <w:color w:val="auto"/>
        </w:rPr>
        <w:t>CME associated with those shares. These core rights relate primarily to trading right protections, certain trading fee protections and certain membership benefit protections.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65"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 xml:space="preserve">Voting Rights. </w:t>
      </w:r>
      <w:r>
        <w:rPr>
          <w:rFonts w:ascii="Arial" w:cs="Arial" w:eastAsia="Arial" w:hAnsi="Arial"/>
          <w:sz w:val="17"/>
          <w:szCs w:val="17"/>
          <w:color w:val="auto"/>
        </w:rPr>
        <w:t>With the exception of the matters reserved to holders of CME Group Class B common stock, holders of CME Group common stock vote</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on all matters for which a vote of common shareholders is required. In these votes, each holder of shares of Class A or Class B common stock of CME Group has one vote per share. The holder of Series G preferred stock does not have any voting rights.</w:t>
      </w:r>
    </w:p>
    <w:p>
      <w:pPr>
        <w:spacing w:after="0" w:line="50"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Each class of CME Group Class B common stock is subject to transfer restrictions contained in the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CME Group. These transfer restrictions prohibit the sale or transfer of any shares of Class B common stock separate from the sale of the associated trading rights.</w:t>
      </w:r>
    </w:p>
    <w:p>
      <w:pPr>
        <w:spacing w:after="0" w:line="68"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Election of Directors. </w:t>
      </w:r>
      <w:r>
        <w:rPr>
          <w:rFonts w:ascii="Arial" w:cs="Arial" w:eastAsia="Arial" w:hAnsi="Arial"/>
          <w:sz w:val="17"/>
          <w:szCs w:val="17"/>
          <w:color w:val="auto"/>
        </w:rPr>
        <w:t>The CME Group board of directors is currently comprised of 23 members. Holders of Class B-1, Class B-2 and Class B-3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have the right to elect six directors, of which three are elected by Class B-1 shareholders, two are elected by Class B-2 shareholders and one is elected by Class B-3 shareholders. The remaining directors are elected by the Class A and Class B shareholders voting as a single class.</w:t>
      </w:r>
    </w:p>
    <w:p>
      <w:pPr>
        <w:spacing w:after="0" w:line="50"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Class A and Class B common stock and Series G preferred stock of CME Group are entitled to receive proportionately such</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if any, as may be declared by the CME Group board of directors.</w:t>
      </w:r>
    </w:p>
    <w:p>
      <w:pPr>
        <w:spacing w:after="0" w:line="54"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CME Group Omnibus Stock Plan. </w:t>
      </w:r>
      <w:r>
        <w:rPr>
          <w:rFonts w:ascii="Arial" w:cs="Arial" w:eastAsia="Arial" w:hAnsi="Arial"/>
          <w:sz w:val="18"/>
          <w:szCs w:val="18"/>
          <w:color w:val="auto"/>
        </w:rPr>
        <w:t>CME Group has adopted an Omnibus Stock Plan under which stock-based awards may be made to employees. A total</w:t>
      </w:r>
      <w:r>
        <w:rPr>
          <w:rFonts w:ascii="Arial" w:cs="Arial" w:eastAsia="Arial" w:hAnsi="Arial"/>
          <w:sz w:val="18"/>
          <w:szCs w:val="18"/>
          <w:b w:val="1"/>
          <w:bCs w:val="1"/>
          <w:color w:val="auto"/>
        </w:rPr>
        <w:t xml:space="preserve"> </w:t>
      </w:r>
      <w:r>
        <w:rPr>
          <w:rFonts w:ascii="Arial" w:cs="Arial" w:eastAsia="Arial" w:hAnsi="Arial"/>
          <w:sz w:val="18"/>
          <w:szCs w:val="18"/>
          <w:color w:val="auto"/>
        </w:rPr>
        <w:t>of 40.2 million Class A common stock shares have been reserved for awards under the plan. Awards totaling 25.1 million shares have been granted and are outstanding or have been exercised under this plan at December 31, 2021 (note 15).</w:t>
      </w:r>
    </w:p>
    <w:p>
      <w:pPr>
        <w:spacing w:after="0" w:line="68" w:lineRule="exact"/>
        <w:rPr>
          <w:sz w:val="20"/>
          <w:szCs w:val="20"/>
          <w:color w:val="auto"/>
        </w:rPr>
      </w:pPr>
    </w:p>
    <w:p>
      <w:pPr>
        <w:jc w:val="both"/>
        <w:ind w:right="520"/>
        <w:spacing w:after="0" w:line="266" w:lineRule="auto"/>
        <w:rPr>
          <w:sz w:val="20"/>
          <w:szCs w:val="20"/>
          <w:color w:val="auto"/>
        </w:rPr>
      </w:pPr>
      <w:r>
        <w:rPr>
          <w:rFonts w:ascii="Arial" w:cs="Arial" w:eastAsia="Arial" w:hAnsi="Arial"/>
          <w:sz w:val="18"/>
          <w:szCs w:val="18"/>
          <w:b w:val="1"/>
          <w:bCs w:val="1"/>
          <w:color w:val="auto"/>
        </w:rPr>
        <w:t xml:space="preserve">Director Stock Plan. </w:t>
      </w:r>
      <w:r>
        <w:rPr>
          <w:rFonts w:ascii="Arial" w:cs="Arial" w:eastAsia="Arial" w:hAnsi="Arial"/>
          <w:sz w:val="18"/>
          <w:szCs w:val="18"/>
          <w:color w:val="auto"/>
        </w:rPr>
        <w:t>CME Group has adopted a Director Stock Plan under which awards are made to non-executive directors as part of their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 total of 625,000 Class A shares have been reserved under this plan, and approximately 431,000 shares have been awarded through December 31, 2021.</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CME Group has adopted an Employee Stock Purchase Plan (ESPP) under which employees may purchase Class A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at 90% of the market value of the shares using after-tax payroll deductions. A total of 500,000 Class A shares have been reserved under this plan, of which approximately 390,000 shares have been purchased through December 31, 2021 (note 15).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PAYMENTS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CME Group adopted an Omnibus Stock Plan under which stock-based awards may be made to employees. A total of 40.2 million Class A shares have been reserved for awards under the plan. Awards totaling 25.1 million shares have been granted and are outstanding or have been exercised under the plan as of December 31, 2021. Awards granted generally vest over a four-year period, with 25% vesting one year after the grant date and on that same date in each of the following three years.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compensation expense for stock-based payments and total income tax benefit recognized on the consolidated statements of income for stock-based awards at December 31, 2021, 2020 and 2019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32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Income tax benefit recognized</w:t>
            </w:r>
          </w:p>
        </w:tc>
        <w:tc>
          <w:tcPr>
            <w:tcW w:w="3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104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w:t>
            </w:r>
          </w:p>
        </w:tc>
      </w:tr>
    </w:tbl>
    <w:p>
      <w:pPr>
        <w:spacing w:after="0" w:line="93"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At December 31, 2021, there was $135.0 million of total unrecognized compensation expense related to employee stock-based compensation arrangements that had not yet vested. The total unrecognized expense is expected to be recognized over a weighted average period of 2.2 years.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 options have not been granted since 2012. The following table summarizes stock option activity for 2021. Aggregate intrinsic value is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jc w:val="center"/>
              <w:ind w:left="364"/>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80" w:type="dxa"/>
            <w:vAlign w:val="bottom"/>
          </w:tcPr>
          <w:p>
            <w:pPr>
              <w:jc w:val="center"/>
              <w:ind w:left="364"/>
              <w:spacing w:after="0" w:line="135"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1"/>
                <w:szCs w:val="11"/>
                <w:color w:val="auto"/>
              </w:rPr>
            </w:pPr>
          </w:p>
        </w:tc>
        <w:tc>
          <w:tcPr>
            <w:tcW w:w="132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4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Number of Shares</w:t>
            </w:r>
          </w:p>
        </w:tc>
        <w:tc>
          <w:tcPr>
            <w:tcW w:w="1180" w:type="dxa"/>
            <w:vAlign w:val="bottom"/>
          </w:tcPr>
          <w:p>
            <w:pPr>
              <w:jc w:val="center"/>
              <w:ind w:left="384"/>
              <w:spacing w:after="0" w:line="135" w:lineRule="exact"/>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Contractual Life (in</w:t>
            </w:r>
          </w:p>
        </w:tc>
        <w:tc>
          <w:tcPr>
            <w:tcW w:w="1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102,823</w:t>
            </w:r>
          </w:p>
        </w:tc>
        <w:tc>
          <w:tcPr>
            <w:tcW w:w="1180" w:type="dxa"/>
            <w:vAlign w:val="bottom"/>
            <w:shd w:val="clear" w:color="auto" w:fill="CCEEFF"/>
          </w:tcPr>
          <w:p>
            <w:pPr>
              <w:jc w:val="right"/>
              <w:ind w:right="88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(101,363)</w:t>
            </w:r>
          </w:p>
        </w:tc>
        <w:tc>
          <w:tcPr>
            <w:tcW w:w="1180" w:type="dxa"/>
            <w:vAlign w:val="bottom"/>
          </w:tcPr>
          <w:p>
            <w:pPr>
              <w:spacing w:after="0"/>
              <w:rPr>
                <w:sz w:val="19"/>
                <w:szCs w:val="19"/>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180" w:type="dxa"/>
            <w:vAlign w:val="bottom"/>
          </w:tcPr>
          <w:p>
            <w:pPr>
              <w:spacing w:after="0"/>
              <w:rPr>
                <w:sz w:val="19"/>
                <w:szCs w:val="19"/>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154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during 2021, 2020 and 2019 was $15.0 million, $16.7 million and $23.1 million, respectively.</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2021, the company granted 349,279 shares of restricted Class A common stock and 11,384 shares of restricted stock units. Restricted common stock and restricted stock units generally have a vesting period of two to four years. The fair value related to these grants was $68.4 million, which is recognized as compensation expense on an accelerated basis over the vesting period. Dividends are accrued on restricted Class A common stock and restricted stock units and are paid once the restricted stock vests. In 2021, the company also granted 138,969 performance shares. The fair value related to these grants was $32.6 million, which is recognized as compensation expense on a straight-lined basis over the vesting period. The vesting of these shares is contingent on meeting stated performance or market conditions, generally measured over a three-year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restricted stock units and performance shares activity for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5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Number of Shares</w:t>
            </w:r>
          </w:p>
        </w:tc>
        <w:tc>
          <w:tcPr>
            <w:tcW w:w="380" w:type="dxa"/>
            <w:vAlign w:val="bottom"/>
          </w:tcPr>
          <w:p>
            <w:pPr>
              <w:spacing w:after="0"/>
              <w:rPr>
                <w:sz w:val="11"/>
                <w:szCs w:val="11"/>
                <w:color w:val="auto"/>
              </w:rPr>
            </w:pPr>
          </w:p>
        </w:tc>
        <w:tc>
          <w:tcPr>
            <w:tcW w:w="126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0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1,264,287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499,632</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(335,411)</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(313,453)</w:t>
            </w:r>
          </w:p>
        </w:tc>
        <w:tc>
          <w:tcPr>
            <w:tcW w:w="3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1,115,055</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total fair value of restricted stock, restricted stock units and performance shares that vested during 2021, 2020 and 2019 was $65.7 million, $79.4 million and $77.7 million, respectively.</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Under the ESPP, eligible employees may acquire shares of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Global Select Market. Compensation expense is recognized on the dates of purchase for the discount from the closing price. In 2021, 2020 and 2019, a total of 37,861, 44,029 and 26,134 shares, respectively, of Class A common stock were issued to participating employees. These shares are subject to a six-month holding period. Annual expense of $0.8 million for the purchase discount was recognized in 2021, $0.8 million was recognized in 2020 and $0.5 million was recognized in 2019.</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2021, non-executive directors received an annual award of Class A common stock with a value equal to $120,000. Non-executive directors could also elect to receive some or all of the cash portion of their annual stipend, up to $80,000, in shares of stock based on the closing price at the date of distribution. In 2022, non-execute directors will receive an annual award of Class A common stock with a value equal to $145,000 and a cash stipend of $95,000. As a result, 13,769 shares, 17,322 shares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16,328 shares of Class A common stock were issued to non-executive directors during 2021, 2020 and 2019, respectively. These shares are not subject to any vesting restrictions. Expense of $2.9 million, $3.1 million and $3.0 million related to these stock-based payments was recognized for the years ended December 31, 2021, 2020 and 2019,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INCOME (LOSS)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and reclassifications out of accumulated other comprehensive income (loss):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Derivative</w:t>
            </w:r>
          </w:p>
        </w:tc>
        <w:tc>
          <w:tcPr>
            <w:tcW w:w="20" w:type="dxa"/>
            <w:vAlign w:val="bottom"/>
          </w:tcPr>
          <w:p>
            <w:pPr>
              <w:spacing w:after="0"/>
              <w:rPr>
                <w:sz w:val="14"/>
                <w:szCs w:val="14"/>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Foreign Currency</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44"/>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Other comprehensive income before reclassifications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center"/>
              <w:ind w:left="615"/>
              <w:spacing w:after="0"/>
              <w:rPr>
                <w:sz w:val="20"/>
                <w:szCs w:val="20"/>
                <w:color w:val="auto"/>
              </w:rPr>
            </w:pPr>
            <w:r>
              <w:rPr>
                <w:rFonts w:ascii="Arial" w:cs="Arial" w:eastAsia="Arial" w:hAnsi="Arial"/>
                <w:sz w:val="18"/>
                <w:szCs w:val="18"/>
                <w:color w:val="auto"/>
                <w:w w:val="91"/>
              </w:rPr>
              <w:t>(1.2)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(40.3)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left="615"/>
              <w:spacing w:after="0"/>
              <w:rPr>
                <w:sz w:val="20"/>
                <w:szCs w:val="20"/>
                <w:color w:val="auto"/>
              </w:rPr>
            </w:pPr>
            <w:r>
              <w:rPr>
                <w:rFonts w:ascii="Arial" w:cs="Arial" w:eastAsia="Arial" w:hAnsi="Arial"/>
                <w:sz w:val="18"/>
                <w:szCs w:val="18"/>
                <w:color w:val="auto"/>
                <w:w w:val="91"/>
              </w:rPr>
              <w:t>(0.9)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Derivative</w:t>
            </w:r>
          </w:p>
        </w:tc>
        <w:tc>
          <w:tcPr>
            <w:tcW w:w="20" w:type="dxa"/>
            <w:vAlign w:val="bottom"/>
          </w:tcPr>
          <w:p>
            <w:pPr>
              <w:spacing w:after="0"/>
              <w:rPr>
                <w:sz w:val="24"/>
                <w:szCs w:val="24"/>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Foreign Currency</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44"/>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Other comprehensive income before reclassifications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center"/>
              <w:ind w:left="615"/>
              <w:spacing w:after="0"/>
              <w:rPr>
                <w:sz w:val="20"/>
                <w:szCs w:val="20"/>
                <w:color w:val="auto"/>
              </w:rPr>
            </w:pPr>
            <w:r>
              <w:rPr>
                <w:rFonts w:ascii="Arial" w:cs="Arial" w:eastAsia="Arial" w:hAnsi="Arial"/>
                <w:sz w:val="18"/>
                <w:szCs w:val="18"/>
                <w:color w:val="auto"/>
                <w:w w:val="91"/>
              </w:rPr>
              <w:t>(2.7)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left="615"/>
              <w:spacing w:after="0"/>
              <w:rPr>
                <w:sz w:val="20"/>
                <w:szCs w:val="20"/>
                <w:color w:val="auto"/>
              </w:rPr>
            </w:pPr>
            <w:r>
              <w:rPr>
                <w:rFonts w:ascii="Arial" w:cs="Arial" w:eastAsia="Arial" w:hAnsi="Arial"/>
                <w:sz w:val="18"/>
                <w:szCs w:val="18"/>
                <w:color w:val="auto"/>
                <w:w w:val="91"/>
              </w:rPr>
              <w:t>(2.0)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Defined Benefit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20" w:type="dxa"/>
            <w:vAlign w:val="bottom"/>
          </w:tcPr>
          <w:p>
            <w:pPr>
              <w:spacing w:after="0"/>
              <w:rPr>
                <w:sz w:val="21"/>
                <w:szCs w:val="21"/>
                <w:color w:val="auto"/>
              </w:rPr>
            </w:pPr>
          </w:p>
        </w:tc>
        <w:tc>
          <w:tcPr>
            <w:tcW w:w="14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Foreign Currency</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0"/>
              </w:rPr>
              <w:t>Plans</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0"/>
              </w:rPr>
              <w:t>Investments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615"/>
              <w:spacing w:after="0"/>
              <w:rPr>
                <w:sz w:val="20"/>
                <w:szCs w:val="20"/>
                <w:color w:val="auto"/>
              </w:rPr>
            </w:pPr>
            <w:r>
              <w:rPr>
                <w:rFonts w:ascii="Arial" w:cs="Arial" w:eastAsia="Arial" w:hAnsi="Arial"/>
                <w:sz w:val="18"/>
                <w:szCs w:val="18"/>
                <w:color w:val="auto"/>
                <w:w w:val="85"/>
              </w:rPr>
              <w:t>69.7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Other comprehensive income before reclassifications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center"/>
              <w:ind w:left="695"/>
              <w:spacing w:after="0"/>
              <w:rPr>
                <w:sz w:val="20"/>
                <w:szCs w:val="20"/>
                <w:color w:val="auto"/>
              </w:rPr>
            </w:pPr>
            <w:r>
              <w:rPr>
                <w:rFonts w:ascii="Arial" w:cs="Arial" w:eastAsia="Arial" w:hAnsi="Arial"/>
                <w:sz w:val="18"/>
                <w:szCs w:val="18"/>
                <w:color w:val="auto"/>
                <w:w w:val="87"/>
              </w:rPr>
              <w:t>0.6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160" w:type="dxa"/>
            <w:vAlign w:val="bottom"/>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restart"/>
          </w:tcPr>
          <w:p>
            <w:pPr>
              <w:jc w:val="center"/>
              <w:ind w:left="655"/>
              <w:spacing w:after="0"/>
              <w:rPr>
                <w:sz w:val="20"/>
                <w:szCs w:val="20"/>
                <w:color w:val="auto"/>
              </w:rPr>
            </w:pPr>
            <w:r>
              <w:rPr>
                <w:rFonts w:ascii="Arial" w:cs="Arial" w:eastAsia="Arial" w:hAnsi="Arial"/>
                <w:sz w:val="18"/>
                <w:szCs w:val="18"/>
                <w:color w:val="auto"/>
                <w:w w:val="97"/>
              </w:rPr>
              <w:t>(1.2)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vMerge w:val="restart"/>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655"/>
              <w:spacing w:after="0"/>
              <w:rPr>
                <w:sz w:val="20"/>
                <w:szCs w:val="20"/>
                <w:color w:val="auto"/>
              </w:rPr>
            </w:pPr>
            <w:r>
              <w:rPr>
                <w:rFonts w:ascii="Arial" w:cs="Arial" w:eastAsia="Arial" w:hAnsi="Arial"/>
                <w:sz w:val="18"/>
                <w:szCs w:val="18"/>
                <w:color w:val="auto"/>
                <w:w w:val="97"/>
              </w:rPr>
              <w:t>(0.1)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center"/>
              <w:ind w:left="655"/>
              <w:spacing w:after="0"/>
              <w:rPr>
                <w:sz w:val="20"/>
                <w:szCs w:val="20"/>
                <w:color w:val="auto"/>
              </w:rPr>
            </w:pPr>
            <w:r>
              <w:rPr>
                <w:rFonts w:ascii="Arial" w:cs="Arial" w:eastAsia="Arial" w:hAnsi="Arial"/>
                <w:sz w:val="18"/>
                <w:szCs w:val="18"/>
                <w:color w:val="auto"/>
                <w:w w:val="97"/>
              </w:rPr>
              <w:t>(0.7)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615"/>
              <w:spacing w:after="0"/>
              <w:rPr>
                <w:sz w:val="20"/>
                <w:szCs w:val="20"/>
                <w:color w:val="auto"/>
              </w:rPr>
            </w:pPr>
            <w:r>
              <w:rPr>
                <w:rFonts w:ascii="Arial" w:cs="Arial" w:eastAsia="Arial" w:hAnsi="Arial"/>
                <w:sz w:val="18"/>
                <w:szCs w:val="18"/>
                <w:color w:val="auto"/>
                <w:w w:val="85"/>
              </w:rPr>
              <w:t>69.0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144" w:lineRule="exact"/>
        <w:rPr>
          <w:sz w:val="20"/>
          <w:szCs w:val="20"/>
          <w:color w:val="auto"/>
        </w:rPr>
      </w:pPr>
    </w:p>
    <w:p>
      <w:pPr>
        <w:ind w:left="660" w:right="40" w:hanging="328"/>
        <w:spacing w:after="0" w:line="232" w:lineRule="auto"/>
        <w:tabs>
          <w:tab w:leader="none" w:pos="655" w:val="left"/>
        </w:tabs>
        <w:numPr>
          <w:ilvl w:val="0"/>
          <w:numId w:val="43"/>
        </w:numPr>
        <w:rPr>
          <w:rFonts w:ascii="Arial" w:cs="Arial" w:eastAsia="Arial" w:hAnsi="Arial"/>
          <w:sz w:val="22"/>
          <w:szCs w:val="22"/>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68" w:lineRule="exact"/>
        <w:rPr>
          <w:rFonts w:ascii="Arial" w:cs="Arial" w:eastAsia="Arial" w:hAnsi="Arial"/>
          <w:sz w:val="22"/>
          <w:szCs w:val="22"/>
          <w:color w:val="auto"/>
        </w:rPr>
      </w:pPr>
    </w:p>
    <w:p>
      <w:pPr>
        <w:ind w:left="660" w:right="8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11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Level 2 liabilities generally consist of long-term debt notes. The fair values of the long-term debt notes were based on quoted market prices in an inactive market.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include certain fixed assets and investments that were adjusted to fair value.</w:t>
      </w:r>
    </w:p>
    <w:p>
      <w:pPr>
        <w:spacing w:after="0" w:line="11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i w:val="1"/>
          <w:iCs w:val="1"/>
          <w:color w:val="auto"/>
        </w:rPr>
        <w:t xml:space="preserve">Recurring Fair Value Measurements. </w:t>
      </w:r>
      <w:r>
        <w:rPr>
          <w:rFonts w:ascii="Arial" w:cs="Arial" w:eastAsia="Arial" w:hAnsi="Arial"/>
          <w:sz w:val="17"/>
          <w:szCs w:val="17"/>
          <w:color w:val="auto"/>
        </w:rPr>
        <w:t>Financial assets recorded at fair value on the consolidated balance sheets as of December 31, 2021 and 2020 were</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classified in their entirety based on the lowest level of input that was significant to each asset's fair value measurement.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5220" w:type="dxa"/>
            <w:vAlign w:val="bottom"/>
          </w:tcPr>
          <w:p>
            <w:pPr>
              <w:ind w:left="36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65"/>
        </w:trPr>
        <w:tc>
          <w:tcPr>
            <w:tcW w:w="5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188"/>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2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r>
      <w:tr>
        <w:trPr>
          <w:trHeight w:val="21"/>
        </w:trPr>
        <w:tc>
          <w:tcPr>
            <w:tcW w:w="5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Non-Recurring Fair Value Measurements. </w:t>
      </w:r>
      <w:r>
        <w:rPr>
          <w:rFonts w:ascii="Arial" w:cs="Arial" w:eastAsia="Arial" w:hAnsi="Arial"/>
          <w:sz w:val="18"/>
          <w:szCs w:val="18"/>
          <w:color w:val="auto"/>
        </w:rPr>
        <w:t>During 2021, the company recognized impairment charges of $0.9 million related to certain fixed assets.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fair values of the assets were estimated to be zero at December 31, 2021. The company also recognized net unrealized gains on certain investments of $14.5 million. The combined fair values of these investments were estimated to be $41.4 million at December 31, 2021. These assessments were based on qualitative indications of impairment. The fair value measurements of the investments and fixed assets are considered level 3 and non-recurring.</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Fair Values of Debt Notes. </w:t>
      </w:r>
      <w:r>
        <w:rPr>
          <w:rFonts w:ascii="Arial" w:cs="Arial" w:eastAsia="Arial" w:hAnsi="Arial"/>
          <w:sz w:val="18"/>
          <w:szCs w:val="18"/>
          <w:color w:val="auto"/>
        </w:rPr>
        <w:t>The following presents the estimated fair values of long-term debt notes, which are carried at amortized cost on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sheets. The fair values below that are classified as level 2 under the fair value hierarchy were estimated using quoted market prices in inactive markets.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the fair values (in U.S. dollar equivalents)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6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September 2022</w:t>
            </w:r>
          </w:p>
        </w:tc>
        <w:tc>
          <w:tcPr>
            <w:tcW w:w="36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763.4</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€15.0 million fixed rate notes due May 2023</w:t>
            </w:r>
          </w:p>
        </w:tc>
        <w:tc>
          <w:tcPr>
            <w:tcW w:w="3660" w:type="dxa"/>
            <w:vAlign w:val="bottom"/>
          </w:tcPr>
          <w:p>
            <w:pPr>
              <w:jc w:val="right"/>
              <w:ind w:right="213"/>
              <w:spacing w:after="0"/>
              <w:rPr>
                <w:sz w:val="20"/>
                <w:szCs w:val="20"/>
                <w:color w:val="auto"/>
              </w:rPr>
            </w:pPr>
            <w:r>
              <w:rPr>
                <w:rFonts w:ascii="Arial" w:cs="Arial" w:eastAsia="Arial" w:hAnsi="Arial"/>
                <w:sz w:val="18"/>
                <w:szCs w:val="18"/>
                <w:color w:val="auto"/>
              </w:rPr>
              <w:t>18.1</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March 2025</w:t>
            </w:r>
          </w:p>
        </w:tc>
        <w:tc>
          <w:tcPr>
            <w:tcW w:w="36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789.1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$500.0 million fixed rate notes due June 2028</w:t>
            </w:r>
          </w:p>
        </w:tc>
        <w:tc>
          <w:tcPr>
            <w:tcW w:w="3660" w:type="dxa"/>
            <w:vAlign w:val="bottom"/>
          </w:tcPr>
          <w:p>
            <w:pPr>
              <w:jc w:val="right"/>
              <w:ind w:right="213"/>
              <w:spacing w:after="0"/>
              <w:rPr>
                <w:sz w:val="20"/>
                <w:szCs w:val="20"/>
                <w:color w:val="auto"/>
              </w:rPr>
            </w:pPr>
            <w:r>
              <w:rPr>
                <w:rFonts w:ascii="Arial" w:cs="Arial" w:eastAsia="Arial" w:hAnsi="Arial"/>
                <w:sz w:val="18"/>
                <w:szCs w:val="18"/>
                <w:color w:val="auto"/>
              </w:rPr>
              <w:t>556.8</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$750.0 million fixed rates notes due September 2043</w:t>
            </w:r>
          </w:p>
        </w:tc>
        <w:tc>
          <w:tcPr>
            <w:tcW w:w="36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1,035.2</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$700.0 million fixed rate notes due June 2048</w:t>
            </w:r>
          </w:p>
        </w:tc>
        <w:tc>
          <w:tcPr>
            <w:tcW w:w="3660" w:type="dxa"/>
            <w:vAlign w:val="bottom"/>
          </w:tcPr>
          <w:p>
            <w:pPr>
              <w:jc w:val="right"/>
              <w:ind w:right="213"/>
              <w:spacing w:after="0"/>
              <w:rPr>
                <w:sz w:val="20"/>
                <w:szCs w:val="20"/>
                <w:color w:val="auto"/>
              </w:rPr>
            </w:pPr>
            <w:r>
              <w:rPr>
                <w:rFonts w:ascii="Arial" w:cs="Arial" w:eastAsia="Arial" w:hAnsi="Arial"/>
                <w:sz w:val="18"/>
                <w:szCs w:val="18"/>
                <w:color w:val="auto"/>
              </w:rPr>
              <w:t>903.9</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Level 2</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SHARE</w:t>
      </w:r>
    </w:p>
    <w:p>
      <w:pPr>
        <w:spacing w:after="0" w:line="10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uses the two-class method to calculate basic and diluted earnings per common share because its Series G preferred stock are participating securities. Under the two-class method, undistributed earnings are allocated to common stock and participating securities according to their respective rights in undistributed earnings, as if all of the earnings for the period 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Preferred stock also receives a proportionate allocation of undistributed or overdistributed earnings for the period because Series G preferred stock has a contractual obligation to share in profits and losses of the company. Diluted earnings per share is computed by dividing the net income attributable to common shareholders by the weighted average number of common shares outstanding plus potentially dilutive common shares.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 awards were as follows for the years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w w:val="95"/>
              </w:rPr>
              <w:t>The following table presents the earnings per share calculation for the years presented:</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6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CME Group (in millions)</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2,636.4</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Less: Preferred stock dividends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Undistributed earnings allocated to preferred stock</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Common Shareholders of CME Group</w:t>
            </w:r>
          </w:p>
        </w:tc>
        <w:tc>
          <w:tcPr>
            <w:tcW w:w="3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6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Effect of stock options and stock awards</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358,929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w w:val="99"/>
              </w:rPr>
              <w:t>Earnings per Common Share Attributable to Common Shareholders of CME Group:</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 that require disclosure.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period covered by this report that have materially affected, or are reasonably likely to materially affect, the company's internal control over financial reporting. There were no changes in the company’s internal control over financial reporting which occurred during the fourth quarter of 2021, that have materially affected, or are reasonably likely to materially affect, the company’s internal control over financial reporting.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2021. Management based its assessment on criteria for effective internal control over financial reporting described in Internal Control-Integrated Framework issued by the Committee of Sponsoring Organizations of the Treadway Commission (2013 framework).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3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Based on this assessment, management believes that, as of December 31, 2021, our internal control over financial reporting is effective. The effectiveness of our internal control over financial reporting as of December 31, 2021 has been audited by Ernst &amp; Young LLP (PCAOB ID 42), an independent registered public accounting firm, as stated in the report on page 85.</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CME Group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have audited the accompanying consolidated balance sheets of CME Group Inc. and subsidiaries (the Company) as of December 31, 2021 and 2020, the related consolidated statements of income, comprehensive income, equity, and cash flows for each of the three years in the period ended December 31, 2021,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25, 2022 expressed an unqualified opinion thereon.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68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34" w:lineRule="exact"/>
        <w:rPr>
          <w:sz w:val="20"/>
          <w:szCs w:val="20"/>
          <w:color w:val="auto"/>
        </w:rPr>
      </w:pPr>
    </w:p>
    <w:p>
      <w:pPr>
        <w:ind w:left="20"/>
        <w:spacing w:after="0"/>
        <w:tabs>
          <w:tab w:leader="none" w:pos="166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7"/>
          <w:szCs w:val="17"/>
          <w:color w:val="auto"/>
        </w:rPr>
        <w:t>As discussed in Note 9 to the consolidated financial statements, the Company had unrecognized income tax benefits of $316.4</w:t>
      </w:r>
    </w:p>
    <w:p>
      <w:pPr>
        <w:jc w:val="both"/>
        <w:ind w:left="1680" w:hanging="1659"/>
        <w:spacing w:after="0" w:line="226" w:lineRule="auto"/>
        <w:tabs>
          <w:tab w:leader="none" w:pos="166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million related to uncertain tax positions as of December 31, 2021. Uncertainty in a tax position may arise due to the application of complex tax regulations. The Company uses significant judgment to (1) determine whether, based on the technical merits, the tax position is more likely than not to be sustained upon examination and (2) measure the amount of the tax benefit that qualifies for recognition.</w:t>
      </w:r>
    </w:p>
    <w:p>
      <w:pPr>
        <w:spacing w:after="0" w:line="203" w:lineRule="exact"/>
        <w:rPr>
          <w:sz w:val="20"/>
          <w:szCs w:val="20"/>
          <w:color w:val="auto"/>
        </w:rPr>
      </w:pPr>
    </w:p>
    <w:p>
      <w:pPr>
        <w:jc w:val="both"/>
        <w:ind w:left="1680"/>
        <w:spacing w:after="0" w:line="253" w:lineRule="auto"/>
        <w:rPr>
          <w:sz w:val="20"/>
          <w:szCs w:val="20"/>
          <w:color w:val="auto"/>
        </w:rPr>
      </w:pPr>
      <w:r>
        <w:rPr>
          <w:rFonts w:ascii="Arial" w:cs="Arial" w:eastAsia="Arial" w:hAnsi="Arial"/>
          <w:sz w:val="17"/>
          <w:szCs w:val="17"/>
          <w:color w:val="auto"/>
        </w:rPr>
        <w:t>Auditing management’s estimate of the Company’s uncertain tax positions that qualified for recognition and the related unrecognized income tax benefits was especially challenging because management’s estimate involved significant judgment in evaluating the technical merits of the positions, including interpretations of applicable tax laws and regulations.</w:t>
      </w:r>
    </w:p>
    <w:p>
      <w:pPr>
        <w:spacing w:after="0" w:line="1" w:lineRule="exact"/>
        <w:rPr>
          <w:sz w:val="20"/>
          <w:szCs w:val="20"/>
          <w:color w:val="auto"/>
        </w:rPr>
      </w:pPr>
    </w:p>
    <w:p>
      <w:pPr>
        <w:ind w:left="20"/>
        <w:spacing w:after="0"/>
        <w:tabs>
          <w:tab w:leader="none" w:pos="1660" w:val="left"/>
        </w:tabs>
        <w:rPr>
          <w:sz w:val="20"/>
          <w:szCs w:val="20"/>
          <w:color w:val="auto"/>
        </w:rPr>
      </w:pPr>
      <w:r>
        <w:rPr>
          <w:rFonts w:ascii="Arial" w:cs="Arial" w:eastAsia="Arial" w:hAnsi="Arial"/>
          <w:sz w:val="18"/>
          <w:szCs w:val="18"/>
          <w:i w:val="1"/>
          <w:iCs w:val="1"/>
          <w:color w:val="auto"/>
        </w:rPr>
        <w:t>How we Addressed</w:t>
      </w:r>
      <w:r>
        <w:rPr>
          <w:sz w:val="20"/>
          <w:szCs w:val="20"/>
          <w:color w:val="auto"/>
        </w:rPr>
        <w:tab/>
      </w:r>
      <w:r>
        <w:rPr>
          <w:rFonts w:ascii="Arial" w:cs="Arial" w:eastAsia="Arial" w:hAnsi="Arial"/>
          <w:sz w:val="16"/>
          <w:szCs w:val="16"/>
          <w:color w:val="auto"/>
        </w:rPr>
        <w:t>We tested the Company’s controls that address the risk of material misstatement relating to the recognition and measurement of</w:t>
      </w:r>
    </w:p>
    <w:p>
      <w:pPr>
        <w:ind w:left="20"/>
        <w:spacing w:after="0"/>
        <w:tabs>
          <w:tab w:leader="none" w:pos="1660" w:val="left"/>
        </w:tabs>
        <w:rPr>
          <w:sz w:val="20"/>
          <w:szCs w:val="20"/>
          <w:color w:val="auto"/>
        </w:rPr>
      </w:pPr>
      <w:r>
        <w:rPr>
          <w:rFonts w:ascii="Arial" w:cs="Arial" w:eastAsia="Arial" w:hAnsi="Arial"/>
          <w:sz w:val="18"/>
          <w:szCs w:val="18"/>
          <w:i w:val="1"/>
          <w:iCs w:val="1"/>
          <w:color w:val="auto"/>
        </w:rPr>
        <w:t>the Matter in Our</w:t>
      </w:r>
      <w:r>
        <w:rPr>
          <w:sz w:val="20"/>
          <w:szCs w:val="20"/>
          <w:color w:val="auto"/>
        </w:rPr>
        <w:tab/>
      </w:r>
      <w:r>
        <w:rPr>
          <w:rFonts w:ascii="Arial" w:cs="Arial" w:eastAsia="Arial" w:hAnsi="Arial"/>
          <w:sz w:val="16"/>
          <w:szCs w:val="16"/>
          <w:color w:val="auto"/>
        </w:rPr>
        <w:t>uncertain tax positions. For example, we tested controls over the Company’s assessment of the technical merits of tax positions and</w:t>
      </w:r>
    </w:p>
    <w:p>
      <w:pPr>
        <w:ind w:left="1680" w:hanging="1659"/>
        <w:spacing w:after="0" w:line="233" w:lineRule="auto"/>
        <w:tabs>
          <w:tab w:leader="none" w:pos="166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management’s process to measure the benefit of those tax positions that qualified for recognition, including management’s review of the inputs used in the calculations.</w:t>
      </w:r>
    </w:p>
    <w:p>
      <w:pPr>
        <w:spacing w:after="0" w:line="203" w:lineRule="exact"/>
        <w:rPr>
          <w:sz w:val="20"/>
          <w:szCs w:val="20"/>
          <w:color w:val="auto"/>
        </w:rPr>
      </w:pPr>
    </w:p>
    <w:p>
      <w:pPr>
        <w:jc w:val="both"/>
        <w:ind w:left="1680"/>
        <w:spacing w:after="0" w:line="242" w:lineRule="auto"/>
        <w:rPr>
          <w:sz w:val="20"/>
          <w:szCs w:val="20"/>
          <w:color w:val="auto"/>
        </w:rPr>
      </w:pPr>
      <w:r>
        <w:rPr>
          <w:rFonts w:ascii="Arial" w:cs="Arial" w:eastAsia="Arial" w:hAnsi="Arial"/>
          <w:sz w:val="17"/>
          <w:szCs w:val="17"/>
          <w:color w:val="auto"/>
        </w:rPr>
        <w:t>We involved our tax professionals to evaluate the technical merits of the Company's tax positions. Our audit procedures included, among others, evaluating the assumptions the Company used to develop its uncertain tax positions and related unrecognized income tax benefit amount by jurisdiction. We also tested the completeness and accuracy of the underlying data used by the Company to calculate its uncertain tax positions, inspected correspondence with relevant tax authorities, and evaluated third-party advice obtained and used by the Company in assessing the technical merits of its tax positions.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CME Group Inc. and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CME Group Inc. and subsidiaries’ internal control over financial reporting as of December 31, 2021, based on criteria established in Internal Control—Integrated Framework issued by the Committee of Sponsoring Organizations of the Treadway Commission (2013 framework) (the COSO criteria). In our opinion, CME Group Inc. and subsidiaries (the Company) maintained, in all material respects, effective internal control over financial reporting as of December 31, 2021, based on the COSO criteria.</w:t>
      </w: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CME Group Inc. and subsidiaries as of December 31, 2021 and 2020, the related consolidated statements of income, comprehensive income, equity and cash flows for each of the three years in the period ended December 31, 2021, and the related notes and financial statement schedule listed in the Index at Item 15(a) and our report dated February 25, 2022 expressed an unqualified opinion thereon.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ind w:right="2960"/>
        <w:spacing w:after="0" w:line="362"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We have adopted written codes of conduct applicable to all of our employees, including our Chairman and Chief Executive Officer, Chief Financial Officer, Chief Accounting Officer and other senior financial officers. In accordance with SEC rules and regulations, copies of these codes of conduct are available on our website at </w:t>
      </w:r>
      <w:r>
        <w:rPr>
          <w:rFonts w:ascii="Arial" w:cs="Arial" w:eastAsia="Arial" w:hAnsi="Arial"/>
          <w:sz w:val="16"/>
          <w:szCs w:val="16"/>
          <w:i w:val="1"/>
          <w:iCs w:val="1"/>
          <w:color w:val="auto"/>
        </w:rPr>
        <w:t>www.cmegroup.com</w:t>
      </w:r>
      <w:r>
        <w:rPr>
          <w:rFonts w:ascii="Arial" w:cs="Arial" w:eastAsia="Arial" w:hAnsi="Arial"/>
          <w:sz w:val="16"/>
          <w:szCs w:val="16"/>
          <w:color w:val="auto"/>
        </w:rPr>
        <w:t xml:space="preserve"> under the "Investor Relations — Corporate Governance" link. In accordance with SEC rules and regulations and the listing requirements of Nasdaq, we intend to disclose promptly on the website and location specified above any substantive amendments to these codes of conduct and any waivers granted to our executive officers or Board members. In addition, we have adopted Corporate Governance Principles which govern the practices of our board of directors. You may also obtain a copy of our codes of conduct and our Corporate Governance Principles by following the instructions in the section of this Annual Report on Form 10-K entitled "Item 1. Business — Available Information."</w:t>
      </w:r>
    </w:p>
    <w:p>
      <w:pPr>
        <w:spacing w:after="0" w:line="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CME Group’s definitive proxy statement for the Annual Meeting of Shareholders to be held on May 4, 2022, to be filed by CME Group with the SEC pursuant to Regulation 14A within 120 days after December 31, 2021 (Proxy Statement). Additional information called for by this item is contained in Item 1 of this Annual Report on Form 10-K under the caption "Information about our Executive Officers."</w:t>
      </w:r>
    </w:p>
    <w:p>
      <w:pPr>
        <w:spacing w:after="0" w:line="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113" w:lineRule="exact"/>
        <w:rPr>
          <w:sz w:val="20"/>
          <w:szCs w:val="20"/>
          <w:color w:val="auto"/>
        </w:rPr>
      </w:pPr>
    </w:p>
    <w:p>
      <w:pPr>
        <w:ind w:left="940" w:right="400" w:hanging="1295"/>
        <w:spacing w:after="0" w:line="282"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SHAREHOLDER MATTERS</w:t>
      </w:r>
    </w:p>
    <w:p>
      <w:pPr>
        <w:spacing w:after="0" w:line="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of the information called for by this item relating to the security ownership of certain beneficial owners and management is hereby incorporated herein by reference to the relevant portions of the Proxy Statement.</w:t>
      </w:r>
    </w:p>
    <w:p>
      <w:pPr>
        <w:spacing w:after="0" w:line="5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RELATED TRANSACTIONS AND DIRECTOR INDEPENDENCE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11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Financial Statement Schedules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Consolidated Financial Statements and related Notes included within Item 8, together with the Reports of Independent Registered Public Accounting Firm with respect thereto and included within Item 9A, are hereby incorporated by reference: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Balance Sheets at December 31, 2021 and 2020</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Income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00" w:right="2500"/>
        <w:spacing w:after="0" w:line="322" w:lineRule="auto"/>
        <w:rPr>
          <w:sz w:val="20"/>
          <w:szCs w:val="20"/>
          <w:color w:val="auto"/>
        </w:rPr>
      </w:pPr>
      <w:r>
        <w:rPr>
          <w:rFonts w:ascii="Arial" w:cs="Arial" w:eastAsia="Arial" w:hAnsi="Arial"/>
          <w:sz w:val="18"/>
          <w:szCs w:val="18"/>
          <w:color w:val="auto"/>
        </w:rPr>
        <w:t>Consolidated Statements of Comprehensive Income for the Years Ended December 31, 2021, 2020 and 2019 Consolidated Statements of Equity for the Years Ended December 31, 2021, 2020 and 2019 Consolidated Statements of Cash Flows for the Years Ended December 31, 2021, 2020 and 2019 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is filed as part of this Annual Report on Form 10-K:</w:t>
      </w:r>
    </w:p>
    <w:p>
      <w:pPr>
        <w:spacing w:after="0" w:line="11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CME Group Inc. and Subsidiaries</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Charged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(credited) to</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beginning</w:t>
            </w:r>
          </w:p>
        </w:tc>
        <w:tc>
          <w:tcPr>
            <w:tcW w:w="20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5"/>
              </w:rPr>
              <w:t>costs and</w:t>
            </w:r>
          </w:p>
        </w:tc>
        <w:tc>
          <w:tcPr>
            <w:tcW w:w="20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23"/>
                <w:szCs w:val="23"/>
                <w:b w:val="1"/>
                <w:bCs w:val="1"/>
                <w:color w:val="auto"/>
                <w:vertAlign w:val="superscript"/>
              </w:rPr>
              <w:t>(1)</w:t>
            </w:r>
          </w:p>
        </w:tc>
        <w:tc>
          <w:tcPr>
            <w:tcW w:w="220" w:type="dxa"/>
            <w:vAlign w:val="bottom"/>
          </w:tcPr>
          <w:p>
            <w:pPr>
              <w:spacing w:after="0"/>
              <w:rPr>
                <w:sz w:val="11"/>
                <w:szCs w:val="11"/>
                <w:color w:val="auto"/>
              </w:rPr>
            </w:pPr>
          </w:p>
        </w:tc>
        <w:tc>
          <w:tcPr>
            <w:tcW w:w="900" w:type="dxa"/>
            <w:vAlign w:val="bottom"/>
          </w:tcPr>
          <w:p>
            <w:pPr>
              <w:jc w:val="center"/>
              <w:ind w:right="156"/>
              <w:spacing w:after="0" w:line="135"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89"/>
        </w:trPr>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of year</w:t>
            </w: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expenses</w:t>
            </w: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36"/>
              <w:spacing w:after="0"/>
              <w:rPr>
                <w:sz w:val="20"/>
                <w:szCs w:val="20"/>
                <w:color w:val="auto"/>
              </w:rPr>
            </w:pPr>
            <w:r>
              <w:rPr>
                <w:rFonts w:ascii="Arial" w:cs="Arial" w:eastAsia="Arial" w:hAnsi="Arial"/>
                <w:sz w:val="14"/>
                <w:szCs w:val="14"/>
                <w:b w:val="1"/>
                <w:bCs w:val="1"/>
                <w:color w:val="auto"/>
                <w:w w:val="95"/>
              </w:rPr>
              <w:t>of year</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100" w:hanging="652"/>
        <w:spacing w:after="0" w:line="260"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write-offs of doubtful accounts, foreign currency and write-offs of fully reserved deferred tax assets. Other activity for the allowance for doubtful accounts also includes the impact of the adoption of new guidance on credit losses in 2020.</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other schedules have been omitted because the information required to be set forth in those schedules is not applicable or is shown on the consolidated financial statements or notes thereto.</w:t>
      </w:r>
    </w:p>
    <w:p>
      <w:pPr>
        <w:spacing w:after="0" w:line="116"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(b) Exhibits below</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520" w:type="dxa"/>
            <w:vAlign w:val="bottom"/>
          </w:tcPr>
          <w:p>
            <w:pPr>
              <w:jc w:val="center"/>
              <w:ind w:right="1948"/>
              <w:spacing w:after="0"/>
              <w:rPr>
                <w:sz w:val="20"/>
                <w:szCs w:val="20"/>
                <w:color w:val="auto"/>
              </w:rPr>
            </w:pPr>
            <w:r>
              <w:rPr>
                <w:rFonts w:ascii="Arial" w:cs="Arial" w:eastAsia="Arial" w:hAnsi="Arial"/>
                <w:sz w:val="14"/>
                <w:szCs w:val="14"/>
                <w:b w:val="1"/>
                <w:bCs w:val="1"/>
                <w:color w:val="auto"/>
                <w:w w:val="98"/>
              </w:rPr>
              <w:t>Exhibit</w:t>
            </w:r>
          </w:p>
        </w:tc>
        <w:tc>
          <w:tcPr>
            <w:tcW w:w="3360" w:type="dxa"/>
            <w:vAlign w:val="bottom"/>
            <w:vMerge w:val="restart"/>
          </w:tcPr>
          <w:p>
            <w:pPr>
              <w:ind w:left="200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520" w:type="dxa"/>
            <w:vAlign w:val="bottom"/>
          </w:tcPr>
          <w:p>
            <w:pPr>
              <w:jc w:val="center"/>
              <w:ind w:right="1928"/>
              <w:spacing w:after="0"/>
              <w:rPr>
                <w:sz w:val="20"/>
                <w:szCs w:val="20"/>
                <w:color w:val="auto"/>
              </w:rPr>
            </w:pPr>
            <w:r>
              <w:rPr>
                <w:rFonts w:ascii="Arial" w:cs="Arial" w:eastAsia="Arial" w:hAnsi="Arial"/>
                <w:sz w:val="14"/>
                <w:szCs w:val="14"/>
                <w:b w:val="1"/>
                <w:bCs w:val="1"/>
                <w:color w:val="auto"/>
                <w:w w:val="98"/>
              </w:rPr>
              <w:t>Number</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2147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306" w:lineRule="exact"/>
        <w:rPr>
          <w:sz w:val="20"/>
          <w:szCs w:val="20"/>
          <w:color w:val="auto"/>
        </w:rPr>
      </w:pPr>
    </w:p>
    <w:p>
      <w:pPr>
        <w:ind w:left="1260" w:hanging="1234"/>
        <w:spacing w:after="0"/>
        <w:tabs>
          <w:tab w:leader="none" w:pos="126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Articles of Incorporation and Bylaws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910"/>
              <w:spacing w:after="0"/>
              <w:rPr>
                <w:sz w:val="20"/>
                <w:szCs w:val="20"/>
                <w:color w:val="auto"/>
              </w:rPr>
            </w:pPr>
            <w:r>
              <w:rPr>
                <w:rFonts w:ascii="Arial" w:cs="Arial" w:eastAsia="Arial" w:hAnsi="Arial"/>
                <w:sz w:val="18"/>
                <w:szCs w:val="18"/>
                <w:color w:val="auto"/>
                <w:w w:val="87"/>
              </w:rPr>
              <w:t>3.1</w:t>
            </w:r>
          </w:p>
        </w:tc>
        <w:tc>
          <w:tcPr>
            <w:tcW w:w="8500" w:type="dxa"/>
            <w:vAlign w:val="bottom"/>
            <w:gridSpan w:val="6"/>
          </w:tcPr>
          <w:p>
            <w:pPr>
              <w:spacing w:after="0"/>
              <w:rPr>
                <w:rFonts w:ascii="Arial" w:cs="Arial" w:eastAsia="Arial" w:hAnsi="Arial"/>
                <w:sz w:val="18"/>
                <w:szCs w:val="18"/>
                <w:color w:val="0000FF"/>
                <w:w w:val="98"/>
              </w:rPr>
            </w:pPr>
            <w:hyperlink r:id="rId119">
              <w:r>
                <w:rPr>
                  <w:rFonts w:ascii="Arial" w:cs="Arial" w:eastAsia="Arial" w:hAnsi="Arial"/>
                  <w:sz w:val="18"/>
                  <w:szCs w:val="18"/>
                  <w:color w:val="0000FF"/>
                  <w:w w:val="98"/>
                </w:rPr>
                <w:t>Fourth Amended and Restated Certificate of Incorporation of CME Group Inc., as amended (incorporated by</w:t>
              </w:r>
            </w:hyperlink>
          </w:p>
        </w:tc>
      </w:tr>
      <w:tr>
        <w:trPr>
          <w:trHeight w:val="156"/>
        </w:trPr>
        <w:tc>
          <w:tcPr>
            <w:tcW w:w="124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reference to Exhibit 3.2 to CME Group Inc.'s Current Report on Form 8-K, filed with the SEC on November</w:t>
              </w:r>
            </w:hyperlink>
          </w:p>
        </w:tc>
        <w:tc>
          <w:tcPr>
            <w:tcW w:w="660" w:type="dxa"/>
            <w:vAlign w:val="bottom"/>
            <w:tcBorders>
              <w:bottom w:val="single" w:sz="8" w:color="0000FF"/>
            </w:tcBorders>
            <w:gridSpan w:val="3"/>
          </w:tcPr>
          <w:p>
            <w:pPr>
              <w:jc w:val="right"/>
              <w:spacing w:after="0" w:line="15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4, 2021).</w:t>
              </w:r>
            </w:hyperlink>
          </w:p>
        </w:tc>
      </w:tr>
      <w:tr>
        <w:trPr>
          <w:trHeight w:val="264"/>
        </w:trPr>
        <w:tc>
          <w:tcPr>
            <w:tcW w:w="1240" w:type="dxa"/>
            <w:vAlign w:val="bottom"/>
          </w:tcPr>
          <w:p>
            <w:pPr>
              <w:jc w:val="right"/>
              <w:ind w:right="910"/>
              <w:spacing w:after="0"/>
              <w:rPr>
                <w:sz w:val="20"/>
                <w:szCs w:val="20"/>
                <w:color w:val="auto"/>
              </w:rPr>
            </w:pPr>
            <w:r>
              <w:rPr>
                <w:rFonts w:ascii="Arial" w:cs="Arial" w:eastAsia="Arial" w:hAnsi="Arial"/>
                <w:sz w:val="18"/>
                <w:szCs w:val="18"/>
                <w:color w:val="auto"/>
                <w:w w:val="87"/>
              </w:rPr>
              <w:t>3.2</w:t>
            </w:r>
          </w:p>
        </w:tc>
        <w:tc>
          <w:tcPr>
            <w:tcW w:w="8500" w:type="dxa"/>
            <w:vAlign w:val="bottom"/>
            <w:gridSpan w:val="6"/>
          </w:tcPr>
          <w:p>
            <w:pPr>
              <w:spacing w:after="0"/>
              <w:rPr>
                <w:rFonts w:ascii="Arial" w:cs="Arial" w:eastAsia="Arial" w:hAnsi="Arial"/>
                <w:sz w:val="18"/>
                <w:szCs w:val="18"/>
                <w:color w:val="0000FF"/>
                <w:w w:val="96"/>
              </w:rPr>
            </w:pPr>
            <w:hyperlink r:id="rId120">
              <w:r>
                <w:rPr>
                  <w:rFonts w:ascii="Arial" w:cs="Arial" w:eastAsia="Arial" w:hAnsi="Arial"/>
                  <w:sz w:val="18"/>
                  <w:szCs w:val="18"/>
                  <w:color w:val="0000FF"/>
                  <w:w w:val="96"/>
                </w:rPr>
                <w:t>Sixteenth Amended and Restated Bylaws of CME Group Inc. (incorporated by reference to Exhibit 3.1 to CME</w:t>
              </w:r>
            </w:hyperlink>
          </w:p>
        </w:tc>
      </w:tr>
      <w:tr>
        <w:trPr>
          <w:trHeight w:val="155"/>
        </w:trPr>
        <w:tc>
          <w:tcPr>
            <w:tcW w:w="1240" w:type="dxa"/>
            <w:vAlign w:val="bottom"/>
          </w:tcPr>
          <w:p>
            <w:pPr>
              <w:spacing w:after="0"/>
              <w:rPr>
                <w:sz w:val="13"/>
                <w:szCs w:val="13"/>
                <w:color w:val="auto"/>
              </w:rPr>
            </w:pPr>
          </w:p>
        </w:tc>
        <w:tc>
          <w:tcPr>
            <w:tcW w:w="802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Group Inc.’s Form 10-Q, filed with the SEC on August 5, 2021).</w:t>
              </w:r>
            </w:hyperlink>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64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240" w:type="dxa"/>
            <w:vAlign w:val="bottom"/>
          </w:tcPr>
          <w:p>
            <w:pPr>
              <w:jc w:val="right"/>
              <w:ind w:right="910"/>
              <w:spacing w:after="0"/>
              <w:rPr>
                <w:sz w:val="20"/>
                <w:szCs w:val="20"/>
                <w:color w:val="auto"/>
              </w:rPr>
            </w:pPr>
            <w:r>
              <w:rPr>
                <w:rFonts w:ascii="Arial" w:cs="Arial" w:eastAsia="Arial" w:hAnsi="Arial"/>
                <w:sz w:val="18"/>
                <w:szCs w:val="18"/>
                <w:color w:val="auto"/>
                <w:w w:val="87"/>
              </w:rPr>
              <w:t>3.3</w:t>
            </w:r>
          </w:p>
        </w:tc>
        <w:tc>
          <w:tcPr>
            <w:tcW w:w="8500" w:type="dxa"/>
            <w:vAlign w:val="bottom"/>
            <w:gridSpan w:val="6"/>
          </w:tcPr>
          <w:p>
            <w:pPr>
              <w:spacing w:after="0"/>
              <w:rPr>
                <w:rFonts w:ascii="Arial" w:cs="Arial" w:eastAsia="Arial" w:hAnsi="Arial"/>
                <w:sz w:val="18"/>
                <w:szCs w:val="18"/>
                <w:color w:val="0000FF"/>
                <w:w w:val="92"/>
              </w:rPr>
            </w:pPr>
            <w:hyperlink r:id="rId121">
              <w:r>
                <w:rPr>
                  <w:rFonts w:ascii="Arial" w:cs="Arial" w:eastAsia="Arial" w:hAnsi="Arial"/>
                  <w:sz w:val="18"/>
                  <w:szCs w:val="18"/>
                  <w:color w:val="0000FF"/>
                  <w:w w:val="92"/>
                </w:rPr>
                <w:t>Certificate of Designations of Series G Non-Voting Convertible Preferred Stock (incorporated by reference to Exhibit</w:t>
              </w:r>
            </w:hyperlink>
          </w:p>
        </w:tc>
      </w:tr>
      <w:tr>
        <w:trPr>
          <w:trHeight w:val="156"/>
        </w:trPr>
        <w:tc>
          <w:tcPr>
            <w:tcW w:w="1240" w:type="dxa"/>
            <w:vAlign w:val="bottom"/>
          </w:tcPr>
          <w:p>
            <w:pPr>
              <w:spacing w:after="0"/>
              <w:rPr>
                <w:sz w:val="13"/>
                <w:szCs w:val="13"/>
                <w:color w:val="auto"/>
              </w:rPr>
            </w:pPr>
          </w:p>
        </w:tc>
        <w:tc>
          <w:tcPr>
            <w:tcW w:w="84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CME Group Inc.'s Current Report on Form 8-K, filed with the SEC on November 4, 2021).</w:t>
              </w:r>
            </w:hyperlink>
          </w:p>
        </w:tc>
        <w:tc>
          <w:tcPr>
            <w:tcW w:w="4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64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0" w:lineRule="exact"/>
        <w:rPr>
          <w:sz w:val="20"/>
          <w:szCs w:val="20"/>
          <w:color w:val="auto"/>
        </w:rPr>
      </w:pPr>
    </w:p>
    <w:p>
      <w:pPr>
        <w:ind w:left="1260" w:hanging="1234"/>
        <w:spacing w:after="0"/>
        <w:tabs>
          <w:tab w:leader="none" w:pos="126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Instruments Defining the Rights of Security Holders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4.1</w:t>
            </w:r>
          </w:p>
        </w:tc>
        <w:tc>
          <w:tcPr>
            <w:tcW w:w="8540" w:type="dxa"/>
            <w:vAlign w:val="bottom"/>
            <w:gridSpan w:val="25"/>
          </w:tcPr>
          <w:p>
            <w:pPr>
              <w:spacing w:after="0"/>
              <w:rPr>
                <w:rFonts w:ascii="Arial" w:cs="Arial" w:eastAsia="Arial" w:hAnsi="Arial"/>
                <w:sz w:val="18"/>
                <w:szCs w:val="18"/>
                <w:color w:val="0000FF"/>
                <w:w w:val="90"/>
              </w:rPr>
            </w:pPr>
            <w:hyperlink r:id="rId122">
              <w:r>
                <w:rPr>
                  <w:rFonts w:ascii="Arial" w:cs="Arial" w:eastAsia="Arial" w:hAnsi="Arial"/>
                  <w:sz w:val="18"/>
                  <w:szCs w:val="18"/>
                  <w:color w:val="0000FF"/>
                  <w:w w:val="90"/>
                </w:rPr>
                <w:t>Amended and Restated Commercial Paper Dealer Agreement, dated as of October 20, 2014, among CME Group Inc.,</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8480" w:type="dxa"/>
            <w:vAlign w:val="bottom"/>
            <w:tcBorders>
              <w:top w:val="single" w:sz="8" w:color="0000FF"/>
            </w:tcBorders>
            <w:gridSpan w:val="22"/>
          </w:tcPr>
          <w:p>
            <w:pPr>
              <w:spacing w:after="0" w:line="156" w:lineRule="exact"/>
              <w:rPr>
                <w:rFonts w:ascii="Arial" w:cs="Arial" w:eastAsia="Arial" w:hAnsi="Arial"/>
                <w:sz w:val="18"/>
                <w:szCs w:val="18"/>
                <w:color w:val="0000FF"/>
                <w:w w:val="93"/>
              </w:rPr>
            </w:pPr>
            <w:hyperlink r:id="rId122">
              <w:r>
                <w:rPr>
                  <w:rFonts w:ascii="Arial" w:cs="Arial" w:eastAsia="Arial" w:hAnsi="Arial"/>
                  <w:sz w:val="18"/>
                  <w:szCs w:val="18"/>
                  <w:color w:val="0000FF"/>
                  <w:w w:val="93"/>
                </w:rPr>
                <w:t>as Issuer, and Barclays Capital Inc., as Dealer (incorporated by reference to Exhibit 4.1 to CME Group Inc.'s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82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10-K, filed with the SEC on February 26, 2015).</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Arial" w:cs="Arial" w:eastAsia="Arial" w:hAnsi="Arial"/>
                <w:sz w:val="18"/>
                <w:szCs w:val="18"/>
                <w:color w:val="auto"/>
              </w:rPr>
              <w:t>4.2</w:t>
            </w:r>
          </w:p>
        </w:tc>
        <w:tc>
          <w:tcPr>
            <w:tcW w:w="8540" w:type="dxa"/>
            <w:vAlign w:val="bottom"/>
            <w:gridSpan w:val="25"/>
          </w:tcPr>
          <w:p>
            <w:pPr>
              <w:spacing w:after="0"/>
              <w:rPr>
                <w:rFonts w:ascii="Arial" w:cs="Arial" w:eastAsia="Arial" w:hAnsi="Arial"/>
                <w:sz w:val="18"/>
                <w:szCs w:val="18"/>
                <w:color w:val="0000FF"/>
                <w:w w:val="90"/>
              </w:rPr>
            </w:pPr>
            <w:hyperlink r:id="rId123">
              <w:r>
                <w:rPr>
                  <w:rFonts w:ascii="Arial" w:cs="Arial" w:eastAsia="Arial" w:hAnsi="Arial"/>
                  <w:sz w:val="18"/>
                  <w:szCs w:val="18"/>
                  <w:color w:val="0000FF"/>
                  <w:w w:val="90"/>
                </w:rPr>
                <w:t>Commercial Paper Issuing and Paying Agency Agreement, dated as of September 26, 2014, between CME Group Inc.</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852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123">
              <w:r>
                <w:rPr>
                  <w:rFonts w:ascii="Arial" w:cs="Arial" w:eastAsia="Arial" w:hAnsi="Arial"/>
                  <w:sz w:val="18"/>
                  <w:szCs w:val="18"/>
                  <w:color w:val="0000FF"/>
                  <w:w w:val="92"/>
                </w:rPr>
                <w:t>and Bank of America, National Association, as Issuing and Paying Agent (incorporated by reference to Exhibit 4.2 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84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CME Group Inc,'s Form 10-K, filed with the SEC on February 26, 2015).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4.3</w:t>
            </w:r>
          </w:p>
        </w:tc>
        <w:tc>
          <w:tcPr>
            <w:tcW w:w="8540" w:type="dxa"/>
            <w:vAlign w:val="bottom"/>
            <w:gridSpan w:val="25"/>
          </w:tcPr>
          <w:p>
            <w:pPr>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Amended and Restated Commercial Paper Dealer Agreement, dated as of October 20, 2014, between CME Group</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8240" w:type="dxa"/>
            <w:vAlign w:val="bottom"/>
            <w:tcBorders>
              <w:top w:val="single" w:sz="8" w:color="0000FF"/>
            </w:tcBorders>
            <w:gridSpan w:val="13"/>
          </w:tcPr>
          <w:p>
            <w:pPr>
              <w:spacing w:after="0" w:line="15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Inc., as Issuer, and Merrill Lynch, Pierce, Fenner &amp; Smith Incorporated, as Dealer (incorporated by reference to</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Exhibit 4.3 to CME Group's 10-K, filed with the SEC on February 26, 2015).</w:t>
              </w:r>
            </w:hyperlink>
          </w:p>
        </w:tc>
        <w:tc>
          <w:tcPr>
            <w:tcW w:w="248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40" w:type="dxa"/>
            <w:vAlign w:val="bottom"/>
          </w:tcPr>
          <w:p>
            <w:pPr>
              <w:spacing w:after="0"/>
              <w:rPr>
                <w:sz w:val="20"/>
                <w:szCs w:val="20"/>
                <w:color w:val="auto"/>
              </w:rPr>
            </w:pPr>
            <w:r>
              <w:rPr>
                <w:rFonts w:ascii="Arial" w:cs="Arial" w:eastAsia="Arial" w:hAnsi="Arial"/>
                <w:sz w:val="18"/>
                <w:szCs w:val="18"/>
                <w:color w:val="auto"/>
              </w:rPr>
              <w:t>4.4</w:t>
            </w:r>
          </w:p>
        </w:tc>
        <w:tc>
          <w:tcPr>
            <w:tcW w:w="8260" w:type="dxa"/>
            <w:vAlign w:val="bottom"/>
            <w:tcBorders>
              <w:bottom w:val="single" w:sz="8" w:color="0000FF"/>
            </w:tcBorders>
            <w:gridSpan w:val="14"/>
          </w:tcPr>
          <w:p>
            <w:pPr>
              <w:spacing w:after="0"/>
              <w:rPr>
                <w:rFonts w:ascii="Arial" w:cs="Arial" w:eastAsia="Arial" w:hAnsi="Arial"/>
                <w:sz w:val="18"/>
                <w:szCs w:val="18"/>
                <w:color w:val="0000FF"/>
                <w:w w:val="90"/>
              </w:rPr>
            </w:pPr>
            <w:hyperlink r:id="rId125">
              <w:r>
                <w:rPr>
                  <w:rFonts w:ascii="Arial" w:cs="Arial" w:eastAsia="Arial" w:hAnsi="Arial"/>
                  <w:sz w:val="18"/>
                  <w:szCs w:val="18"/>
                  <w:color w:val="0000FF"/>
                  <w:w w:val="90"/>
                </w:rPr>
                <w:t>Amended and Restated Commercial Paper Dealer Agreement, dated as of October 20, 2014, between CME Group</w:t>
              </w:r>
            </w:hyperlink>
          </w:p>
        </w:tc>
        <w:tc>
          <w:tcPr>
            <w:tcW w:w="28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8540" w:type="dxa"/>
            <w:vAlign w:val="bottom"/>
            <w:gridSpan w:val="25"/>
          </w:tcPr>
          <w:p>
            <w:pPr>
              <w:spacing w:after="0" w:line="156"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Inc., as Issuer, and Goldman, Sachs &amp; Co., as Dealer (incorporated by reference to Exhibit 4.4 to CME Group Inc.'s</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83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Form 10-K, filed with the SEC on February 26, 2015).</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4.5</w:t>
            </w:r>
          </w:p>
        </w:tc>
        <w:tc>
          <w:tcPr>
            <w:tcW w:w="8540" w:type="dxa"/>
            <w:vAlign w:val="bottom"/>
            <w:gridSpan w:val="25"/>
          </w:tcPr>
          <w:p>
            <w:pPr>
              <w:spacing w:after="0"/>
              <w:rPr>
                <w:rFonts w:ascii="Arial" w:cs="Arial" w:eastAsia="Arial" w:hAnsi="Arial"/>
                <w:sz w:val="18"/>
                <w:szCs w:val="18"/>
                <w:color w:val="0000FF"/>
                <w:w w:val="94"/>
              </w:rPr>
            </w:pPr>
            <w:hyperlink r:id="rId126">
              <w:r>
                <w:rPr>
                  <w:rFonts w:ascii="Arial" w:cs="Arial" w:eastAsia="Arial" w:hAnsi="Arial"/>
                  <w:sz w:val="18"/>
                  <w:szCs w:val="18"/>
                  <w:color w:val="0000FF"/>
                  <w:w w:val="94"/>
                </w:rPr>
                <w:t>Indenture, dated August 12, 2008, between CME Group Inc. and U.S. Bank National Association (incorporated by</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reference to Exhibit 4.1 to CME Group Inc.’s Current Report on Form 8-K, filed with the SEC on August 13, 2008)</w:t>
              </w:r>
            </w:hyperlink>
          </w:p>
        </w:tc>
        <w:tc>
          <w:tcPr>
            <w:tcW w:w="120" w:type="dxa"/>
            <w:vAlign w:val="bottom"/>
            <w:tcBorders>
              <w:bottom w:val="single" w:sz="8" w:color="0000FF"/>
            </w:tcBorders>
            <w:gridSpan w:val="4"/>
          </w:tcPr>
          <w:p>
            <w:pPr>
              <w:jc w:val="right"/>
              <w:ind w:right="20"/>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4.6</w:t>
            </w:r>
          </w:p>
        </w:tc>
        <w:tc>
          <w:tcPr>
            <w:tcW w:w="8540" w:type="dxa"/>
            <w:vAlign w:val="bottom"/>
            <w:gridSpan w:val="25"/>
            <w:vMerge w:val="restart"/>
          </w:tcPr>
          <w:p>
            <w:pPr>
              <w:spacing w:after="0"/>
              <w:rPr>
                <w:rFonts w:ascii="Arial" w:cs="Arial" w:eastAsia="Arial" w:hAnsi="Arial"/>
                <w:sz w:val="18"/>
                <w:szCs w:val="18"/>
                <w:color w:val="0000FF"/>
                <w:w w:val="91"/>
              </w:rPr>
            </w:pPr>
            <w:hyperlink r:id="rId127">
              <w:r>
                <w:rPr>
                  <w:rFonts w:ascii="Arial" w:cs="Arial" w:eastAsia="Arial" w:hAnsi="Arial"/>
                  <w:sz w:val="18"/>
                  <w:szCs w:val="18"/>
                  <w:color w:val="0000FF"/>
                  <w:w w:val="91"/>
                </w:rPr>
                <w:t>Fifth Supplemental Indenture (including the form of 3.00% note due 2022), dated September 10, 2012, between CME</w:t>
              </w:r>
            </w:hyperlink>
          </w:p>
        </w:tc>
        <w:tc>
          <w:tcPr>
            <w:tcW w:w="0" w:type="dxa"/>
            <w:vAlign w:val="bottom"/>
          </w:tcPr>
          <w:p>
            <w:pPr>
              <w:spacing w:after="0"/>
              <w:rPr>
                <w:sz w:val="1"/>
                <w:szCs w:val="1"/>
                <w:color w:val="auto"/>
              </w:rPr>
            </w:pPr>
          </w:p>
        </w:tc>
      </w:tr>
      <w:tr>
        <w:trPr>
          <w:trHeight w:val="40"/>
        </w:trPr>
        <w:tc>
          <w:tcPr>
            <w:tcW w:w="1240" w:type="dxa"/>
            <w:vAlign w:val="bottom"/>
          </w:tcPr>
          <w:p>
            <w:pPr>
              <w:spacing w:after="0"/>
              <w:rPr>
                <w:sz w:val="3"/>
                <w:szCs w:val="3"/>
                <w:color w:val="auto"/>
              </w:rPr>
            </w:pPr>
          </w:p>
        </w:tc>
        <w:tc>
          <w:tcPr>
            <w:tcW w:w="8540" w:type="dxa"/>
            <w:vAlign w:val="bottom"/>
            <w:gridSpan w:val="2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8500" w:type="dxa"/>
            <w:vAlign w:val="bottom"/>
            <w:tcBorders>
              <w:top w:val="single" w:sz="8" w:color="0000FF"/>
            </w:tcBorders>
            <w:gridSpan w:val="23"/>
          </w:tcPr>
          <w:p>
            <w:pPr>
              <w:spacing w:after="0" w:line="156" w:lineRule="exact"/>
              <w:rPr>
                <w:rFonts w:ascii="Arial" w:cs="Arial" w:eastAsia="Arial" w:hAnsi="Arial"/>
                <w:sz w:val="18"/>
                <w:szCs w:val="18"/>
                <w:color w:val="0000FF"/>
                <w:w w:val="98"/>
              </w:rPr>
            </w:pPr>
            <w:hyperlink r:id="rId127">
              <w:r>
                <w:rPr>
                  <w:rFonts w:ascii="Arial" w:cs="Arial" w:eastAsia="Arial" w:hAnsi="Arial"/>
                  <w:sz w:val="18"/>
                  <w:szCs w:val="18"/>
                  <w:color w:val="0000FF"/>
                  <w:w w:val="98"/>
                </w:rPr>
                <w:t>Group Inc. and U.S. Bank National Association (incorporated by reference to Exhibit 4.2 to CME Group Inc.'s</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79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Current Report on Form 8-K, filed with the SEC on September 10, 2012).</w:t>
              </w:r>
            </w:hyperlink>
          </w:p>
        </w:tc>
        <w:tc>
          <w:tcPr>
            <w:tcW w:w="1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Arial" w:cs="Arial" w:eastAsia="Arial" w:hAnsi="Arial"/>
                <w:sz w:val="18"/>
                <w:szCs w:val="18"/>
                <w:color w:val="auto"/>
              </w:rPr>
              <w:t>4.7</w:t>
            </w:r>
          </w:p>
        </w:tc>
        <w:tc>
          <w:tcPr>
            <w:tcW w:w="17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40" w:type="dxa"/>
            <w:vAlign w:val="bottom"/>
            <w:vMerge w:val="continue"/>
          </w:tcPr>
          <w:p>
            <w:pPr>
              <w:spacing w:after="0"/>
              <w:rPr>
                <w:sz w:val="24"/>
                <w:szCs w:val="24"/>
                <w:color w:val="auto"/>
              </w:rPr>
            </w:pPr>
          </w:p>
        </w:tc>
        <w:tc>
          <w:tcPr>
            <w:tcW w:w="8540" w:type="dxa"/>
            <w:vAlign w:val="bottom"/>
            <w:gridSpan w:val="25"/>
            <w:vMerge w:val="restart"/>
          </w:tcPr>
          <w:p>
            <w:pPr>
              <w:spacing w:after="0"/>
              <w:rPr>
                <w:rFonts w:ascii="Arial" w:cs="Arial" w:eastAsia="Arial" w:hAnsi="Arial"/>
                <w:sz w:val="18"/>
                <w:szCs w:val="18"/>
                <w:color w:val="0000FF"/>
                <w:w w:val="90"/>
              </w:rPr>
            </w:pPr>
            <w:hyperlink r:id="rId128">
              <w:r>
                <w:rPr>
                  <w:rFonts w:ascii="Arial" w:cs="Arial" w:eastAsia="Arial" w:hAnsi="Arial"/>
                  <w:sz w:val="18"/>
                  <w:szCs w:val="18"/>
                  <w:color w:val="0000FF"/>
                  <w:w w:val="90"/>
                </w:rPr>
                <w:t>Sixth Supplemental Indenture (including the form of 5.300% note due 2043), dated as of September 9, 2013, between</w:t>
              </w:r>
            </w:hyperlink>
          </w:p>
        </w:tc>
        <w:tc>
          <w:tcPr>
            <w:tcW w:w="0" w:type="dxa"/>
            <w:vAlign w:val="bottom"/>
          </w:tcPr>
          <w:p>
            <w:pPr>
              <w:spacing w:after="0"/>
              <w:rPr>
                <w:sz w:val="1"/>
                <w:szCs w:val="1"/>
                <w:color w:val="auto"/>
              </w:rPr>
            </w:pPr>
          </w:p>
        </w:tc>
      </w:tr>
      <w:tr>
        <w:trPr>
          <w:trHeight w:val="40"/>
        </w:trPr>
        <w:tc>
          <w:tcPr>
            <w:tcW w:w="1240" w:type="dxa"/>
            <w:vAlign w:val="bottom"/>
          </w:tcPr>
          <w:p>
            <w:pPr>
              <w:spacing w:after="0"/>
              <w:rPr>
                <w:sz w:val="3"/>
                <w:szCs w:val="3"/>
                <w:color w:val="auto"/>
              </w:rPr>
            </w:pPr>
          </w:p>
        </w:tc>
        <w:tc>
          <w:tcPr>
            <w:tcW w:w="8540" w:type="dxa"/>
            <w:vAlign w:val="bottom"/>
            <w:gridSpan w:val="2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846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CME Group Inc. and U.S. Bank National Association (incorporated by reference to Exhibit 4.2 to CME Group Inc.'s</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Current Report on Form 8-K, filed with the SEC on September 9, 2013).</w:t>
              </w:r>
            </w:hyperlink>
          </w:p>
        </w:tc>
        <w:tc>
          <w:tcPr>
            <w:tcW w:w="3120" w:type="dxa"/>
            <w:vAlign w:val="bottom"/>
            <w:tcBorders>
              <w:top w:val="single" w:sz="8" w:color="0000FF"/>
            </w:tcBorders>
            <w:gridSpan w:val="12"/>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240" w:type="dxa"/>
            <w:vAlign w:val="bottom"/>
          </w:tcPr>
          <w:p>
            <w:pPr>
              <w:spacing w:after="0"/>
              <w:rPr>
                <w:sz w:val="20"/>
                <w:szCs w:val="20"/>
                <w:color w:val="auto"/>
              </w:rPr>
            </w:pPr>
            <w:r>
              <w:rPr>
                <w:rFonts w:ascii="Arial" w:cs="Arial" w:eastAsia="Arial" w:hAnsi="Arial"/>
                <w:sz w:val="18"/>
                <w:szCs w:val="18"/>
                <w:color w:val="auto"/>
              </w:rPr>
              <w:t>4.8</w:t>
            </w:r>
          </w:p>
        </w:tc>
        <w:tc>
          <w:tcPr>
            <w:tcW w:w="8540" w:type="dxa"/>
            <w:vAlign w:val="bottom"/>
            <w:gridSpan w:val="25"/>
          </w:tcPr>
          <w:p>
            <w:pPr>
              <w:spacing w:after="0"/>
              <w:rPr>
                <w:rFonts w:ascii="Arial" w:cs="Arial" w:eastAsia="Arial" w:hAnsi="Arial"/>
                <w:sz w:val="18"/>
                <w:szCs w:val="18"/>
                <w:color w:val="0000FF"/>
                <w:w w:val="92"/>
              </w:rPr>
            </w:pPr>
            <w:hyperlink r:id="rId129">
              <w:r>
                <w:rPr>
                  <w:rFonts w:ascii="Arial" w:cs="Arial" w:eastAsia="Arial" w:hAnsi="Arial"/>
                  <w:sz w:val="18"/>
                  <w:szCs w:val="18"/>
                  <w:color w:val="0000FF"/>
                  <w:w w:val="92"/>
                </w:rPr>
                <w:t>Seventh Supplemental Indenture (including the form of 3.000% note due 2025), dated as of March 9, 2015, between</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8360" w:type="dxa"/>
            <w:vAlign w:val="bottom"/>
            <w:tcBorders>
              <w:top w:val="single" w:sz="8" w:color="0000FF"/>
            </w:tcBorders>
            <w:gridSpan w:val="17"/>
          </w:tcPr>
          <w:p>
            <w:pPr>
              <w:spacing w:after="0" w:line="15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CME Group Inc. and U.S. Bank National Association (incorporated by reference to Exhibit 4.2 to CME Group Inc.'s</w:t>
              </w:r>
            </w:hyperlink>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Current Report on Form 8-K, filed with the SEC on March 9, 2015).</w:t>
              </w:r>
            </w:hyperlink>
          </w:p>
        </w:tc>
        <w:tc>
          <w:tcPr>
            <w:tcW w:w="3480" w:type="dxa"/>
            <w:vAlign w:val="bottom"/>
            <w:tcBorders>
              <w:top w:val="single" w:sz="8" w:color="0000FF"/>
            </w:tcBorders>
            <w:gridSpan w:val="13"/>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20"/>
                <w:szCs w:val="20"/>
                <w:color w:val="auto"/>
              </w:rPr>
            </w:pPr>
            <w:r>
              <w:rPr>
                <w:rFonts w:ascii="Arial" w:cs="Arial" w:eastAsia="Arial" w:hAnsi="Arial"/>
                <w:sz w:val="18"/>
                <w:szCs w:val="18"/>
                <w:color w:val="auto"/>
              </w:rPr>
              <w:t>4.9</w:t>
            </w:r>
          </w:p>
        </w:tc>
        <w:tc>
          <w:tcPr>
            <w:tcW w:w="8220" w:type="dxa"/>
            <w:vAlign w:val="bottom"/>
            <w:tcBorders>
              <w:bottom w:val="single" w:sz="8" w:color="0000FF"/>
            </w:tcBorders>
            <w:gridSpan w:val="12"/>
          </w:tcPr>
          <w:p>
            <w:pPr>
              <w:spacing w:after="0"/>
              <w:rPr>
                <w:rFonts w:ascii="Arial" w:cs="Arial" w:eastAsia="Arial" w:hAnsi="Arial"/>
                <w:sz w:val="18"/>
                <w:szCs w:val="18"/>
                <w:color w:val="0000FF"/>
                <w:w w:val="90"/>
              </w:rPr>
            </w:pPr>
            <w:hyperlink r:id="rId130">
              <w:r>
                <w:rPr>
                  <w:rFonts w:ascii="Arial" w:cs="Arial" w:eastAsia="Arial" w:hAnsi="Arial"/>
                  <w:sz w:val="18"/>
                  <w:szCs w:val="18"/>
                  <w:color w:val="0000FF"/>
                  <w:w w:val="90"/>
                </w:rPr>
                <w:t>Eighth Supplemental Indenture (including the form of 3.750% note due 2028), dated as of June 21, 2018, between</w:t>
              </w:r>
            </w:hyperlink>
          </w:p>
        </w:tc>
        <w:tc>
          <w:tcPr>
            <w:tcW w:w="3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8540" w:type="dxa"/>
            <w:vAlign w:val="bottom"/>
            <w:gridSpan w:val="25"/>
          </w:tcPr>
          <w:p>
            <w:pPr>
              <w:spacing w:after="0" w:line="156" w:lineRule="exact"/>
              <w:rPr>
                <w:rFonts w:ascii="Arial" w:cs="Arial" w:eastAsia="Arial" w:hAnsi="Arial"/>
                <w:sz w:val="18"/>
                <w:szCs w:val="18"/>
                <w:color w:val="0000FF"/>
                <w:w w:val="93"/>
              </w:rPr>
            </w:pPr>
            <w:hyperlink r:id="rId130">
              <w:r>
                <w:rPr>
                  <w:rFonts w:ascii="Arial" w:cs="Arial" w:eastAsia="Arial" w:hAnsi="Arial"/>
                  <w:sz w:val="18"/>
                  <w:szCs w:val="18"/>
                  <w:color w:val="0000FF"/>
                  <w:w w:val="93"/>
                </w:rPr>
                <w:t>CME Group Inc. and U.S. Bank National Association (incorporated by reference to Exhibit 4.2 to CME Group Inc.'s</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Current Report on Form 8-K, filed with the SEC on June 21, 2018).</w:t>
              </w:r>
            </w:hyperlink>
          </w:p>
        </w:tc>
        <w:tc>
          <w:tcPr>
            <w:tcW w:w="3520" w:type="dxa"/>
            <w:vAlign w:val="bottom"/>
            <w:tcBorders>
              <w:top w:val="single" w:sz="8" w:color="0000FF"/>
            </w:tcBorders>
            <w:gridSpan w:val="14"/>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20"/>
                <w:szCs w:val="20"/>
                <w:color w:val="auto"/>
              </w:rPr>
            </w:pPr>
            <w:r>
              <w:rPr>
                <w:rFonts w:ascii="Arial" w:cs="Arial" w:eastAsia="Arial" w:hAnsi="Arial"/>
                <w:sz w:val="18"/>
                <w:szCs w:val="18"/>
                <w:color w:val="auto"/>
              </w:rPr>
              <w:t>4.10</w:t>
            </w:r>
          </w:p>
        </w:tc>
        <w:tc>
          <w:tcPr>
            <w:tcW w:w="8540" w:type="dxa"/>
            <w:vAlign w:val="bottom"/>
            <w:gridSpan w:val="25"/>
          </w:tcPr>
          <w:p>
            <w:pPr>
              <w:spacing w:after="0"/>
              <w:rPr>
                <w:rFonts w:ascii="Arial" w:cs="Arial" w:eastAsia="Arial" w:hAnsi="Arial"/>
                <w:sz w:val="18"/>
                <w:szCs w:val="18"/>
                <w:color w:val="0000FF"/>
                <w:w w:val="94"/>
              </w:rPr>
            </w:pPr>
            <w:hyperlink r:id="rId131">
              <w:r>
                <w:rPr>
                  <w:rFonts w:ascii="Arial" w:cs="Arial" w:eastAsia="Arial" w:hAnsi="Arial"/>
                  <w:sz w:val="18"/>
                  <w:szCs w:val="18"/>
                  <w:color w:val="0000FF"/>
                  <w:w w:val="94"/>
                </w:rPr>
                <w:t>Ninth Supplemental Indenture (including the form of 4.150% note due 2048), dated as of June 21, 2018, between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3280" w:type="dxa"/>
            <w:vAlign w:val="bottom"/>
            <w:gridSpan w:val="7"/>
            <w:shd w:val="clear" w:color="auto" w:fill="0000FF"/>
          </w:tcPr>
          <w:p>
            <w:pPr>
              <w:spacing w:after="0" w:line="20" w:lineRule="exact"/>
              <w:rPr>
                <w:sz w:val="1"/>
                <w:szCs w:val="1"/>
                <w:color w:val="auto"/>
              </w:rPr>
            </w:pPr>
          </w:p>
        </w:tc>
        <w:tc>
          <w:tcPr>
            <w:tcW w:w="4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40" w:type="dxa"/>
            <w:vAlign w:val="bottom"/>
          </w:tcPr>
          <w:p>
            <w:pPr>
              <w:spacing w:after="0"/>
              <w:rPr>
                <w:sz w:val="13"/>
                <w:szCs w:val="13"/>
                <w:color w:val="auto"/>
              </w:rPr>
            </w:pPr>
          </w:p>
        </w:tc>
        <w:tc>
          <w:tcPr>
            <w:tcW w:w="8540" w:type="dxa"/>
            <w:vAlign w:val="bottom"/>
            <w:gridSpan w:val="25"/>
          </w:tcPr>
          <w:p>
            <w:pPr>
              <w:spacing w:after="0" w:line="156" w:lineRule="exact"/>
              <w:rPr>
                <w:rFonts w:ascii="Arial" w:cs="Arial" w:eastAsia="Arial" w:hAnsi="Arial"/>
                <w:sz w:val="18"/>
                <w:szCs w:val="18"/>
                <w:color w:val="0000FF"/>
                <w:w w:val="93"/>
              </w:rPr>
            </w:pPr>
            <w:hyperlink r:id="rId131">
              <w:r>
                <w:rPr>
                  <w:rFonts w:ascii="Arial" w:cs="Arial" w:eastAsia="Arial" w:hAnsi="Arial"/>
                  <w:sz w:val="18"/>
                  <w:szCs w:val="18"/>
                  <w:color w:val="0000FF"/>
                  <w:w w:val="93"/>
                </w:rPr>
                <w:t>CME Group Inc. and U.S. Bank National Association (incorporated by reference to Exhibit 4.3 to CME Group Inc.'s</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84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Current Report on Form 8-K, filed with the SEC on June 21, 2018).</w:t>
              </w:r>
            </w:hyperlink>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4.11*</w:t>
            </w:r>
          </w:p>
        </w:tc>
        <w:tc>
          <w:tcPr>
            <w:tcW w:w="4860" w:type="dxa"/>
            <w:vAlign w:val="bottom"/>
            <w:tcBorders>
              <w:top w:val="single" w:sz="8" w:color="0000FF"/>
            </w:tcBorders>
            <w:gridSpan w:val="4"/>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Description of securities</w:t>
              </w:r>
            </w:hyperlink>
            <w:r>
              <w:rPr>
                <w:rFonts w:ascii="Arial" w:cs="Arial" w:eastAsia="Arial" w:hAnsi="Arial"/>
                <w:sz w:val="18"/>
                <w:szCs w:val="18"/>
                <w:color w:val="000000"/>
              </w:rPr>
              <w:t>.</w:t>
            </w:r>
          </w:p>
        </w:tc>
        <w:tc>
          <w:tcPr>
            <w:tcW w:w="36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260" w:hanging="1234"/>
        <w:spacing w:after="0"/>
        <w:tabs>
          <w:tab w:leader="none" w:pos="126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Material Contracts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610"/>
              <w:spacing w:after="0"/>
              <w:rPr>
                <w:sz w:val="20"/>
                <w:szCs w:val="20"/>
                <w:color w:val="auto"/>
              </w:rPr>
            </w:pPr>
            <w:r>
              <w:rPr>
                <w:rFonts w:ascii="Arial" w:cs="Arial" w:eastAsia="Arial" w:hAnsi="Arial"/>
                <w:sz w:val="18"/>
                <w:szCs w:val="18"/>
                <w:color w:val="auto"/>
                <w:w w:val="94"/>
              </w:rPr>
              <w:t>10.1(1)</w:t>
            </w:r>
          </w:p>
        </w:tc>
        <w:tc>
          <w:tcPr>
            <w:tcW w:w="9980" w:type="dxa"/>
            <w:vAlign w:val="bottom"/>
            <w:gridSpan w:val="6"/>
          </w:tcPr>
          <w:p>
            <w:pPr>
              <w:spacing w:after="0"/>
              <w:rPr>
                <w:rFonts w:ascii="Arial" w:cs="Arial" w:eastAsia="Arial" w:hAnsi="Arial"/>
                <w:sz w:val="18"/>
                <w:szCs w:val="18"/>
                <w:color w:val="0000FF"/>
              </w:rPr>
            </w:pPr>
            <w:hyperlink r:id="rId132">
              <w:r>
                <w:rPr>
                  <w:rFonts w:ascii="Arial" w:cs="Arial" w:eastAsia="Arial" w:hAnsi="Arial"/>
                  <w:sz w:val="18"/>
                  <w:szCs w:val="18"/>
                  <w:color w:val="0000FF"/>
                </w:rPr>
                <w:t>CME Group Inc. Second Amended and Restated Omnibus Stock Plan, amended and restated effective as of May 24,</w:t>
              </w:r>
            </w:hyperlink>
          </w:p>
        </w:tc>
      </w:tr>
      <w:tr>
        <w:trPr>
          <w:trHeight w:val="156"/>
        </w:trPr>
        <w:tc>
          <w:tcPr>
            <w:tcW w:w="1260" w:type="dxa"/>
            <w:vAlign w:val="bottom"/>
          </w:tcPr>
          <w:p>
            <w:pPr>
              <w:spacing w:after="0"/>
              <w:rPr>
                <w:sz w:val="13"/>
                <w:szCs w:val="13"/>
                <w:color w:val="auto"/>
              </w:rPr>
            </w:pPr>
          </w:p>
        </w:tc>
        <w:tc>
          <w:tcPr>
            <w:tcW w:w="8380" w:type="dxa"/>
            <w:vAlign w:val="bottom"/>
            <w:tcBorders>
              <w:top w:val="single" w:sz="8" w:color="0000FF"/>
            </w:tcBorders>
            <w:gridSpan w:val="4"/>
          </w:tcPr>
          <w:p>
            <w:pPr>
              <w:spacing w:after="0" w:line="156" w:lineRule="exact"/>
              <w:rPr>
                <w:rFonts w:ascii="Arial" w:cs="Arial" w:eastAsia="Arial" w:hAnsi="Arial"/>
                <w:sz w:val="18"/>
                <w:szCs w:val="18"/>
                <w:color w:val="0000FF"/>
                <w:w w:val="94"/>
              </w:rPr>
            </w:pPr>
            <w:hyperlink r:id="rId132">
              <w:r>
                <w:rPr>
                  <w:rFonts w:ascii="Arial" w:cs="Arial" w:eastAsia="Arial" w:hAnsi="Arial"/>
                  <w:sz w:val="18"/>
                  <w:szCs w:val="18"/>
                  <w:color w:val="0000FF"/>
                  <w:w w:val="94"/>
                </w:rPr>
                <w:t>2017 (incorporated by reference to Exhibit 10.2 to CME Group Inc.’s Current Report on Form 8-K, filed with the</w:t>
              </w:r>
            </w:hyperlink>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816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SEC on May 30, 2017).</w:t>
              </w:r>
            </w:hyperlink>
          </w:p>
        </w:tc>
        <w:tc>
          <w:tcPr>
            <w:tcW w:w="240" w:type="dxa"/>
            <w:vAlign w:val="bottom"/>
            <w:gridSpan w:val="2"/>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3"/>
        </w:trPr>
        <w:tc>
          <w:tcPr>
            <w:tcW w:w="1260" w:type="dxa"/>
            <w:vAlign w:val="bottom"/>
          </w:tcPr>
          <w:p>
            <w:pPr>
              <w:jc w:val="right"/>
              <w:ind w:right="610"/>
              <w:spacing w:after="0"/>
              <w:rPr>
                <w:sz w:val="20"/>
                <w:szCs w:val="20"/>
                <w:color w:val="auto"/>
              </w:rPr>
            </w:pPr>
            <w:r>
              <w:rPr>
                <w:rFonts w:ascii="Arial" w:cs="Arial" w:eastAsia="Arial" w:hAnsi="Arial"/>
                <w:sz w:val="18"/>
                <w:szCs w:val="18"/>
                <w:color w:val="auto"/>
                <w:w w:val="94"/>
              </w:rPr>
              <w:t>10.2(1)</w:t>
            </w:r>
          </w:p>
        </w:tc>
        <w:tc>
          <w:tcPr>
            <w:tcW w:w="9980" w:type="dxa"/>
            <w:vAlign w:val="bottom"/>
            <w:gridSpan w:val="6"/>
          </w:tcPr>
          <w:p>
            <w:pPr>
              <w:spacing w:after="0"/>
              <w:rPr>
                <w:rFonts w:ascii="Arial" w:cs="Arial" w:eastAsia="Arial" w:hAnsi="Arial"/>
                <w:sz w:val="18"/>
                <w:szCs w:val="18"/>
                <w:color w:val="0000FF"/>
              </w:rPr>
            </w:pPr>
            <w:hyperlink r:id="rId133">
              <w:r>
                <w:rPr>
                  <w:rFonts w:ascii="Arial" w:cs="Arial" w:eastAsia="Arial" w:hAnsi="Arial"/>
                  <w:sz w:val="18"/>
                  <w:szCs w:val="18"/>
                  <w:color w:val="0000FF"/>
                </w:rPr>
                <w:t>CME Group Inc. Director Stock Plan, amended and restated effective as of May 21, 2014 (incorporated by reference</w:t>
              </w:r>
            </w:hyperlink>
          </w:p>
        </w:tc>
      </w:tr>
      <w:tr>
        <w:trPr>
          <w:trHeight w:val="156"/>
        </w:trPr>
        <w:tc>
          <w:tcPr>
            <w:tcW w:w="1260" w:type="dxa"/>
            <w:vAlign w:val="bottom"/>
          </w:tcPr>
          <w:p>
            <w:pPr>
              <w:spacing w:after="0"/>
              <w:rPr>
                <w:sz w:val="13"/>
                <w:szCs w:val="13"/>
                <w:color w:val="auto"/>
              </w:rPr>
            </w:pPr>
          </w:p>
        </w:tc>
        <w:tc>
          <w:tcPr>
            <w:tcW w:w="84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to Exhibit 10.1 to CME Group Inc.'s Current Report on Form 8-K, filed with the SEC on May 28, 2014).</w:t>
              </w:r>
            </w:hyperlink>
          </w:p>
        </w:tc>
        <w:tc>
          <w:tcPr>
            <w:tcW w:w="1580" w:type="dxa"/>
            <w:vAlign w:val="bottom"/>
          </w:tcPr>
          <w:p>
            <w:pPr>
              <w:spacing w:after="0"/>
              <w:rPr>
                <w:sz w:val="13"/>
                <w:szCs w:val="13"/>
                <w:color w:val="auto"/>
              </w:rPr>
            </w:pPr>
          </w:p>
        </w:tc>
      </w:tr>
      <w:tr>
        <w:trPr>
          <w:trHeight w:val="952"/>
        </w:trPr>
        <w:tc>
          <w:tcPr>
            <w:tcW w:w="1260" w:type="dxa"/>
            <w:vAlign w:val="bottom"/>
          </w:tcPr>
          <w:p>
            <w:pPr>
              <w:spacing w:after="0"/>
              <w:rPr>
                <w:sz w:val="24"/>
                <w:szCs w:val="24"/>
                <w:color w:val="auto"/>
              </w:rPr>
            </w:pPr>
          </w:p>
        </w:tc>
        <w:tc>
          <w:tcPr>
            <w:tcW w:w="7540" w:type="dxa"/>
            <w:vAlign w:val="bottom"/>
            <w:tcBorders>
              <w:top w:val="single" w:sz="8" w:color="0000FF"/>
            </w:tcBorders>
            <w:gridSpan w:val="2"/>
          </w:tcPr>
          <w:p>
            <w:pPr>
              <w:ind w:left="4280"/>
              <w:spacing w:after="0"/>
              <w:rPr>
                <w:sz w:val="20"/>
                <w:szCs w:val="20"/>
                <w:color w:val="auto"/>
              </w:rPr>
            </w:pPr>
            <w:r>
              <w:rPr>
                <w:rFonts w:ascii="Arial" w:cs="Arial" w:eastAsia="Arial" w:hAnsi="Arial"/>
                <w:sz w:val="18"/>
                <w:szCs w:val="18"/>
                <w:color w:val="auto"/>
              </w:rPr>
              <w:t>88</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58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7"/>
        </w:trPr>
        <w:tc>
          <w:tcPr>
            <w:tcW w:w="1020" w:type="dxa"/>
            <w:vAlign w:val="bottom"/>
            <w:tcBorders>
              <w:top w:val="single" w:sz="8" w:color="0000FF"/>
            </w:tcBorders>
          </w:tcPr>
          <w:p>
            <w:pPr>
              <w:ind w:left="340"/>
              <w:spacing w:after="0"/>
              <w:rPr>
                <w:sz w:val="20"/>
                <w:szCs w:val="20"/>
                <w:color w:val="auto"/>
              </w:rPr>
            </w:pPr>
            <w:r>
              <w:rPr>
                <w:rFonts w:ascii="Arial" w:cs="Arial" w:eastAsia="Arial" w:hAnsi="Arial"/>
                <w:sz w:val="14"/>
                <w:szCs w:val="14"/>
                <w:b w:val="1"/>
                <w:bCs w:val="1"/>
                <w:color w:val="auto"/>
              </w:rPr>
              <w:t>Exhibit</w:t>
            </w:r>
          </w:p>
        </w:tc>
        <w:tc>
          <w:tcPr>
            <w:tcW w:w="2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5"/>
            <w:vMerge w:val="restart"/>
          </w:tcPr>
          <w:p>
            <w:pPr>
              <w:ind w:left="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8"/>
        </w:trPr>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60" w:type="dxa"/>
            <w:vAlign w:val="bottom"/>
            <w:gridSpan w:val="3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2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10.3(1)</w:t>
            </w: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580" w:type="dxa"/>
            <w:vAlign w:val="bottom"/>
            <w:tcBorders>
              <w:top w:val="single" w:sz="8" w:color="auto"/>
            </w:tcBorders>
            <w:gridSpan w:val="45"/>
          </w:tcPr>
          <w:p>
            <w:pPr>
              <w:spacing w:after="0" w:line="184" w:lineRule="exact"/>
              <w:rPr>
                <w:rFonts w:ascii="Arial" w:cs="Arial" w:eastAsia="Arial" w:hAnsi="Arial"/>
                <w:sz w:val="18"/>
                <w:szCs w:val="18"/>
                <w:color w:val="0000FF"/>
                <w:w w:val="94"/>
              </w:rPr>
            </w:pPr>
            <w:hyperlink r:id="rId136">
              <w:r>
                <w:rPr>
                  <w:rFonts w:ascii="Arial" w:cs="Arial" w:eastAsia="Arial" w:hAnsi="Arial"/>
                  <w:sz w:val="18"/>
                  <w:szCs w:val="18"/>
                  <w:color w:val="0000FF"/>
                  <w:w w:val="94"/>
                </w:rPr>
                <w:t>Form of Equity Stipend Grant Letter for Non-Executive Directors (incorporated by reference to Exhibit 10.5 to CME</w:t>
              </w:r>
            </w:hyperlink>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36">
              <w:r>
                <w:rPr>
                  <w:rFonts w:ascii="Arial" w:cs="Arial" w:eastAsia="Arial" w:hAnsi="Arial"/>
                  <w:sz w:val="18"/>
                  <w:szCs w:val="18"/>
                  <w:color w:val="0000FF"/>
                  <w:w w:val="92"/>
                </w:rPr>
                <w:t>Group Inc.'s Form 10-K, filed with the SEC on March 1, 2018).</w:t>
              </w:r>
            </w:hyperlink>
          </w:p>
        </w:tc>
        <w:tc>
          <w:tcPr>
            <w:tcW w:w="388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6"/>
          </w:tcPr>
          <w:p>
            <w:pPr>
              <w:spacing w:after="0"/>
              <w:rPr>
                <w:rFonts w:ascii="Arial" w:cs="Arial" w:eastAsia="Arial" w:hAnsi="Arial"/>
                <w:sz w:val="18"/>
                <w:szCs w:val="18"/>
                <w:color w:val="0000FF"/>
              </w:rPr>
            </w:pPr>
            <w:hyperlink r:id="rId137">
              <w:r>
                <w:rPr>
                  <w:rFonts w:ascii="Arial" w:cs="Arial" w:eastAsia="Arial" w:hAnsi="Arial"/>
                  <w:sz w:val="18"/>
                  <w:szCs w:val="18"/>
                  <w:color w:val="0000FF"/>
                </w:rPr>
                <w:t>CME Group Inc.'s Amended and Restated Employee Stock Purchase Plan, amended and restated as of May 23, 2012</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tcBorders>
            <w:gridSpan w:val="39"/>
          </w:tcPr>
          <w:p>
            <w:pPr>
              <w:spacing w:after="0" w:line="156" w:lineRule="exact"/>
              <w:rPr>
                <w:rFonts w:ascii="Arial" w:cs="Arial" w:eastAsia="Arial" w:hAnsi="Arial"/>
                <w:sz w:val="18"/>
                <w:szCs w:val="18"/>
                <w:color w:val="0000FF"/>
                <w:w w:val="93"/>
              </w:rPr>
            </w:pPr>
            <w:hyperlink r:id="rId137">
              <w:r>
                <w:rPr>
                  <w:rFonts w:ascii="Arial" w:cs="Arial" w:eastAsia="Arial" w:hAnsi="Arial"/>
                  <w:sz w:val="18"/>
                  <w:szCs w:val="18"/>
                  <w:color w:val="0000FF"/>
                  <w:w w:val="93"/>
                </w:rPr>
                <w:t>(incorporated by reference to Exhibit 10.2 to CME Group Inc.'s Current Report on Form 8-K, filed with the SEC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40" w:type="dxa"/>
            <w:vAlign w:val="bottom"/>
            <w:tcBorders>
              <w:top w:val="single" w:sz="8" w:color="0000FF"/>
            </w:tcBorders>
            <w:gridSpan w:val="34"/>
          </w:tcPr>
          <w:p>
            <w:pPr>
              <w:spacing w:after="0" w:line="156" w:lineRule="exact"/>
              <w:rPr>
                <w:rFonts w:ascii="Arial" w:cs="Arial" w:eastAsia="Arial" w:hAnsi="Arial"/>
                <w:sz w:val="18"/>
                <w:szCs w:val="18"/>
                <w:color w:val="0000FF"/>
                <w:w w:val="94"/>
              </w:rPr>
            </w:pPr>
            <w:hyperlink r:id="rId138">
              <w:r>
                <w:rPr>
                  <w:rFonts w:ascii="Arial" w:cs="Arial" w:eastAsia="Arial" w:hAnsi="Arial"/>
                  <w:sz w:val="18"/>
                  <w:szCs w:val="18"/>
                  <w:color w:val="0000FF"/>
                  <w:w w:val="94"/>
                </w:rPr>
                <w:t>May 29, 2012</w:t>
              </w:r>
              <w:r>
                <w:rPr>
                  <w:rFonts w:ascii="Arial" w:cs="Arial" w:eastAsia="Arial" w:hAnsi="Arial"/>
                  <w:sz w:val="18"/>
                  <w:szCs w:val="18"/>
                  <w:color w:val="000000"/>
                  <w:w w:val="94"/>
                </w:rPr>
                <w:t>;</w:t>
              </w:r>
              <w:r>
                <w:rPr>
                  <w:rFonts w:ascii="Arial" w:cs="Arial" w:eastAsia="Arial" w:hAnsi="Arial"/>
                  <w:sz w:val="18"/>
                  <w:szCs w:val="18"/>
                  <w:color w:val="0000FF"/>
                  <w:w w:val="94"/>
                </w:rPr>
                <w:t xml:space="preserve"> First Amendment to the Amended and Restated Employee Stock Purchase Plan, effective as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gridSpan w:val="25"/>
            <w:vMerge w:val="restart"/>
          </w:tcPr>
          <w:p>
            <w:pPr>
              <w:spacing w:after="0" w:line="176" w:lineRule="exact"/>
              <w:rPr>
                <w:rFonts w:ascii="Arial" w:cs="Arial" w:eastAsia="Arial" w:hAnsi="Arial"/>
                <w:sz w:val="18"/>
                <w:szCs w:val="18"/>
                <w:color w:val="0000FF"/>
              </w:rPr>
            </w:pPr>
            <w:hyperlink r:id="rId138">
              <w:r>
                <w:rPr>
                  <w:rFonts w:ascii="Arial" w:cs="Arial" w:eastAsia="Arial" w:hAnsi="Arial"/>
                  <w:sz w:val="18"/>
                  <w:szCs w:val="18"/>
                  <w:color w:val="0000FF"/>
                </w:rPr>
                <w:t>SEC on</w:t>
              </w:r>
            </w:hyperlink>
          </w:p>
        </w:tc>
        <w:tc>
          <w:tcPr>
            <w:tcW w:w="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4"/>
          </w:tcPr>
          <w:p>
            <w:pPr>
              <w:spacing w:after="0" w:line="156" w:lineRule="exact"/>
              <w:rPr>
                <w:rFonts w:ascii="Arial" w:cs="Arial" w:eastAsia="Arial" w:hAnsi="Arial"/>
                <w:sz w:val="18"/>
                <w:szCs w:val="18"/>
                <w:color w:val="0000FF"/>
                <w:w w:val="95"/>
              </w:rPr>
            </w:pPr>
            <w:hyperlink r:id="rId138">
              <w:r>
                <w:rPr>
                  <w:rFonts w:ascii="Arial" w:cs="Arial" w:eastAsia="Arial" w:hAnsi="Arial"/>
                  <w:sz w:val="18"/>
                  <w:szCs w:val="18"/>
                  <w:color w:val="0000FF"/>
                  <w:w w:val="95"/>
                </w:rPr>
                <w:t>December 5,</w:t>
              </w:r>
            </w:hyperlink>
          </w:p>
        </w:tc>
        <w:tc>
          <w:tcPr>
            <w:tcW w:w="6920" w:type="dxa"/>
            <w:vAlign w:val="bottom"/>
            <w:gridSpan w:val="17"/>
          </w:tcPr>
          <w:p>
            <w:pPr>
              <w:spacing w:after="0" w:line="156"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2012 (incorporated by reference to Exhibit 10.7 to CME Group Inc.'s Form 10-K, filed with the</w:t>
              </w:r>
            </w:hyperlink>
          </w:p>
        </w:tc>
        <w:tc>
          <w:tcPr>
            <w:tcW w:w="2060" w:type="dxa"/>
            <w:vAlign w:val="bottom"/>
            <w:gridSpan w:val="2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February 28, 2013).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6"/>
          </w:tcPr>
          <w:p>
            <w:pPr>
              <w:spacing w:after="0"/>
              <w:rPr>
                <w:rFonts w:ascii="Arial" w:cs="Arial" w:eastAsia="Arial" w:hAnsi="Arial"/>
                <w:sz w:val="18"/>
                <w:szCs w:val="18"/>
                <w:color w:val="0000FF"/>
              </w:rPr>
            </w:pPr>
            <w:hyperlink r:id="rId139">
              <w:r>
                <w:rPr>
                  <w:rFonts w:ascii="Arial" w:cs="Arial" w:eastAsia="Arial" w:hAnsi="Arial"/>
                  <w:sz w:val="18"/>
                  <w:szCs w:val="18"/>
                  <w:color w:val="0000FF"/>
                </w:rPr>
                <w:t>Chicago Mercantile Exchange Inc. Senior Management Supplemental Deferred Savings Plan (SMSDSP), Amended</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60" w:type="dxa"/>
            <w:vAlign w:val="bottom"/>
            <w:tcBorders>
              <w:top w:val="single" w:sz="8" w:color="0000FF"/>
              <w:bottom w:val="single" w:sz="8" w:color="0000FF"/>
            </w:tcBorders>
            <w:gridSpan w:val="35"/>
          </w:tcPr>
          <w:p>
            <w:pPr>
              <w:spacing w:after="0" w:line="156"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and Restated as of January 1, 2017 (incorporated by reference to Exhibit 10.1 to CME Group Inc.'s Form 10-Q,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tcBorders>
              <w:bottom w:val="single" w:sz="8" w:color="0000FF"/>
            </w:tcBorders>
            <w:gridSpan w:val="8"/>
          </w:tcPr>
          <w:p>
            <w:pPr>
              <w:spacing w:after="0" w:line="156"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with the SEC on August 2, 2017).</w:t>
              </w:r>
            </w:hyperlink>
          </w:p>
        </w:tc>
        <w:tc>
          <w:tcPr>
            <w:tcW w:w="5960" w:type="dxa"/>
            <w:vAlign w:val="bottom"/>
            <w:gridSpan w:val="2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6"/>
          </w:tcPr>
          <w:p>
            <w:pPr>
              <w:spacing w:after="0"/>
              <w:rPr>
                <w:rFonts w:ascii="Arial" w:cs="Arial" w:eastAsia="Arial" w:hAnsi="Arial"/>
                <w:sz w:val="18"/>
                <w:szCs w:val="18"/>
                <w:color w:val="0000FF"/>
              </w:rPr>
            </w:pPr>
            <w:hyperlink r:id="rId140">
              <w:r>
                <w:rPr>
                  <w:rFonts w:ascii="Arial" w:cs="Arial" w:eastAsia="Arial" w:hAnsi="Arial"/>
                  <w:sz w:val="18"/>
                  <w:szCs w:val="18"/>
                  <w:color w:val="0000FF"/>
                </w:rPr>
                <w:t>Chicago Mercantile Exchange Inc. Directors' Deferred Compensation Plan, amended and restated as of January 1,</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30"/>
          </w:tcPr>
          <w:p>
            <w:pPr>
              <w:spacing w:after="0" w:line="15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2009 (incorporated by reference to Exhibit 10.9 to CME Group Inc.'s Form 10-K, filed with the SEC on March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140">
              <w:r>
                <w:rPr>
                  <w:rFonts w:ascii="Arial" w:cs="Arial" w:eastAsia="Arial" w:hAnsi="Arial"/>
                  <w:sz w:val="18"/>
                  <w:szCs w:val="18"/>
                  <w:color w:val="0000FF"/>
                  <w:w w:val="86"/>
                </w:rPr>
                <w:t>2009).</w:t>
              </w:r>
            </w:hyperlink>
          </w:p>
        </w:tc>
        <w:tc>
          <w:tcPr>
            <w:tcW w:w="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6"/>
          </w:tcPr>
          <w:p>
            <w:pPr>
              <w:spacing w:after="0"/>
              <w:rPr>
                <w:rFonts w:ascii="Arial" w:cs="Arial" w:eastAsia="Arial" w:hAnsi="Arial"/>
                <w:sz w:val="18"/>
                <w:szCs w:val="18"/>
                <w:color w:val="0000FF"/>
              </w:rPr>
            </w:pPr>
            <w:hyperlink r:id="rId141">
              <w:r>
                <w:rPr>
                  <w:rFonts w:ascii="Arial" w:cs="Arial" w:eastAsia="Arial" w:hAnsi="Arial"/>
                  <w:sz w:val="18"/>
                  <w:szCs w:val="18"/>
                  <w:color w:val="0000FF"/>
                </w:rPr>
                <w:t>Chicago Mercantile Exchange Inc. Supplemental Executive Retirement Plan consisting of the Grandfathered</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20" w:type="dxa"/>
            <w:vAlign w:val="bottom"/>
            <w:tcBorders>
              <w:top w:val="single" w:sz="8" w:color="0000FF"/>
            </w:tcBorders>
            <w:gridSpan w:val="20"/>
          </w:tcPr>
          <w:p>
            <w:pPr>
              <w:spacing w:after="0" w:line="156" w:lineRule="exact"/>
              <w:rPr>
                <w:rFonts w:ascii="Arial" w:cs="Arial" w:eastAsia="Arial" w:hAnsi="Arial"/>
                <w:sz w:val="18"/>
                <w:szCs w:val="18"/>
                <w:color w:val="0000FF"/>
                <w:w w:val="88"/>
              </w:rPr>
            </w:pPr>
            <w:hyperlink r:id="rId141">
              <w:r>
                <w:rPr>
                  <w:rFonts w:ascii="Arial" w:cs="Arial" w:eastAsia="Arial" w:hAnsi="Arial"/>
                  <w:sz w:val="18"/>
                  <w:szCs w:val="18"/>
                  <w:color w:val="0000FF"/>
                  <w:w w:val="88"/>
                </w:rPr>
                <w:t>Supplemental Retirement Plan, amended and restated as of January 1, 2008, and the Amended and Restated</w:t>
              </w:r>
            </w:hyperlink>
          </w:p>
        </w:tc>
        <w:tc>
          <w:tcPr>
            <w:tcW w:w="2160" w:type="dxa"/>
            <w:vAlign w:val="bottom"/>
            <w:gridSpan w:val="26"/>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409A</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29"/>
          </w:tcPr>
          <w:p>
            <w:pPr>
              <w:spacing w:after="0" w:line="156" w:lineRule="exact"/>
              <w:rPr>
                <w:rFonts w:ascii="Arial" w:cs="Arial" w:eastAsia="Arial" w:hAnsi="Arial"/>
                <w:sz w:val="18"/>
                <w:szCs w:val="18"/>
                <w:color w:val="0000FF"/>
                <w:w w:val="89"/>
              </w:rPr>
            </w:pPr>
            <w:hyperlink r:id="rId141">
              <w:r>
                <w:rPr>
                  <w:rFonts w:ascii="Arial" w:cs="Arial" w:eastAsia="Arial" w:hAnsi="Arial"/>
                  <w:sz w:val="18"/>
                  <w:szCs w:val="18"/>
                  <w:color w:val="0000FF"/>
                  <w:w w:val="89"/>
                </w:rPr>
                <w:t>Supplemental Executive Retirement Plan, amended and restated as of January 1, 2008 (incorporated by reference</w:t>
              </w:r>
            </w:hyperlink>
          </w:p>
        </w:tc>
        <w:tc>
          <w:tcPr>
            <w:tcW w:w="1780" w:type="dxa"/>
            <w:vAlign w:val="bottom"/>
            <w:gridSpan w:val="17"/>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Exhibit 10.9 to CME Group Inc.'s Form 10-K, filed with the SEC on February 28, 2008).</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940" w:type="dxa"/>
            <w:vAlign w:val="bottom"/>
            <w:tcBorders>
              <w:bottom w:val="single" w:sz="8" w:color="0000FF"/>
            </w:tcBorders>
            <w:gridSpan w:val="22"/>
          </w:tcPr>
          <w:p>
            <w:pPr>
              <w:spacing w:after="0"/>
              <w:rPr>
                <w:rFonts w:ascii="Arial" w:cs="Arial" w:eastAsia="Arial" w:hAnsi="Arial"/>
                <w:sz w:val="18"/>
                <w:szCs w:val="18"/>
                <w:color w:val="0000FF"/>
                <w:w w:val="90"/>
              </w:rPr>
            </w:pPr>
            <w:hyperlink r:id="rId142">
              <w:r>
                <w:rPr>
                  <w:rFonts w:ascii="Arial" w:cs="Arial" w:eastAsia="Arial" w:hAnsi="Arial"/>
                  <w:sz w:val="18"/>
                  <w:szCs w:val="18"/>
                  <w:color w:val="0000FF"/>
                  <w:w w:val="90"/>
                </w:rPr>
                <w:t>Chicago Mercantile Exchange Inc. Supplemental Executive Retirement Trust; First Amendment thereto, dated</w:t>
              </w:r>
            </w:hyperlink>
          </w:p>
        </w:tc>
        <w:tc>
          <w:tcPr>
            <w:tcW w:w="2040" w:type="dxa"/>
            <w:vAlign w:val="bottom"/>
            <w:gridSpan w:val="24"/>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46"/>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September 7, 1993 (incorporated by reference to Exhibit 10.5 to Chicago Mercantile Exchange Inc.'s Form S-4, filed</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with the SEC on February 24, 2000).</w:t>
              </w:r>
            </w:hyperlink>
          </w:p>
        </w:tc>
        <w:tc>
          <w:tcPr>
            <w:tcW w:w="5760" w:type="dxa"/>
            <w:vAlign w:val="bottom"/>
            <w:tcBorders>
              <w:top w:val="single" w:sz="8" w:color="0000FF"/>
            </w:tcBorders>
            <w:gridSpan w:val="29"/>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6"/>
          </w:tcPr>
          <w:p>
            <w:pPr>
              <w:spacing w:after="0"/>
              <w:rPr>
                <w:rFonts w:ascii="Arial" w:cs="Arial" w:eastAsia="Arial" w:hAnsi="Arial"/>
                <w:sz w:val="18"/>
                <w:szCs w:val="18"/>
                <w:color w:val="0000FF"/>
              </w:rPr>
            </w:pPr>
            <w:hyperlink r:id="rId143">
              <w:r>
                <w:rPr>
                  <w:rFonts w:ascii="Arial" w:cs="Arial" w:eastAsia="Arial" w:hAnsi="Arial"/>
                  <w:sz w:val="18"/>
                  <w:szCs w:val="18"/>
                  <w:color w:val="0000FF"/>
                </w:rPr>
                <w:t>Recognition and Retention Plan for Members of the COMEX Division of New York Mercantile Exchange</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4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(incorporated by reference to Exhibit 10.11 to NYMEX Holdings, Inc.'s Form 10-K, filed with the SEC on</w:t>
              </w:r>
            </w:hyperlink>
          </w:p>
        </w:tc>
        <w:tc>
          <w:tcPr>
            <w:tcW w:w="2340" w:type="dxa"/>
            <w:vAlign w:val="bottom"/>
            <w:gridSpan w:val="27"/>
          </w:tcPr>
          <w:p>
            <w:pPr>
              <w:ind w:left="80"/>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March 29,</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42"/>
          </w:tcPr>
          <w:p>
            <w:pPr>
              <w:spacing w:after="0" w:line="156" w:lineRule="exact"/>
              <w:rPr>
                <w:rFonts w:ascii="Arial" w:cs="Arial" w:eastAsia="Arial" w:hAnsi="Arial"/>
                <w:sz w:val="18"/>
                <w:szCs w:val="18"/>
                <w:color w:val="0000FF"/>
                <w:w w:val="95"/>
              </w:rPr>
            </w:pPr>
            <w:hyperlink r:id="rId144">
              <w:r>
                <w:rPr>
                  <w:rFonts w:ascii="Arial" w:cs="Arial" w:eastAsia="Arial" w:hAnsi="Arial"/>
                  <w:sz w:val="18"/>
                  <w:szCs w:val="18"/>
                  <w:color w:val="0000FF"/>
                  <w:w w:val="95"/>
                </w:rPr>
                <w:t>2001)</w:t>
              </w:r>
              <w:r>
                <w:rPr>
                  <w:rFonts w:ascii="Arial" w:cs="Arial" w:eastAsia="Arial" w:hAnsi="Arial"/>
                  <w:sz w:val="18"/>
                  <w:szCs w:val="18"/>
                  <w:color w:val="000000"/>
                  <w:w w:val="95"/>
                </w:rPr>
                <w:t>;</w:t>
              </w:r>
              <w:r>
                <w:rPr>
                  <w:rFonts w:ascii="Arial" w:cs="Arial" w:eastAsia="Arial" w:hAnsi="Arial"/>
                  <w:sz w:val="18"/>
                  <w:szCs w:val="18"/>
                  <w:color w:val="0000FF"/>
                  <w:w w:val="95"/>
                </w:rPr>
                <w:t xml:space="preserve"> Amendment to the Recognition and Retention Plan for Members of the COMEX Division of the New York</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46"/>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Mercantile Exchange, dated October 22, 2015 (incorporated by reference to Exhibit 10.1 to CME Group Inc.'s Form</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10-Q, filed with the SEC on November 6, 2015).</w:t>
              </w:r>
            </w:hyperlink>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10.10(1)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6"/>
          </w:tcPr>
          <w:p>
            <w:pPr>
              <w:spacing w:after="0"/>
              <w:rPr>
                <w:rFonts w:ascii="Arial" w:cs="Arial" w:eastAsia="Arial" w:hAnsi="Arial"/>
                <w:sz w:val="18"/>
                <w:szCs w:val="18"/>
                <w:color w:val="0000FF"/>
              </w:rPr>
            </w:pPr>
            <w:hyperlink r:id="rId145">
              <w:r>
                <w:rPr>
                  <w:rFonts w:ascii="Arial" w:cs="Arial" w:eastAsia="Arial" w:hAnsi="Arial"/>
                  <w:sz w:val="18"/>
                  <w:szCs w:val="18"/>
                  <w:color w:val="0000FF"/>
                </w:rPr>
                <w:t>Second Amended and Restated CME Group Inc. Incentive Plan for Named Executive Officers (Amended and</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20" w:type="dxa"/>
            <w:vAlign w:val="bottom"/>
            <w:tcBorders>
              <w:top w:val="single" w:sz="8" w:color="0000FF"/>
            </w:tcBorders>
            <w:gridSpan w:val="21"/>
          </w:tcPr>
          <w:p>
            <w:pPr>
              <w:spacing w:after="0" w:line="15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Restated as of May 24, 2017) (incorporated by reference to Exhibit 10.1 to CME Group Inc.’s Current Report</w:t>
              </w:r>
            </w:hyperlink>
          </w:p>
        </w:tc>
        <w:tc>
          <w:tcPr>
            <w:tcW w:w="2060" w:type="dxa"/>
            <w:vAlign w:val="bottom"/>
            <w:gridSpan w:val="25"/>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on</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Form 8-K, filed with the SEC on May 30, 2017).</w:t>
              </w:r>
            </w:hyperlink>
          </w:p>
        </w:tc>
        <w:tc>
          <w:tcPr>
            <w:tcW w:w="45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80" w:type="dxa"/>
            <w:vAlign w:val="bottom"/>
            <w:tcBorders>
              <w:bottom w:val="single" w:sz="8" w:color="0000FF"/>
            </w:tcBorders>
            <w:gridSpan w:val="18"/>
          </w:tcPr>
          <w:p>
            <w:pPr>
              <w:spacing w:after="0"/>
              <w:rPr>
                <w:rFonts w:ascii="Arial" w:cs="Arial" w:eastAsia="Arial" w:hAnsi="Arial"/>
                <w:sz w:val="18"/>
                <w:szCs w:val="18"/>
                <w:color w:val="0000FF"/>
                <w:w w:val="90"/>
              </w:rPr>
            </w:pPr>
            <w:hyperlink r:id="rId146">
              <w:r>
                <w:rPr>
                  <w:rFonts w:ascii="Arial" w:cs="Arial" w:eastAsia="Arial" w:hAnsi="Arial"/>
                  <w:sz w:val="18"/>
                  <w:szCs w:val="18"/>
                  <w:color w:val="0000FF"/>
                  <w:w w:val="90"/>
                </w:rPr>
                <w:t>CME Group Inc. Severance Plan for Eligible Executives, amended and restated effective January 1, 2013</w:t>
              </w:r>
            </w:hyperlink>
          </w:p>
        </w:tc>
        <w:tc>
          <w:tcPr>
            <w:tcW w:w="2400" w:type="dxa"/>
            <w:vAlign w:val="bottom"/>
            <w:gridSpan w:val="28"/>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46"/>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(incorporated by reference to Exhibit 10.16 to CME Group Inc.'s Form 10-K, filed with the SEC on February 28,</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tcBorders>
            <w:gridSpan w:val="26"/>
          </w:tcPr>
          <w:p>
            <w:pPr>
              <w:spacing w:after="0" w:line="15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2014)</w:t>
              </w:r>
              <w:r>
                <w:rPr>
                  <w:rFonts w:ascii="Arial" w:cs="Arial" w:eastAsia="Arial" w:hAnsi="Arial"/>
                  <w:sz w:val="18"/>
                  <w:szCs w:val="18"/>
                  <w:color w:val="000000"/>
                  <w:w w:val="91"/>
                </w:rPr>
                <w:t>;</w:t>
              </w:r>
              <w:r>
                <w:rPr>
                  <w:rFonts w:ascii="Arial" w:cs="Arial" w:eastAsia="Arial" w:hAnsi="Arial"/>
                  <w:sz w:val="18"/>
                  <w:szCs w:val="18"/>
                  <w:color w:val="0000FF"/>
                  <w:w w:val="91"/>
                </w:rPr>
                <w:t xml:space="preserve"> First Amendment to CME Group Inc. Severance Plan for Eligible Executives, effective as of October 13,</w:t>
              </w:r>
            </w:hyperlink>
          </w:p>
        </w:tc>
        <w:tc>
          <w:tcPr>
            <w:tcW w:w="420" w:type="dxa"/>
            <w:vAlign w:val="bottom"/>
            <w:gridSpan w:val="17"/>
          </w:tcPr>
          <w:p>
            <w:pPr>
              <w:jc w:val="right"/>
              <w:ind w:right="60"/>
              <w:spacing w:after="0" w:line="156" w:lineRule="exact"/>
              <w:rPr>
                <w:rFonts w:ascii="Arial" w:cs="Arial" w:eastAsia="Arial" w:hAnsi="Arial"/>
                <w:sz w:val="18"/>
                <w:szCs w:val="18"/>
                <w:color w:val="0000FF"/>
                <w:w w:val="84"/>
              </w:rPr>
            </w:pPr>
            <w:hyperlink r:id="rId147">
              <w:r>
                <w:rPr>
                  <w:rFonts w:ascii="Arial" w:cs="Arial" w:eastAsia="Arial" w:hAnsi="Arial"/>
                  <w:sz w:val="18"/>
                  <w:szCs w:val="18"/>
                  <w:color w:val="0000FF"/>
                  <w:w w:val="84"/>
                </w:rPr>
                <w:t>2014</w:t>
              </w:r>
            </w:hyperlink>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98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46"/>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(incorporated by reference to Exhibit 10.16 to CME Group Inc.'s Form 10-K, filed with the SEC on February 26,</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147">
              <w:r>
                <w:rPr>
                  <w:rFonts w:ascii="Arial" w:cs="Arial" w:eastAsia="Arial" w:hAnsi="Arial"/>
                  <w:sz w:val="18"/>
                  <w:szCs w:val="18"/>
                  <w:color w:val="0000FF"/>
                  <w:w w:val="86"/>
                </w:rPr>
                <w:t>2015).</w:t>
              </w:r>
            </w:hyperlink>
          </w:p>
        </w:tc>
        <w:tc>
          <w:tcPr>
            <w:tcW w:w="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6"/>
          </w:tcPr>
          <w:p>
            <w:pPr>
              <w:spacing w:after="0"/>
              <w:rPr>
                <w:rFonts w:ascii="Arial" w:cs="Arial" w:eastAsia="Arial" w:hAnsi="Arial"/>
                <w:sz w:val="18"/>
                <w:szCs w:val="18"/>
                <w:color w:val="0000FF"/>
              </w:rPr>
            </w:pPr>
            <w:hyperlink r:id="rId148">
              <w:r>
                <w:rPr>
                  <w:rFonts w:ascii="Arial" w:cs="Arial" w:eastAsia="Arial" w:hAnsi="Arial"/>
                  <w:sz w:val="18"/>
                  <w:szCs w:val="18"/>
                  <w:color w:val="0000FF"/>
                </w:rPr>
                <w:t>CME Group Inc. Severance Plan, amended and restated effective January 1, 2013 (incorporated by reference to</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0" w:type="dxa"/>
            <w:vAlign w:val="bottom"/>
            <w:tcBorders>
              <w:top w:val="single" w:sz="8" w:color="0000FF"/>
            </w:tcBorders>
            <w:gridSpan w:val="23"/>
          </w:tcPr>
          <w:p>
            <w:pPr>
              <w:spacing w:after="0" w:line="156" w:lineRule="exact"/>
              <w:rPr>
                <w:rFonts w:ascii="Arial" w:cs="Arial" w:eastAsia="Arial" w:hAnsi="Arial"/>
                <w:sz w:val="18"/>
                <w:szCs w:val="18"/>
                <w:color w:val="0000FF"/>
                <w:w w:val="92"/>
              </w:rPr>
            </w:pPr>
            <w:hyperlink r:id="rId149">
              <w:r>
                <w:rPr>
                  <w:rFonts w:ascii="Arial" w:cs="Arial" w:eastAsia="Arial" w:hAnsi="Arial"/>
                  <w:sz w:val="18"/>
                  <w:szCs w:val="18"/>
                  <w:color w:val="0000FF"/>
                  <w:w w:val="92"/>
                </w:rPr>
                <w:t>Exhibit 10.17 to CME Group Inc.'s Form 10-K, filed with the SEC on February 28, 2014)</w:t>
              </w:r>
              <w:r>
                <w:rPr>
                  <w:rFonts w:ascii="Arial" w:cs="Arial" w:eastAsia="Arial" w:hAnsi="Arial"/>
                  <w:sz w:val="18"/>
                  <w:szCs w:val="18"/>
                  <w:color w:val="000000"/>
                  <w:w w:val="92"/>
                </w:rPr>
                <w:t>;</w:t>
              </w:r>
              <w:r>
                <w:rPr>
                  <w:rFonts w:ascii="Arial" w:cs="Arial" w:eastAsia="Arial" w:hAnsi="Arial"/>
                  <w:sz w:val="18"/>
                  <w:szCs w:val="18"/>
                  <w:color w:val="0000FF"/>
                  <w:w w:val="92"/>
                </w:rPr>
                <w:t xml:space="preserve"> First Amendment to</w:t>
              </w:r>
            </w:hyperlink>
          </w:p>
        </w:tc>
        <w:tc>
          <w:tcPr>
            <w:tcW w:w="40" w:type="dxa"/>
            <w:vAlign w:val="bottom"/>
          </w:tcPr>
          <w:p>
            <w:pPr>
              <w:spacing w:after="0"/>
              <w:rPr>
                <w:sz w:val="13"/>
                <w:szCs w:val="13"/>
                <w:color w:val="auto"/>
              </w:rPr>
            </w:pPr>
          </w:p>
        </w:tc>
        <w:tc>
          <w:tcPr>
            <w:tcW w:w="1940" w:type="dxa"/>
            <w:vAlign w:val="bottom"/>
            <w:gridSpan w:val="22"/>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46"/>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Amended and Restated CME Group Inc. Severance Plan, effective October 13, 2014 (incorporated by reference to</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149">
              <w:r>
                <w:rPr>
                  <w:rFonts w:ascii="Arial" w:cs="Arial" w:eastAsia="Arial" w:hAnsi="Arial"/>
                  <w:sz w:val="18"/>
                  <w:szCs w:val="18"/>
                  <w:color w:val="0000FF"/>
                  <w:w w:val="92"/>
                </w:rPr>
                <w:t>Exhibit 10.17 to CME Group Inc.'s Form 10-K, filed with the SEC on February 26, 2015).</w:t>
              </w:r>
            </w:hyperlink>
          </w:p>
        </w:tc>
        <w:tc>
          <w:tcPr>
            <w:tcW w:w="1760" w:type="dxa"/>
            <w:vAlign w:val="bottom"/>
            <w:tcBorders>
              <w:top w:val="single" w:sz="8" w:color="0000FF"/>
            </w:tcBorders>
            <w:gridSpan w:val="18"/>
          </w:tcPr>
          <w:p>
            <w:pPr>
              <w:spacing w:after="0"/>
              <w:rPr>
                <w:sz w:val="13"/>
                <w:szCs w:val="13"/>
                <w:color w:val="auto"/>
              </w:rPr>
            </w:pPr>
          </w:p>
        </w:tc>
        <w:tc>
          <w:tcPr>
            <w:tcW w:w="28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6"/>
          </w:tcPr>
          <w:p>
            <w:pPr>
              <w:spacing w:after="0"/>
              <w:rPr>
                <w:rFonts w:ascii="Arial" w:cs="Arial" w:eastAsia="Arial" w:hAnsi="Arial"/>
                <w:sz w:val="18"/>
                <w:szCs w:val="18"/>
                <w:color w:val="0000FF"/>
              </w:rPr>
            </w:pPr>
            <w:hyperlink r:id="rId150">
              <w:r>
                <w:rPr>
                  <w:rFonts w:ascii="Arial" w:cs="Arial" w:eastAsia="Arial" w:hAnsi="Arial"/>
                  <w:sz w:val="18"/>
                  <w:szCs w:val="18"/>
                  <w:color w:val="0000FF"/>
                </w:rPr>
                <w:t>License Agreement, dated June 29, 2012, between Standard &amp; Poor's Financial Services LLC and Chicago Mercantile</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43"/>
          </w:tcPr>
          <w:p>
            <w:pPr>
              <w:spacing w:after="0" w:line="156" w:lineRule="exact"/>
              <w:rPr>
                <w:rFonts w:ascii="Arial" w:cs="Arial" w:eastAsia="Arial" w:hAnsi="Arial"/>
                <w:sz w:val="18"/>
                <w:szCs w:val="18"/>
                <w:color w:val="0000FF"/>
                <w:w w:val="96"/>
              </w:rPr>
            </w:pPr>
            <w:hyperlink r:id="rId150">
              <w:r>
                <w:rPr>
                  <w:rFonts w:ascii="Arial" w:cs="Arial" w:eastAsia="Arial" w:hAnsi="Arial"/>
                  <w:sz w:val="18"/>
                  <w:szCs w:val="18"/>
                  <w:color w:val="0000FF"/>
                  <w:w w:val="96"/>
                </w:rPr>
                <w:t>Exchange Inc. (incorporated by reference to Exhibit 10.6 to CME Group Inc.'s Form 10-Q, filed with the SEC on</w:t>
              </w:r>
            </w:hyperlink>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August 8, 2012).</w:t>
              </w:r>
            </w:hyperlink>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6"/>
          </w:tcPr>
          <w:p>
            <w:pPr>
              <w:spacing w:after="0"/>
              <w:rPr>
                <w:rFonts w:ascii="Arial" w:cs="Arial" w:eastAsia="Arial" w:hAnsi="Arial"/>
                <w:sz w:val="18"/>
                <w:szCs w:val="18"/>
                <w:color w:val="0000FF"/>
              </w:rPr>
            </w:pPr>
            <w:hyperlink r:id="rId122">
              <w:r>
                <w:rPr>
                  <w:rFonts w:ascii="Arial" w:cs="Arial" w:eastAsia="Arial" w:hAnsi="Arial"/>
                  <w:sz w:val="18"/>
                  <w:szCs w:val="18"/>
                  <w:color w:val="0000FF"/>
                </w:rPr>
                <w:t>Amended and Restated Commercial Paper Dealer Agreement, dated as of October 20, 2014, among CME Group Inc.,</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43"/>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as Issuer, and Barclays Capital Inc., as Dealer (incorporated by reference to Exhibit 4.1 above).</w:t>
              </w:r>
            </w:hyperlink>
          </w:p>
        </w:tc>
        <w:tc>
          <w:tcPr>
            <w:tcW w:w="2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5420" w:type="dxa"/>
            <w:vAlign w:val="bottom"/>
            <w:gridSpan w:val="9"/>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6"/>
          </w:tcPr>
          <w:p>
            <w:pPr>
              <w:spacing w:after="0"/>
              <w:rPr>
                <w:rFonts w:ascii="Arial" w:cs="Arial" w:eastAsia="Arial" w:hAnsi="Arial"/>
                <w:sz w:val="18"/>
                <w:szCs w:val="18"/>
                <w:color w:val="0000FF"/>
              </w:rPr>
            </w:pPr>
            <w:hyperlink r:id="rId123">
              <w:r>
                <w:rPr>
                  <w:rFonts w:ascii="Arial" w:cs="Arial" w:eastAsia="Arial" w:hAnsi="Arial"/>
                  <w:sz w:val="18"/>
                  <w:szCs w:val="18"/>
                  <w:color w:val="0000FF"/>
                </w:rPr>
                <w:t>Commercial Paper Issuing and Paying Agency Agreement, dated as of September 26, 2014, between CME Group Inc.</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60" w:type="dxa"/>
            <w:vAlign w:val="bottom"/>
            <w:tcBorders>
              <w:top w:val="single" w:sz="8" w:color="0000FF"/>
            </w:tcBorders>
            <w:gridSpan w:val="44"/>
          </w:tcPr>
          <w:p>
            <w:pPr>
              <w:spacing w:after="0" w:line="156" w:lineRule="exact"/>
              <w:rPr>
                <w:rFonts w:ascii="Arial" w:cs="Arial" w:eastAsia="Arial" w:hAnsi="Arial"/>
                <w:sz w:val="18"/>
                <w:szCs w:val="18"/>
                <w:color w:val="0000FF"/>
                <w:w w:val="94"/>
              </w:rPr>
            </w:pPr>
            <w:hyperlink r:id="rId123">
              <w:r>
                <w:rPr>
                  <w:rFonts w:ascii="Arial" w:cs="Arial" w:eastAsia="Arial" w:hAnsi="Arial"/>
                  <w:sz w:val="18"/>
                  <w:szCs w:val="18"/>
                  <w:color w:val="0000FF"/>
                  <w:w w:val="94"/>
                </w:rPr>
                <w:t>and Bank of America, National Association, as Issuing and Paying Agent (incorporated by reference to Exhibit 4.2</w:t>
              </w:r>
            </w:hyperlink>
          </w:p>
        </w:tc>
        <w:tc>
          <w:tcPr>
            <w:tcW w:w="1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above).</w:t>
              </w:r>
            </w:hyperlink>
          </w:p>
        </w:tc>
        <w:tc>
          <w:tcPr>
            <w:tcW w:w="17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940" w:type="dxa"/>
            <w:vAlign w:val="bottom"/>
            <w:gridSpan w:val="10"/>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7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6"/>
          </w:tcPr>
          <w:p>
            <w:pPr>
              <w:spacing w:after="0"/>
              <w:rPr>
                <w:rFonts w:ascii="Arial" w:cs="Arial" w:eastAsia="Arial" w:hAnsi="Arial"/>
                <w:sz w:val="18"/>
                <w:szCs w:val="18"/>
                <w:color w:val="0000FF"/>
              </w:rPr>
            </w:pPr>
            <w:hyperlink r:id="rId124">
              <w:r>
                <w:rPr>
                  <w:rFonts w:ascii="Arial" w:cs="Arial" w:eastAsia="Arial" w:hAnsi="Arial"/>
                  <w:sz w:val="18"/>
                  <w:szCs w:val="18"/>
                  <w:color w:val="0000FF"/>
                </w:rPr>
                <w:t>Amended and Restated Commercial Paper Dealer Agreement, dated as of October 20, 2014, between CME Group</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31"/>
          </w:tcPr>
          <w:p>
            <w:pPr>
              <w:spacing w:after="0" w:line="15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Inc., as Issuer, and Merrill Lynch, Pierce, Fenner &amp; Smith Incorporated, as Dealer (incorporated by reference to</w:t>
              </w:r>
            </w:hyperlink>
          </w:p>
        </w:tc>
        <w:tc>
          <w:tcPr>
            <w:tcW w:w="174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Exhibit 4.3 above).</w:t>
              </w:r>
            </w:hyperlink>
          </w:p>
        </w:tc>
        <w:tc>
          <w:tcPr>
            <w:tcW w:w="6620" w:type="dxa"/>
            <w:vAlign w:val="bottom"/>
            <w:tcBorders>
              <w:top w:val="single" w:sz="8" w:color="0000FF"/>
            </w:tcBorders>
            <w:gridSpan w:val="17"/>
          </w:tcPr>
          <w:p>
            <w:pPr>
              <w:spacing w:after="0"/>
              <w:rPr>
                <w:sz w:val="13"/>
                <w:szCs w:val="13"/>
                <w:color w:val="auto"/>
              </w:rPr>
            </w:pPr>
          </w:p>
        </w:tc>
        <w:tc>
          <w:tcPr>
            <w:tcW w:w="194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6"/>
          </w:tcPr>
          <w:p>
            <w:pPr>
              <w:spacing w:after="0"/>
              <w:rPr>
                <w:rFonts w:ascii="Arial" w:cs="Arial" w:eastAsia="Arial" w:hAnsi="Arial"/>
                <w:sz w:val="18"/>
                <w:szCs w:val="18"/>
                <w:color w:val="0000FF"/>
              </w:rPr>
            </w:pPr>
            <w:hyperlink r:id="rId125">
              <w:r>
                <w:rPr>
                  <w:rFonts w:ascii="Arial" w:cs="Arial" w:eastAsia="Arial" w:hAnsi="Arial"/>
                  <w:sz w:val="18"/>
                  <w:szCs w:val="18"/>
                  <w:color w:val="0000FF"/>
                </w:rPr>
                <w:t>Amended and Restated Commercial Paper Dealer Agreement, dated as of October 20, 2014, between CME Group</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Inc., as Issuer, and Goldman, Sachs &amp; Co., as Dealer (incorporated by reference to Exhibit 4.4 above).</w:t>
              </w:r>
            </w:hyperlink>
          </w:p>
        </w:tc>
        <w:tc>
          <w:tcPr>
            <w:tcW w:w="174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006"/>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Borders>
              <w:top w:val="single" w:sz="8" w:color="0000FF"/>
            </w:tcBorders>
            <w:gridSpan w:val="12"/>
          </w:tcPr>
          <w:p>
            <w:pPr>
              <w:ind w:left="4280"/>
              <w:spacing w:after="0"/>
              <w:rPr>
                <w:sz w:val="20"/>
                <w:szCs w:val="20"/>
                <w:color w:val="auto"/>
              </w:rPr>
            </w:pPr>
            <w:r>
              <w:rPr>
                <w:rFonts w:ascii="Arial" w:cs="Arial" w:eastAsia="Arial" w:hAnsi="Arial"/>
                <w:sz w:val="18"/>
                <w:szCs w:val="18"/>
                <w:color w:val="auto"/>
              </w:rPr>
              <w:t>89</w:t>
            </w:r>
          </w:p>
        </w:tc>
        <w:tc>
          <w:tcPr>
            <w:tcW w:w="18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7"/>
        </w:trPr>
        <w:tc>
          <w:tcPr>
            <w:tcW w:w="1020" w:type="dxa"/>
            <w:vAlign w:val="bottom"/>
            <w:tcBorders>
              <w:top w:val="single" w:sz="8" w:color="0000FF"/>
            </w:tcBorders>
          </w:tcPr>
          <w:p>
            <w:pPr>
              <w:ind w:left="340"/>
              <w:spacing w:after="0"/>
              <w:rPr>
                <w:sz w:val="20"/>
                <w:szCs w:val="20"/>
                <w:color w:val="auto"/>
              </w:rPr>
            </w:pPr>
            <w:r>
              <w:rPr>
                <w:rFonts w:ascii="Arial" w:cs="Arial" w:eastAsia="Arial" w:hAnsi="Arial"/>
                <w:sz w:val="14"/>
                <w:szCs w:val="14"/>
                <w:b w:val="1"/>
                <w:bCs w:val="1"/>
                <w:color w:val="auto"/>
              </w:rPr>
              <w:t>Exhibit</w:t>
            </w:r>
          </w:p>
        </w:tc>
        <w:tc>
          <w:tcPr>
            <w:tcW w:w="2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20" w:type="dxa"/>
            <w:vAlign w:val="bottom"/>
            <w:gridSpan w:val="17"/>
            <w:vMerge w:val="restart"/>
          </w:tcPr>
          <w:p>
            <w:pPr>
              <w:ind w:left="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8"/>
        </w:trPr>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2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2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10.18</w:t>
            </w: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540" w:type="dxa"/>
            <w:vAlign w:val="bottom"/>
            <w:tcBorders>
              <w:top w:val="single" w:sz="8" w:color="auto"/>
            </w:tcBorders>
            <w:gridSpan w:val="23"/>
          </w:tcPr>
          <w:p>
            <w:pPr>
              <w:spacing w:after="0" w:line="184" w:lineRule="exact"/>
              <w:rPr>
                <w:rFonts w:ascii="Arial" w:cs="Arial" w:eastAsia="Arial" w:hAnsi="Arial"/>
                <w:sz w:val="18"/>
                <w:szCs w:val="18"/>
                <w:color w:val="0000FF"/>
                <w:w w:val="97"/>
              </w:rPr>
            </w:pPr>
            <w:hyperlink r:id="rId153">
              <w:r>
                <w:rPr>
                  <w:rFonts w:ascii="Arial" w:cs="Arial" w:eastAsia="Arial" w:hAnsi="Arial"/>
                  <w:sz w:val="18"/>
                  <w:szCs w:val="18"/>
                  <w:color w:val="0000FF"/>
                  <w:w w:val="97"/>
                </w:rPr>
                <w:t>Amendment No. 5 to Credit Agreement, dated as of April 28, 2021, among Chicago Mercantile Exchange Inc.,</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0" w:type="dxa"/>
            <w:vAlign w:val="bottom"/>
            <w:tcBorders>
              <w:top w:val="single" w:sz="8" w:color="0000FF"/>
            </w:tcBorders>
            <w:gridSpan w:val="14"/>
          </w:tcPr>
          <w:p>
            <w:pPr>
              <w:spacing w:after="0" w:line="156" w:lineRule="exact"/>
              <w:rPr>
                <w:rFonts w:ascii="Arial" w:cs="Arial" w:eastAsia="Arial" w:hAnsi="Arial"/>
                <w:sz w:val="18"/>
                <w:szCs w:val="18"/>
                <w:color w:val="0000FF"/>
                <w:w w:val="93"/>
              </w:rPr>
            </w:pPr>
            <w:hyperlink r:id="rId153">
              <w:r>
                <w:rPr>
                  <w:rFonts w:ascii="Arial" w:cs="Arial" w:eastAsia="Arial" w:hAnsi="Arial"/>
                  <w:sz w:val="18"/>
                  <w:szCs w:val="18"/>
                  <w:color w:val="0000FF"/>
                  <w:w w:val="93"/>
                </w:rPr>
                <w:t>certain lenders, Bank of America, N.A., as Administrative Agent, and Citibank, N.A., as Collateral Agent and</w:t>
              </w:r>
            </w:hyperlink>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9"/>
              </w:rPr>
            </w:pPr>
            <w:hyperlink r:id="rId153">
              <w:r>
                <w:rPr>
                  <w:rFonts w:ascii="Arial" w:cs="Arial" w:eastAsia="Arial" w:hAnsi="Arial"/>
                  <w:sz w:val="18"/>
                  <w:szCs w:val="18"/>
                  <w:color w:val="0000FF"/>
                  <w:w w:val="89"/>
                </w:rPr>
                <w:t>Collateral Monitoring Agent. The Amended Credit Agreement, as amended through Amendment No. 5, among</w:t>
              </w:r>
            </w:hyperlink>
          </w:p>
        </w:tc>
        <w:tc>
          <w:tcPr>
            <w:tcW w:w="8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gridSpan w:val="23"/>
          </w:tcPr>
          <w:p>
            <w:pPr>
              <w:spacing w:after="0" w:line="156" w:lineRule="exact"/>
              <w:rPr>
                <w:rFonts w:ascii="Arial" w:cs="Arial" w:eastAsia="Arial" w:hAnsi="Arial"/>
                <w:sz w:val="18"/>
                <w:szCs w:val="18"/>
                <w:color w:val="0000FF"/>
                <w:w w:val="94"/>
              </w:rPr>
            </w:pPr>
            <w:hyperlink r:id="rId153">
              <w:r>
                <w:rPr>
                  <w:rFonts w:ascii="Arial" w:cs="Arial" w:eastAsia="Arial" w:hAnsi="Arial"/>
                  <w:sz w:val="18"/>
                  <w:szCs w:val="18"/>
                  <w:color w:val="0000FF"/>
                  <w:w w:val="94"/>
                </w:rPr>
                <w:t>Chicago Mercantile Exchange Inc., certain lenders, Bank of America, N.A., as Administrative Agent, and Citibank,</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N.A., as Collateral Agent and Collateral Monitoring Agent, is attached as Annex A to Amendment No. 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40" w:type="dxa"/>
            <w:vAlign w:val="bottom"/>
            <w:tcBorders>
              <w:top w:val="single" w:sz="8" w:color="0000FF"/>
            </w:tcBorders>
            <w:gridSpan w:val="11"/>
          </w:tcPr>
          <w:p>
            <w:pPr>
              <w:spacing w:after="0" w:line="156" w:lineRule="exact"/>
              <w:rPr>
                <w:rFonts w:ascii="Arial" w:cs="Arial" w:eastAsia="Arial" w:hAnsi="Arial"/>
                <w:sz w:val="18"/>
                <w:szCs w:val="18"/>
                <w:color w:val="0000FF"/>
                <w:w w:val="93"/>
              </w:rPr>
            </w:pPr>
            <w:hyperlink r:id="rId153">
              <w:r>
                <w:rPr>
                  <w:rFonts w:ascii="Arial" w:cs="Arial" w:eastAsia="Arial" w:hAnsi="Arial"/>
                  <w:sz w:val="18"/>
                  <w:szCs w:val="18"/>
                  <w:color w:val="0000FF"/>
                  <w:w w:val="93"/>
                </w:rPr>
                <w:t>(incorporated by reference to Exhibit 10.1 to CME Group Inc.'s Current Report on Form 8-K, filed with</w:t>
              </w:r>
            </w:hyperlink>
          </w:p>
        </w:tc>
        <w:tc>
          <w:tcPr>
            <w:tcW w:w="1000" w:type="dxa"/>
            <w:vAlign w:val="bottom"/>
            <w:gridSpan w:val="12"/>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the SEC on</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r:id="rId153">
              <w:r>
                <w:rPr>
                  <w:rFonts w:ascii="Arial" w:cs="Arial" w:eastAsia="Arial" w:hAnsi="Arial"/>
                  <w:sz w:val="18"/>
                  <w:szCs w:val="18"/>
                  <w:color w:val="0000FF"/>
                  <w:w w:val="93"/>
                </w:rPr>
                <w:t>April 29, 2021).</w:t>
              </w:r>
            </w:hyperlink>
          </w:p>
        </w:tc>
        <w:tc>
          <w:tcPr>
            <w:tcW w:w="71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23"/>
          </w:tcPr>
          <w:p>
            <w:pPr>
              <w:spacing w:after="0"/>
              <w:rPr>
                <w:rFonts w:ascii="Arial" w:cs="Arial" w:eastAsia="Arial" w:hAnsi="Arial"/>
                <w:sz w:val="18"/>
                <w:szCs w:val="18"/>
                <w:color w:val="0000FF"/>
                <w:w w:val="95"/>
              </w:rPr>
            </w:pPr>
            <w:hyperlink r:id="rId154">
              <w:r>
                <w:rPr>
                  <w:rFonts w:ascii="Arial" w:cs="Arial" w:eastAsia="Arial" w:hAnsi="Arial"/>
                  <w:sz w:val="18"/>
                  <w:szCs w:val="18"/>
                  <w:color w:val="0000FF"/>
                  <w:w w:val="95"/>
                </w:rPr>
                <w:t>Form of Equity Grant Letter for Restricted Shares (incorporated by reference to Exhibit 10.1 to CME Group Inc.'s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Form 10-Q, filed with the SEC on November 3, 2021).</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10.20(1)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23"/>
          </w:tcPr>
          <w:p>
            <w:pPr>
              <w:spacing w:after="0"/>
              <w:rPr>
                <w:rFonts w:ascii="Arial" w:cs="Arial" w:eastAsia="Arial" w:hAnsi="Arial"/>
                <w:sz w:val="18"/>
                <w:szCs w:val="18"/>
                <w:color w:val="0000FF"/>
                <w:w w:val="94"/>
              </w:rPr>
            </w:pPr>
            <w:hyperlink r:id="rId155">
              <w:r>
                <w:rPr>
                  <w:rFonts w:ascii="Arial" w:cs="Arial" w:eastAsia="Arial" w:hAnsi="Arial"/>
                  <w:sz w:val="18"/>
                  <w:szCs w:val="18"/>
                  <w:color w:val="0000FF"/>
                  <w:w w:val="94"/>
                </w:rPr>
                <w:t>Form of Equity Grant Letter for Annual Grant of Performance Shares (incorporated by reference to Exhibit 10.2 to</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CME Group Inc.'s Form 10-Q, filed with the SEC on November 3, 2021).</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2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FF"/>
            </w:tcBorders>
            <w:gridSpan w:val="13"/>
          </w:tcPr>
          <w:p>
            <w:pPr>
              <w:spacing w:after="0"/>
              <w:rPr>
                <w:rFonts w:ascii="Arial" w:cs="Arial" w:eastAsia="Arial" w:hAnsi="Arial"/>
                <w:sz w:val="18"/>
                <w:szCs w:val="18"/>
                <w:color w:val="0000FF"/>
                <w:w w:val="89"/>
              </w:rPr>
            </w:pPr>
            <w:hyperlink r:id="rId156">
              <w:r>
                <w:rPr>
                  <w:rFonts w:ascii="Arial" w:cs="Arial" w:eastAsia="Arial" w:hAnsi="Arial"/>
                  <w:sz w:val="18"/>
                  <w:szCs w:val="18"/>
                  <w:color w:val="0000FF"/>
                  <w:w w:val="89"/>
                </w:rPr>
                <w:t>Credit Agreement, dated as of November 12, 2021, among CME Group Inc., certain lenders, agents, arrangers,</w:t>
              </w:r>
            </w:hyperlink>
          </w:p>
        </w:tc>
        <w:tc>
          <w:tcPr>
            <w:tcW w:w="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gridSpan w:val="23"/>
          </w:tcPr>
          <w:p>
            <w:pPr>
              <w:spacing w:after="0" w:line="156" w:lineRule="exact"/>
              <w:rPr>
                <w:rFonts w:ascii="Arial" w:cs="Arial" w:eastAsia="Arial" w:hAnsi="Arial"/>
                <w:sz w:val="18"/>
                <w:szCs w:val="18"/>
                <w:color w:val="0000FF"/>
                <w:w w:val="92"/>
              </w:rPr>
            </w:pPr>
            <w:hyperlink r:id="rId156">
              <w:r>
                <w:rPr>
                  <w:rFonts w:ascii="Arial" w:cs="Arial" w:eastAsia="Arial" w:hAnsi="Arial"/>
                  <w:sz w:val="18"/>
                  <w:szCs w:val="18"/>
                  <w:color w:val="0000FF"/>
                  <w:w w:val="92"/>
                </w:rPr>
                <w:t>bookrunners, and Bank of America, N.A., as Administrative Agent (incorporated by reference to Exhibit 10.1 to CME</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Group Inc.'s Current Report on Form 8-K, filed with the SEC on November 16, 2021).</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20"/>
              <w:spacing w:after="0"/>
              <w:rPr>
                <w:sz w:val="20"/>
                <w:szCs w:val="20"/>
                <w:color w:val="auto"/>
              </w:rPr>
            </w:pPr>
            <w:r>
              <w:rPr>
                <w:rFonts w:ascii="Arial" w:cs="Arial" w:eastAsia="Arial" w:hAnsi="Arial"/>
                <w:sz w:val="18"/>
                <w:szCs w:val="18"/>
                <w:color w:val="auto"/>
              </w:rPr>
              <w:t>10.22(1)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60" w:type="dxa"/>
            <w:vAlign w:val="bottom"/>
            <w:tcBorders>
              <w:bottom w:val="single" w:sz="8" w:color="0000FF"/>
            </w:tcBorders>
            <w:gridSpan w:val="20"/>
          </w:tcPr>
          <w:p>
            <w:pPr>
              <w:spacing w:after="0"/>
              <w:rPr>
                <w:rFonts w:ascii="Arial" w:cs="Arial" w:eastAsia="Arial" w:hAnsi="Arial"/>
                <w:sz w:val="18"/>
                <w:szCs w:val="18"/>
                <w:color w:val="0000FF"/>
                <w:w w:val="89"/>
              </w:rPr>
            </w:pPr>
            <w:hyperlink r:id="rId157">
              <w:r>
                <w:rPr>
                  <w:rFonts w:ascii="Arial" w:cs="Arial" w:eastAsia="Arial" w:hAnsi="Arial"/>
                  <w:sz w:val="18"/>
                  <w:szCs w:val="18"/>
                  <w:color w:val="0000FF"/>
                  <w:w w:val="89"/>
                </w:rPr>
                <w:t>Amended and Restated Agreement, effective as of February 2, 2022, by and between CME Group Inc. and Terrence</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gridSpan w:val="23"/>
          </w:tcPr>
          <w:p>
            <w:pPr>
              <w:spacing w:after="0" w:line="156" w:lineRule="exact"/>
              <w:rPr>
                <w:rFonts w:ascii="Arial" w:cs="Arial" w:eastAsia="Arial" w:hAnsi="Arial"/>
                <w:sz w:val="18"/>
                <w:szCs w:val="18"/>
                <w:color w:val="0000FF"/>
                <w:w w:val="94"/>
              </w:rPr>
            </w:pPr>
            <w:hyperlink r:id="rId157">
              <w:r>
                <w:rPr>
                  <w:rFonts w:ascii="Arial" w:cs="Arial" w:eastAsia="Arial" w:hAnsi="Arial"/>
                  <w:sz w:val="18"/>
                  <w:szCs w:val="18"/>
                  <w:color w:val="0000FF"/>
                  <w:w w:val="94"/>
                </w:rPr>
                <w:t>A. Duffy (incorporated by reference to Exhibit 10.1 to CME Group Inc.'s Current Report on Form 8-K, filed with the</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57">
              <w:r>
                <w:rPr>
                  <w:rFonts w:ascii="Arial" w:cs="Arial" w:eastAsia="Arial" w:hAnsi="Arial"/>
                  <w:sz w:val="18"/>
                  <w:szCs w:val="18"/>
                  <w:color w:val="0000FF"/>
                  <w:w w:val="89"/>
                </w:rPr>
                <w:t>SEC on February 3, 2022).</w:t>
              </w:r>
            </w:hyperlink>
          </w:p>
        </w:tc>
        <w:tc>
          <w:tcPr>
            <w:tcW w:w="6480" w:type="dxa"/>
            <w:vAlign w:val="bottom"/>
            <w:tcBorders>
              <w:top w:val="single" w:sz="8" w:color="0000FF"/>
            </w:tcBorders>
            <w:gridSpan w:val="18"/>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23"/>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List of Subsidiaries of CME Group Inc.</w:t>
              </w:r>
            </w:hyperlink>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104">
              <w:r>
                <w:rPr>
                  <w:rFonts w:ascii="Arial" w:cs="Arial" w:eastAsia="Arial" w:hAnsi="Arial"/>
                  <w:sz w:val="18"/>
                  <w:szCs w:val="18"/>
                  <w:color w:val="0000FF"/>
                  <w:w w:val="91"/>
                </w:rPr>
                <w:t>Consent of Ernst &amp; Young LLP.</w:t>
              </w:r>
            </w:hyperlink>
          </w:p>
        </w:tc>
        <w:tc>
          <w:tcPr>
            <w:tcW w:w="540" w:type="dxa"/>
            <w:vAlign w:val="bottom"/>
            <w:tcBorders>
              <w:top w:val="single" w:sz="8" w:color="0000FF"/>
            </w:tcBorders>
          </w:tcPr>
          <w:p>
            <w:pPr>
              <w:spacing w:after="0"/>
              <w:rPr>
                <w:sz w:val="24"/>
                <w:szCs w:val="24"/>
                <w:color w:val="auto"/>
              </w:rPr>
            </w:pPr>
          </w:p>
        </w:tc>
        <w:tc>
          <w:tcPr>
            <w:tcW w:w="57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23"/>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Section 302—Certification of Terrence A. Duffy.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12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11"/>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23"/>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Section 302—Certification of John W. Pietrowicz.</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20" w:type="dxa"/>
            <w:vAlign w:val="bottom"/>
            <w:gridSpan w:val="6"/>
            <w:shd w:val="clear" w:color="auto" w:fill="0000FF"/>
          </w:tcPr>
          <w:p>
            <w:pPr>
              <w:spacing w:after="0" w:line="20" w:lineRule="exact"/>
              <w:rPr>
                <w:sz w:val="1"/>
                <w:szCs w:val="1"/>
                <w:color w:val="auto"/>
              </w:rPr>
            </w:pPr>
          </w:p>
        </w:tc>
        <w:tc>
          <w:tcPr>
            <w:tcW w:w="4700" w:type="dxa"/>
            <w:vAlign w:val="bottom"/>
            <w:gridSpan w:val="11"/>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23"/>
          </w:tcPr>
          <w:p>
            <w:pPr>
              <w:spacing w:after="0"/>
              <w:rPr>
                <w:rFonts w:ascii="Arial" w:cs="Arial" w:eastAsia="Arial" w:hAnsi="Arial"/>
                <w:sz w:val="18"/>
                <w:szCs w:val="18"/>
                <w:color w:val="0000FF"/>
                <w:w w:val="92"/>
              </w:rPr>
            </w:pPr>
            <w:hyperlink w:anchor="page107">
              <w:r>
                <w:rPr>
                  <w:rFonts w:ascii="Arial" w:cs="Arial" w:eastAsia="Arial" w:hAnsi="Arial"/>
                  <w:sz w:val="18"/>
                  <w:szCs w:val="18"/>
                  <w:color w:val="0000FF"/>
                  <w:w w:val="92"/>
                </w:rPr>
                <w:t>Certification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107">
              <w:r>
                <w:rPr>
                  <w:rFonts w:ascii="Arial" w:cs="Arial" w:eastAsia="Arial" w:hAnsi="Arial"/>
                  <w:sz w:val="18"/>
                  <w:szCs w:val="18"/>
                  <w:color w:val="0000FF"/>
                  <w:w w:val="84"/>
                </w:rPr>
                <w:t>2002.</w:t>
              </w:r>
            </w:hyperlink>
          </w:p>
        </w:tc>
        <w:tc>
          <w:tcPr>
            <w:tcW w:w="7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260" w:right="1500" w:hanging="1234"/>
        <w:spacing w:after="0" w:line="216"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materials from CME Group Inc.’s Annual Report on Form 10-K for the year ended December 31, 2021, formatted in Inline XBRL (Extensible Business Reporting Language): (i) the Consolidated Balance Sheets, (ii) the Consolidated Statements of Income, (iii) the Consolidated Statements of Comprehensive Income, (iv) the Consolidated Statements of Equity, (v) the Consolidated Statements of Cash Flows and (vi) the Notes to Consolidated Financial Statements, tagged as blocks of text.</w:t>
      </w:r>
    </w:p>
    <w:p>
      <w:pPr>
        <w:spacing w:after="0" w:line="54" w:lineRule="exact"/>
        <w:rPr>
          <w:sz w:val="20"/>
          <w:szCs w:val="20"/>
          <w:color w:val="auto"/>
        </w:rPr>
      </w:pPr>
    </w:p>
    <w:p>
      <w:pPr>
        <w:ind w:left="1260" w:right="2080" w:hanging="1234"/>
        <w:spacing w:after="0" w:line="235"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cover page from CME Group Inc.'s Annual Report on Form 10-K for the year ended December 31, 2021, formatted in Inline XBRL.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66" w:lineRule="exact"/>
        <w:rPr>
          <w:sz w:val="20"/>
          <w:szCs w:val="20"/>
          <w:color w:val="auto"/>
        </w:rPr>
      </w:pPr>
    </w:p>
    <w:p>
      <w:pPr>
        <w:ind w:left="1340" w:hanging="1314"/>
        <w:spacing w:after="0"/>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660" w:hanging="652"/>
        <w:spacing w:after="0" w:line="260" w:lineRule="auto"/>
        <w:tabs>
          <w:tab w:leader="none" w:pos="6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Confidential treatment pursuant to Rule 406 of the Securities Act of 1933, as amended, has been previously granted by the SEC for portions of this exhibit.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25th day of February, 2022.</w:t>
      </w:r>
    </w:p>
    <w:p>
      <w:pPr>
        <w:spacing w:after="0" w:line="129"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CME Group Inc.</w:t>
      </w:r>
    </w:p>
    <w:p>
      <w:pPr>
        <w:spacing w:after="0" w:line="297" w:lineRule="exact"/>
        <w:rPr>
          <w:sz w:val="20"/>
          <w:szCs w:val="20"/>
          <w:color w:val="auto"/>
        </w:rPr>
      </w:pPr>
    </w:p>
    <w:p>
      <w:pPr>
        <w:ind w:left="552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W. P</w:t>
      </w:r>
      <w:r>
        <w:rPr>
          <w:rFonts w:ascii="Arial" w:cs="Arial" w:eastAsia="Arial" w:hAnsi="Arial"/>
          <w:sz w:val="14"/>
          <w:szCs w:val="14"/>
          <w:color w:val="auto"/>
        </w:rPr>
        <w:t>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689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jc w:val="center"/>
        <w:ind w:left="6780"/>
        <w:spacing w:after="0"/>
        <w:rPr>
          <w:sz w:val="20"/>
          <w:szCs w:val="20"/>
          <w:color w:val="auto"/>
        </w:rPr>
      </w:pPr>
      <w:r>
        <w:rPr>
          <w:rFonts w:ascii="Arial" w:cs="Arial" w:eastAsia="Arial" w:hAnsi="Arial"/>
          <w:sz w:val="14"/>
          <w:szCs w:val="14"/>
          <w:b w:val="1"/>
          <w:bCs w:val="1"/>
          <w:color w:val="auto"/>
        </w:rPr>
        <w:t>John W. Pietrowicz</w:t>
      </w:r>
    </w:p>
    <w:p>
      <w:pPr>
        <w:jc w:val="center"/>
        <w:ind w:left="6780"/>
        <w:spacing w:after="0"/>
        <w:rPr>
          <w:sz w:val="20"/>
          <w:szCs w:val="20"/>
          <w:color w:val="auto"/>
        </w:rPr>
      </w:pPr>
      <w:r>
        <w:rPr>
          <w:rFonts w:ascii="Arial" w:cs="Arial" w:eastAsia="Arial" w:hAnsi="Arial"/>
          <w:sz w:val="14"/>
          <w:szCs w:val="14"/>
          <w:b w:val="1"/>
          <w:bCs w:val="1"/>
          <w:color w:val="auto"/>
        </w:rPr>
        <w:t>Senior Managing Director and Chief Financial Officer</w:t>
      </w:r>
    </w:p>
    <w:p>
      <w:pPr>
        <w:spacing w:after="0" w:line="308" w:lineRule="exact"/>
        <w:rPr>
          <w:sz w:val="20"/>
          <w:szCs w:val="20"/>
          <w:color w:val="auto"/>
        </w:rPr>
      </w:pPr>
    </w:p>
    <w:p>
      <w:pPr>
        <w:ind w:right="500"/>
        <w:spacing w:after="0" w:line="275"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in the City of Chicago and State of Illinois on the 25th day of February, 2022.</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tcPr>
          <w:p>
            <w:pPr>
              <w:jc w:val="center"/>
              <w:ind w:right="1822"/>
              <w:spacing w:after="0"/>
              <w:rPr>
                <w:sz w:val="20"/>
                <w:szCs w:val="20"/>
                <w:color w:val="auto"/>
              </w:rPr>
            </w:pPr>
            <w:r>
              <w:rPr>
                <w:rFonts w:ascii="Arial" w:cs="Arial" w:eastAsia="Arial" w:hAnsi="Arial"/>
                <w:sz w:val="14"/>
                <w:szCs w:val="14"/>
                <w:b w:val="1"/>
                <w:bCs w:val="1"/>
                <w:color w:val="auto"/>
                <w:w w:val="89"/>
              </w:rPr>
              <w:t>Signature</w:t>
            </w:r>
          </w:p>
        </w:tc>
        <w:tc>
          <w:tcPr>
            <w:tcW w:w="200" w:type="dxa"/>
            <w:vAlign w:val="bottom"/>
          </w:tcPr>
          <w:p>
            <w:pPr>
              <w:spacing w:after="0"/>
              <w:rPr>
                <w:sz w:val="16"/>
                <w:szCs w:val="16"/>
                <w:color w:val="auto"/>
              </w:rPr>
            </w:pPr>
          </w:p>
        </w:tc>
        <w:tc>
          <w:tcPr>
            <w:tcW w:w="5560" w:type="dxa"/>
            <w:vAlign w:val="bottom"/>
            <w:tcBorders>
              <w:bottom w:val="single" w:sz="8" w:color="auto"/>
            </w:tcBorders>
          </w:tcPr>
          <w:p>
            <w:pPr>
              <w:ind w:left="2640"/>
              <w:spacing w:after="0"/>
              <w:rPr>
                <w:sz w:val="20"/>
                <w:szCs w:val="20"/>
                <w:color w:val="auto"/>
              </w:rPr>
            </w:pPr>
            <w:r>
              <w:rPr>
                <w:rFonts w:ascii="Arial" w:cs="Arial" w:eastAsia="Arial" w:hAnsi="Arial"/>
                <w:sz w:val="14"/>
                <w:szCs w:val="14"/>
                <w:b w:val="1"/>
                <w:bCs w:val="1"/>
                <w:color w:val="auto"/>
              </w:rPr>
              <w:t>Title</w:t>
            </w:r>
          </w:p>
        </w:tc>
      </w:tr>
      <w:tr>
        <w:trPr>
          <w:trHeight w:val="269"/>
        </w:trPr>
        <w:tc>
          <w:tcPr>
            <w:tcW w:w="19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TERRENCE A. DUFFY</w:t>
            </w:r>
          </w:p>
        </w:tc>
        <w:tc>
          <w:tcPr>
            <w:tcW w:w="200" w:type="dxa"/>
            <w:vAlign w:val="bottom"/>
          </w:tcPr>
          <w:p>
            <w:pPr>
              <w:spacing w:after="0"/>
              <w:rPr>
                <w:sz w:val="23"/>
                <w:szCs w:val="23"/>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Chairman of the Board, Director and Chief Executive Officer</w:t>
            </w:r>
          </w:p>
        </w:tc>
      </w:tr>
      <w:tr>
        <w:trPr>
          <w:trHeight w:val="180"/>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Arial" w:cs="Arial" w:eastAsia="Arial" w:hAnsi="Arial"/>
                <w:sz w:val="14"/>
                <w:szCs w:val="14"/>
                <w:b w:val="1"/>
                <w:bCs w:val="1"/>
                <w:color w:val="auto"/>
                <w:w w:val="94"/>
              </w:rPr>
              <w:t>Terrence A. Duffy</w:t>
            </w:r>
          </w:p>
        </w:tc>
        <w:tc>
          <w:tcPr>
            <w:tcW w:w="20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286"/>
        </w:trPr>
        <w:tc>
          <w:tcPr>
            <w:tcW w:w="192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JOHN W. PIETROWICZ</w:t>
            </w:r>
          </w:p>
        </w:tc>
        <w:tc>
          <w:tcPr>
            <w:tcW w:w="2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Senior Managing Director and Chief Financial Officer</w:t>
            </w:r>
          </w:p>
        </w:tc>
      </w:tr>
      <w:tr>
        <w:trPr>
          <w:trHeight w:val="180"/>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Arial" w:cs="Arial" w:eastAsia="Arial" w:hAnsi="Arial"/>
                <w:sz w:val="14"/>
                <w:szCs w:val="14"/>
                <w:b w:val="1"/>
                <w:bCs w:val="1"/>
                <w:color w:val="auto"/>
                <w:w w:val="92"/>
              </w:rPr>
              <w:t>John W. Pietrowicz</w:t>
            </w:r>
          </w:p>
        </w:tc>
        <w:tc>
          <w:tcPr>
            <w:tcW w:w="20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286"/>
        </w:trPr>
        <w:tc>
          <w:tcPr>
            <w:tcW w:w="19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ind w:right="184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JACK TOBIN</w:t>
            </w:r>
          </w:p>
        </w:tc>
        <w:tc>
          <w:tcPr>
            <w:tcW w:w="2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Managing Director and Chief Accounting Officer</w:t>
            </w:r>
          </w:p>
        </w:tc>
      </w:tr>
      <w:tr>
        <w:trPr>
          <w:trHeight w:val="180"/>
        </w:trPr>
        <w:tc>
          <w:tcPr>
            <w:tcW w:w="1920" w:type="dxa"/>
            <w:vAlign w:val="bottom"/>
          </w:tcPr>
          <w:p>
            <w:pPr>
              <w:spacing w:after="0"/>
              <w:rPr>
                <w:sz w:val="15"/>
                <w:szCs w:val="15"/>
                <w:color w:val="auto"/>
              </w:rPr>
            </w:pPr>
          </w:p>
        </w:tc>
        <w:tc>
          <w:tcPr>
            <w:tcW w:w="3560" w:type="dxa"/>
            <w:vAlign w:val="bottom"/>
          </w:tcPr>
          <w:p>
            <w:pPr>
              <w:jc w:val="center"/>
              <w:ind w:right="1842"/>
              <w:spacing w:after="0"/>
              <w:rPr>
                <w:sz w:val="20"/>
                <w:szCs w:val="20"/>
                <w:color w:val="auto"/>
              </w:rPr>
            </w:pPr>
            <w:r>
              <w:rPr>
                <w:rFonts w:ascii="Arial" w:cs="Arial" w:eastAsia="Arial" w:hAnsi="Arial"/>
                <w:sz w:val="14"/>
                <w:szCs w:val="14"/>
                <w:b w:val="1"/>
                <w:bCs w:val="1"/>
                <w:color w:val="auto"/>
                <w:w w:val="92"/>
              </w:rPr>
              <w:t>Jack Tobin</w:t>
            </w:r>
          </w:p>
        </w:tc>
        <w:tc>
          <w:tcPr>
            <w:tcW w:w="20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286"/>
        </w:trPr>
        <w:tc>
          <w:tcPr>
            <w:tcW w:w="5480" w:type="dxa"/>
            <w:vAlign w:val="bottom"/>
            <w:tcBorders>
              <w:bottom w:val="single" w:sz="8" w:color="auto"/>
            </w:tcBorders>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TIMOTHY S. BITSBERGER</w:t>
            </w:r>
          </w:p>
        </w:tc>
        <w:tc>
          <w:tcPr>
            <w:tcW w:w="2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80"/>
        </w:trPr>
        <w:tc>
          <w:tcPr>
            <w:tcW w:w="1920" w:type="dxa"/>
            <w:vAlign w:val="bottom"/>
          </w:tcPr>
          <w:p>
            <w:pPr>
              <w:spacing w:after="0"/>
              <w:rPr>
                <w:sz w:val="15"/>
                <w:szCs w:val="15"/>
                <w:color w:val="auto"/>
              </w:rPr>
            </w:pPr>
          </w:p>
        </w:tc>
        <w:tc>
          <w:tcPr>
            <w:tcW w:w="3560" w:type="dxa"/>
            <w:vAlign w:val="bottom"/>
          </w:tcPr>
          <w:p>
            <w:pPr>
              <w:jc w:val="center"/>
              <w:ind w:right="1842"/>
              <w:spacing w:after="0"/>
              <w:rPr>
                <w:sz w:val="20"/>
                <w:szCs w:val="20"/>
                <w:color w:val="auto"/>
              </w:rPr>
            </w:pPr>
            <w:r>
              <w:rPr>
                <w:rFonts w:ascii="Arial" w:cs="Arial" w:eastAsia="Arial" w:hAnsi="Arial"/>
                <w:sz w:val="14"/>
                <w:szCs w:val="14"/>
                <w:b w:val="1"/>
                <w:bCs w:val="1"/>
                <w:color w:val="auto"/>
                <w:w w:val="93"/>
              </w:rPr>
              <w:t>Timothy S. Bitsberger</w:t>
            </w:r>
          </w:p>
        </w:tc>
        <w:tc>
          <w:tcPr>
            <w:tcW w:w="20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286"/>
        </w:trPr>
        <w:tc>
          <w:tcPr>
            <w:tcW w:w="19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CHARLES P. CAREY</w:t>
            </w:r>
          </w:p>
        </w:tc>
        <w:tc>
          <w:tcPr>
            <w:tcW w:w="2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80"/>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Arial" w:cs="Arial" w:eastAsia="Arial" w:hAnsi="Arial"/>
                <w:sz w:val="14"/>
                <w:szCs w:val="14"/>
                <w:b w:val="1"/>
                <w:bCs w:val="1"/>
                <w:color w:val="auto"/>
                <w:w w:val="91"/>
              </w:rPr>
              <w:t>Charles P. Carey</w:t>
            </w:r>
          </w:p>
        </w:tc>
        <w:tc>
          <w:tcPr>
            <w:tcW w:w="20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232"/>
        </w:trPr>
        <w:tc>
          <w:tcPr>
            <w:tcW w:w="5480" w:type="dxa"/>
            <w:vAlign w:val="bottom"/>
            <w:tcBorders>
              <w:bottom w:val="single" w:sz="8" w:color="auto"/>
            </w:tcBorders>
            <w:gridSpan w:val="2"/>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DENNIS H. CHOOKASZIAN</w:t>
            </w:r>
          </w:p>
        </w:tc>
        <w:tc>
          <w:tcPr>
            <w:tcW w:w="20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80"/>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Arial" w:cs="Arial" w:eastAsia="Arial" w:hAnsi="Arial"/>
                <w:sz w:val="14"/>
                <w:szCs w:val="14"/>
                <w:b w:val="1"/>
                <w:bCs w:val="1"/>
                <w:color w:val="auto"/>
                <w:w w:val="91"/>
              </w:rPr>
              <w:t>Dennis H. Chookaszian</w:t>
            </w:r>
          </w:p>
        </w:tc>
        <w:tc>
          <w:tcPr>
            <w:tcW w:w="20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286"/>
        </w:trPr>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ELIZABETH A. COOK</w:t>
            </w:r>
          </w:p>
        </w:tc>
        <w:tc>
          <w:tcPr>
            <w:tcW w:w="2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80"/>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Arial" w:cs="Arial" w:eastAsia="Arial" w:hAnsi="Arial"/>
                <w:sz w:val="14"/>
                <w:szCs w:val="14"/>
                <w:b w:val="1"/>
                <w:bCs w:val="1"/>
                <w:color w:val="auto"/>
                <w:w w:val="96"/>
              </w:rPr>
              <w:t>Elizabeth A. Cook</w:t>
            </w:r>
          </w:p>
        </w:tc>
        <w:tc>
          <w:tcPr>
            <w:tcW w:w="20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286"/>
        </w:trPr>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MICHAEL G. DENNIS</w:t>
            </w:r>
          </w:p>
        </w:tc>
        <w:tc>
          <w:tcPr>
            <w:tcW w:w="2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80"/>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Arial" w:cs="Arial" w:eastAsia="Arial" w:hAnsi="Arial"/>
                <w:sz w:val="14"/>
                <w:szCs w:val="14"/>
                <w:b w:val="1"/>
                <w:bCs w:val="1"/>
                <w:color w:val="auto"/>
                <w:w w:val="94"/>
              </w:rPr>
              <w:t>Michael G. Dennis</w:t>
            </w:r>
          </w:p>
        </w:tc>
        <w:tc>
          <w:tcPr>
            <w:tcW w:w="20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286"/>
        </w:trPr>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BRYAN T. DURKIN</w:t>
            </w:r>
          </w:p>
        </w:tc>
        <w:tc>
          <w:tcPr>
            <w:tcW w:w="2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80"/>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Arial" w:cs="Arial" w:eastAsia="Arial" w:hAnsi="Arial"/>
                <w:sz w:val="14"/>
                <w:szCs w:val="14"/>
                <w:b w:val="1"/>
                <w:bCs w:val="1"/>
                <w:color w:val="auto"/>
                <w:w w:val="97"/>
              </w:rPr>
              <w:t>Bryan T. Durkin</w:t>
            </w:r>
          </w:p>
        </w:tc>
        <w:tc>
          <w:tcPr>
            <w:tcW w:w="20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286"/>
        </w:trPr>
        <w:tc>
          <w:tcPr>
            <w:tcW w:w="19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ind w:right="1842"/>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ANA DUTRA</w:t>
            </w:r>
          </w:p>
        </w:tc>
        <w:tc>
          <w:tcPr>
            <w:tcW w:w="2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80"/>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Arial" w:cs="Arial" w:eastAsia="Arial" w:hAnsi="Arial"/>
                <w:sz w:val="14"/>
                <w:szCs w:val="14"/>
                <w:b w:val="1"/>
                <w:bCs w:val="1"/>
                <w:color w:val="auto"/>
                <w:w w:val="98"/>
              </w:rPr>
              <w:t>Ana Dutra</w:t>
            </w:r>
          </w:p>
        </w:tc>
        <w:tc>
          <w:tcPr>
            <w:tcW w:w="20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286"/>
        </w:trPr>
        <w:tc>
          <w:tcPr>
            <w:tcW w:w="192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60" w:type="dxa"/>
            <w:vAlign w:val="bottom"/>
            <w:tcBorders>
              <w:bottom w:val="single" w:sz="8" w:color="auto"/>
            </w:tcBorders>
          </w:tcPr>
          <w:p>
            <w:pPr>
              <w:jc w:val="right"/>
              <w:ind w:right="1582"/>
              <w:spacing w:after="0"/>
              <w:rPr>
                <w:sz w:val="20"/>
                <w:szCs w:val="20"/>
                <w:color w:val="auto"/>
              </w:rPr>
            </w:pPr>
            <w:r>
              <w:rPr>
                <w:rFonts w:ascii="Arial" w:cs="Arial" w:eastAsia="Arial" w:hAnsi="Arial"/>
                <w:sz w:val="18"/>
                <w:szCs w:val="18"/>
                <w:color w:val="auto"/>
              </w:rPr>
              <w:t>MARTIN J. GEPSMAN</w:t>
            </w:r>
          </w:p>
        </w:tc>
        <w:tc>
          <w:tcPr>
            <w:tcW w:w="2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80"/>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Arial" w:cs="Arial" w:eastAsia="Arial" w:hAnsi="Arial"/>
                <w:sz w:val="14"/>
                <w:szCs w:val="14"/>
                <w:b w:val="1"/>
                <w:bCs w:val="1"/>
                <w:color w:val="auto"/>
                <w:w w:val="97"/>
              </w:rPr>
              <w:t>Martin J. Gepsman</w:t>
            </w:r>
          </w:p>
        </w:tc>
        <w:tc>
          <w:tcPr>
            <w:tcW w:w="20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286"/>
        </w:trPr>
        <w:tc>
          <w:tcPr>
            <w:tcW w:w="19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LARRY G. GERDES</w:t>
            </w:r>
          </w:p>
        </w:tc>
        <w:tc>
          <w:tcPr>
            <w:tcW w:w="2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80"/>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Arial" w:cs="Arial" w:eastAsia="Arial" w:hAnsi="Arial"/>
                <w:sz w:val="14"/>
                <w:szCs w:val="14"/>
                <w:b w:val="1"/>
                <w:bCs w:val="1"/>
                <w:color w:val="auto"/>
                <w:w w:val="96"/>
              </w:rPr>
              <w:t>Larry G. Gerdes</w:t>
            </w:r>
          </w:p>
        </w:tc>
        <w:tc>
          <w:tcPr>
            <w:tcW w:w="20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286"/>
        </w:trPr>
        <w:tc>
          <w:tcPr>
            <w:tcW w:w="192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DANIEL R. GLICKMAN</w:t>
            </w:r>
          </w:p>
        </w:tc>
        <w:tc>
          <w:tcPr>
            <w:tcW w:w="2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Lead Director</w:t>
            </w:r>
          </w:p>
        </w:tc>
      </w:tr>
      <w:tr>
        <w:trPr>
          <w:trHeight w:val="180"/>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Arial" w:cs="Arial" w:eastAsia="Arial" w:hAnsi="Arial"/>
                <w:sz w:val="14"/>
                <w:szCs w:val="14"/>
                <w:b w:val="1"/>
                <w:bCs w:val="1"/>
                <w:color w:val="auto"/>
                <w:w w:val="96"/>
              </w:rPr>
              <w:t>Daniel R. Glickman</w:t>
            </w:r>
          </w:p>
        </w:tc>
        <w:tc>
          <w:tcPr>
            <w:tcW w:w="20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286"/>
        </w:trPr>
        <w:tc>
          <w:tcPr>
            <w:tcW w:w="5480" w:type="dxa"/>
            <w:vAlign w:val="bottom"/>
            <w:tcBorders>
              <w:bottom w:val="single" w:sz="8" w:color="auto"/>
            </w:tcBorders>
            <w:gridSpan w:val="2"/>
          </w:tcPr>
          <w:p>
            <w:pPr>
              <w:jc w:val="right"/>
              <w:ind w:right="160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WILLIAM W. HOBERT</w:t>
            </w:r>
          </w:p>
        </w:tc>
        <w:tc>
          <w:tcPr>
            <w:tcW w:w="2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80"/>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Arial" w:cs="Arial" w:eastAsia="Arial" w:hAnsi="Arial"/>
                <w:sz w:val="14"/>
                <w:szCs w:val="14"/>
                <w:b w:val="1"/>
                <w:bCs w:val="1"/>
                <w:color w:val="auto"/>
                <w:w w:val="99"/>
              </w:rPr>
              <w:t>William W. Hobert</w:t>
            </w:r>
          </w:p>
        </w:tc>
        <w:tc>
          <w:tcPr>
            <w:tcW w:w="20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327"/>
        </w:trPr>
        <w:tc>
          <w:tcPr>
            <w:tcW w:w="19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DANIEL G. KAYE</w:t>
            </w:r>
          </w:p>
        </w:tc>
        <w:tc>
          <w:tcPr>
            <w:tcW w:w="2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80"/>
        </w:trPr>
        <w:tc>
          <w:tcPr>
            <w:tcW w:w="1920" w:type="dxa"/>
            <w:vAlign w:val="bottom"/>
          </w:tcPr>
          <w:p>
            <w:pPr>
              <w:spacing w:after="0"/>
              <w:rPr>
                <w:sz w:val="15"/>
                <w:szCs w:val="15"/>
                <w:color w:val="auto"/>
              </w:rPr>
            </w:pPr>
          </w:p>
        </w:tc>
        <w:tc>
          <w:tcPr>
            <w:tcW w:w="3560" w:type="dxa"/>
            <w:vAlign w:val="bottom"/>
          </w:tcPr>
          <w:p>
            <w:pPr>
              <w:jc w:val="center"/>
              <w:ind w:right="1822"/>
              <w:spacing w:after="0"/>
              <w:rPr>
                <w:sz w:val="20"/>
                <w:szCs w:val="20"/>
                <w:color w:val="auto"/>
              </w:rPr>
            </w:pPr>
            <w:r>
              <w:rPr>
                <w:rFonts w:ascii="Arial" w:cs="Arial" w:eastAsia="Arial" w:hAnsi="Arial"/>
                <w:sz w:val="14"/>
                <w:szCs w:val="14"/>
                <w:b w:val="1"/>
                <w:bCs w:val="1"/>
                <w:color w:val="auto"/>
                <w:w w:val="95"/>
              </w:rPr>
              <w:t>Daniel G. Kaye</w:t>
            </w:r>
          </w:p>
        </w:tc>
        <w:tc>
          <w:tcPr>
            <w:tcW w:w="200" w:type="dxa"/>
            <w:vAlign w:val="bottom"/>
          </w:tcPr>
          <w:p>
            <w:pPr>
              <w:spacing w:after="0"/>
              <w:rPr>
                <w:sz w:val="15"/>
                <w:szCs w:val="15"/>
                <w:color w:val="auto"/>
              </w:rPr>
            </w:pPr>
          </w:p>
        </w:tc>
        <w:tc>
          <w:tcPr>
            <w:tcW w:w="55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Borders>
              <w:bottom w:val="single" w:sz="8" w:color="auto"/>
            </w:tcBorders>
            <w:gridSpan w:val="2"/>
          </w:tcPr>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PHYLLIS M. LOCKETT</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6"/>
              </w:rPr>
              <w:t>Phyllis M. Lockett</w:t>
            </w:r>
          </w:p>
        </w:tc>
        <w:tc>
          <w:tcPr>
            <w:tcW w:w="820" w:type="dxa"/>
            <w:vAlign w:val="bottom"/>
          </w:tcPr>
          <w:p>
            <w:pPr>
              <w:spacing w:after="0"/>
              <w:rPr>
                <w:sz w:val="15"/>
                <w:szCs w:val="15"/>
                <w:color w:val="auto"/>
              </w:rPr>
            </w:pPr>
          </w:p>
        </w:tc>
      </w:tr>
      <w:tr>
        <w:trPr>
          <w:trHeight w:val="448"/>
        </w:trPr>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DEBORAH J. LUCAS</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4"/>
              </w:rPr>
              <w:t>Deborah J. Lucas</w:t>
            </w:r>
          </w:p>
        </w:tc>
        <w:tc>
          <w:tcPr>
            <w:tcW w:w="820" w:type="dxa"/>
            <w:vAlign w:val="bottom"/>
          </w:tcPr>
          <w:p>
            <w:pPr>
              <w:spacing w:after="0"/>
              <w:rPr>
                <w:sz w:val="15"/>
                <w:szCs w:val="15"/>
                <w:color w:val="auto"/>
              </w:rPr>
            </w:pPr>
          </w:p>
        </w:tc>
      </w:tr>
      <w:tr>
        <w:trPr>
          <w:trHeight w:val="286"/>
        </w:trPr>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6"/>
              </w:rPr>
              <w:t>/S/ PATRICK W. MALONEY</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5"/>
              </w:rPr>
              <w:t>Patrick W. Maloney</w:t>
            </w:r>
          </w:p>
        </w:tc>
        <w:tc>
          <w:tcPr>
            <w:tcW w:w="820" w:type="dxa"/>
            <w:vAlign w:val="bottom"/>
          </w:tcPr>
          <w:p>
            <w:pPr>
              <w:spacing w:after="0"/>
              <w:rPr>
                <w:sz w:val="15"/>
                <w:szCs w:val="15"/>
                <w:color w:val="auto"/>
              </w:rPr>
            </w:pPr>
          </w:p>
        </w:tc>
      </w:tr>
      <w:tr>
        <w:trPr>
          <w:trHeight w:val="327"/>
        </w:trPr>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/S/ PATRICK J. MULCHRONE</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4"/>
              </w:rPr>
              <w:t>Patrick J. Mulchrone</w:t>
            </w:r>
          </w:p>
        </w:tc>
        <w:tc>
          <w:tcPr>
            <w:tcW w:w="820" w:type="dxa"/>
            <w:vAlign w:val="bottom"/>
          </w:tcPr>
          <w:p>
            <w:pPr>
              <w:spacing w:after="0"/>
              <w:rPr>
                <w:sz w:val="15"/>
                <w:szCs w:val="15"/>
                <w:color w:val="auto"/>
              </w:rPr>
            </w:pPr>
          </w:p>
        </w:tc>
      </w:tr>
      <w:tr>
        <w:trPr>
          <w:trHeight w:val="232"/>
        </w:trPr>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/S/ TERRY L. SAVAGE</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3"/>
              </w:rPr>
              <w:t>Terry L. Savage</w:t>
            </w:r>
          </w:p>
        </w:tc>
        <w:tc>
          <w:tcPr>
            <w:tcW w:w="820" w:type="dxa"/>
            <w:vAlign w:val="bottom"/>
          </w:tcPr>
          <w:p>
            <w:pPr>
              <w:spacing w:after="0"/>
              <w:rPr>
                <w:sz w:val="15"/>
                <w:szCs w:val="15"/>
                <w:color w:val="auto"/>
              </w:rPr>
            </w:pPr>
          </w:p>
        </w:tc>
      </w:tr>
      <w:tr>
        <w:trPr>
          <w:trHeight w:val="286"/>
        </w:trPr>
        <w:tc>
          <w:tcPr>
            <w:tcW w:w="19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1804"/>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RAHAEL SEIFU</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2"/>
              </w:rPr>
              <w:t>Rahael Seifu</w:t>
            </w:r>
          </w:p>
        </w:tc>
        <w:tc>
          <w:tcPr>
            <w:tcW w:w="820" w:type="dxa"/>
            <w:vAlign w:val="bottom"/>
          </w:tcPr>
          <w:p>
            <w:pPr>
              <w:spacing w:after="0"/>
              <w:rPr>
                <w:sz w:val="15"/>
                <w:szCs w:val="15"/>
                <w:color w:val="auto"/>
              </w:rPr>
            </w:pPr>
          </w:p>
        </w:tc>
      </w:tr>
      <w:tr>
        <w:trPr>
          <w:trHeight w:val="340"/>
        </w:trPr>
        <w:tc>
          <w:tcPr>
            <w:tcW w:w="194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tcBorders>
              <w:bottom w:val="single" w:sz="8" w:color="auto"/>
            </w:tcBorders>
          </w:tcPr>
          <w:p>
            <w:pPr>
              <w:jc w:val="center"/>
              <w:ind w:right="1484"/>
              <w:spacing w:after="0"/>
              <w:rPr>
                <w:sz w:val="20"/>
                <w:szCs w:val="20"/>
                <w:color w:val="auto"/>
              </w:rPr>
            </w:pPr>
            <w:r>
              <w:rPr>
                <w:rFonts w:ascii="Arial" w:cs="Arial" w:eastAsia="Arial" w:hAnsi="Arial"/>
                <w:sz w:val="18"/>
                <w:szCs w:val="18"/>
                <w:color w:val="auto"/>
                <w:w w:val="98"/>
              </w:rPr>
              <w:t>WILLIAM R. SHEPARD</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6"/>
              </w:rPr>
              <w:t>William R. Shepard</w:t>
            </w:r>
          </w:p>
        </w:tc>
        <w:tc>
          <w:tcPr>
            <w:tcW w:w="820" w:type="dxa"/>
            <w:vAlign w:val="bottom"/>
          </w:tcPr>
          <w:p>
            <w:pPr>
              <w:spacing w:after="0"/>
              <w:rPr>
                <w:sz w:val="15"/>
                <w:szCs w:val="15"/>
                <w:color w:val="auto"/>
              </w:rPr>
            </w:pPr>
          </w:p>
        </w:tc>
      </w:tr>
      <w:tr>
        <w:trPr>
          <w:trHeight w:val="286"/>
        </w:trPr>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HOWARD J. SIEGEL</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4"/>
              </w:rPr>
              <w:t>Howard J. Siegel</w:t>
            </w:r>
          </w:p>
        </w:tc>
        <w:tc>
          <w:tcPr>
            <w:tcW w:w="820" w:type="dxa"/>
            <w:vAlign w:val="bottom"/>
          </w:tcPr>
          <w:p>
            <w:pPr>
              <w:spacing w:after="0"/>
              <w:rPr>
                <w:sz w:val="15"/>
                <w:szCs w:val="15"/>
                <w:color w:val="auto"/>
              </w:rPr>
            </w:pPr>
          </w:p>
        </w:tc>
      </w:tr>
      <w:tr>
        <w:trPr>
          <w:trHeight w:val="286"/>
        </w:trPr>
        <w:tc>
          <w:tcPr>
            <w:tcW w:w="194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tcBorders>
              <w:bottom w:val="single" w:sz="8" w:color="auto"/>
            </w:tcBorders>
          </w:tcPr>
          <w:p>
            <w:pPr>
              <w:jc w:val="center"/>
              <w:ind w:right="1484"/>
              <w:spacing w:after="0"/>
              <w:rPr>
                <w:sz w:val="20"/>
                <w:szCs w:val="20"/>
                <w:color w:val="auto"/>
              </w:rPr>
            </w:pPr>
            <w:r>
              <w:rPr>
                <w:rFonts w:ascii="Arial" w:cs="Arial" w:eastAsia="Arial" w:hAnsi="Arial"/>
                <w:sz w:val="18"/>
                <w:szCs w:val="18"/>
                <w:color w:val="auto"/>
                <w:w w:val="97"/>
              </w:rPr>
              <w:t>DENNIS A. SUSKIND</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2"/>
              </w:rPr>
              <w:t>Dennis A. Suskind</w:t>
            </w:r>
          </w:p>
        </w:tc>
        <w:tc>
          <w:tcPr>
            <w:tcW w:w="820" w:type="dxa"/>
            <w:vAlign w:val="bottom"/>
          </w:tcPr>
          <w:p>
            <w:pPr>
              <w:spacing w:after="0"/>
              <w:rPr>
                <w:sz w:val="15"/>
                <w:szCs w:val="15"/>
                <w:color w:val="auto"/>
              </w:rPr>
            </w:pPr>
          </w:p>
        </w:tc>
      </w:tr>
      <w:tr>
        <w:trPr>
          <w:trHeight w:val="286"/>
        </w:trPr>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4"/>
                <w:szCs w:val="14"/>
                <w:color w:val="auto"/>
                <w:w w:val="93"/>
              </w:rPr>
              <w:t>S</w:t>
            </w:r>
            <w:r>
              <w:rPr>
                <w:rFonts w:ascii="Arial" w:cs="Arial" w:eastAsia="Arial" w:hAnsi="Arial"/>
                <w:sz w:val="18"/>
                <w:szCs w:val="18"/>
                <w:color w:val="auto"/>
                <w:w w:val="93"/>
              </w:rPr>
              <w:t>/ ROBERT J. TIERNEY JR.</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64"/>
              <w:spacing w:after="0"/>
              <w:rPr>
                <w:sz w:val="20"/>
                <w:szCs w:val="20"/>
                <w:color w:val="auto"/>
              </w:rPr>
            </w:pPr>
            <w:r>
              <w:rPr>
                <w:rFonts w:ascii="Arial" w:cs="Arial" w:eastAsia="Arial" w:hAnsi="Arial"/>
                <w:sz w:val="14"/>
                <w:szCs w:val="14"/>
                <w:b w:val="1"/>
                <w:bCs w:val="1"/>
                <w:color w:val="auto"/>
                <w:w w:val="94"/>
              </w:rPr>
              <w:t>Robert J. Tierney Jr.</w:t>
            </w:r>
          </w:p>
        </w:tc>
        <w:tc>
          <w:tcPr>
            <w:tcW w:w="8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139"/>
          </w:cols>
          <w:pgMar w:left="320" w:top="121"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20"/>
          <w:szCs w:val="20"/>
          <w:b w:val="1"/>
          <w:bCs w:val="1"/>
          <w:color w:val="auto"/>
        </w:rPr>
        <w:t>Exhibit 4.11</w:t>
      </w:r>
    </w:p>
    <w:p>
      <w:pPr>
        <w:jc w:val="center"/>
        <w:spacing w:after="0"/>
        <w:rPr>
          <w:sz w:val="20"/>
          <w:szCs w:val="20"/>
          <w:color w:val="auto"/>
        </w:rPr>
      </w:pPr>
      <w:r>
        <w:rPr>
          <w:rFonts w:ascii="Arial" w:cs="Arial" w:eastAsia="Arial" w:hAnsi="Arial"/>
          <w:sz w:val="20"/>
          <w:szCs w:val="20"/>
          <w:b w:val="1"/>
          <w:bCs w:val="1"/>
          <w:color w:val="auto"/>
        </w:rPr>
        <w:t>DESCRIPTION OF CAPITAL STOCK</w:t>
      </w:r>
    </w:p>
    <w:p>
      <w:pPr>
        <w:spacing w:after="0" w:line="186" w:lineRule="exact"/>
        <w:rPr>
          <w:sz w:val="20"/>
          <w:szCs w:val="20"/>
          <w:color w:val="auto"/>
        </w:rPr>
      </w:pPr>
    </w:p>
    <w:p>
      <w:pPr>
        <w:ind w:right="140" w:firstLine="648"/>
        <w:spacing w:after="0" w:line="218" w:lineRule="auto"/>
        <w:rPr>
          <w:sz w:val="20"/>
          <w:szCs w:val="20"/>
          <w:color w:val="auto"/>
        </w:rPr>
      </w:pPr>
      <w:r>
        <w:rPr>
          <w:rFonts w:ascii="Arial" w:cs="Arial" w:eastAsia="Arial" w:hAnsi="Arial"/>
          <w:sz w:val="20"/>
          <w:szCs w:val="20"/>
          <w:i w:val="1"/>
          <w:iCs w:val="1"/>
          <w:color w:val="auto"/>
        </w:rPr>
        <w:t>The following is a description of certain terms relating to our capital stock. The following description is a summary and is qualified in its entirety by reference to our certificate of incorporation, as amended (“Certificate of Incorporation), our bylaws, as amended (“Bylaws”) and the relevant provisions of Delaware law.</w:t>
      </w:r>
    </w:p>
    <w:p>
      <w:pPr>
        <w:spacing w:after="0" w:line="183" w:lineRule="exact"/>
        <w:rPr>
          <w:sz w:val="20"/>
          <w:szCs w:val="20"/>
          <w:color w:val="auto"/>
        </w:rPr>
      </w:pPr>
    </w:p>
    <w:p>
      <w:pPr>
        <w:ind w:right="100" w:firstLine="648"/>
        <w:spacing w:after="0" w:line="229" w:lineRule="auto"/>
        <w:rPr>
          <w:sz w:val="20"/>
          <w:szCs w:val="20"/>
          <w:color w:val="auto"/>
        </w:rPr>
      </w:pPr>
      <w:r>
        <w:rPr>
          <w:rFonts w:ascii="Arial" w:cs="Arial" w:eastAsia="Arial" w:hAnsi="Arial"/>
          <w:sz w:val="20"/>
          <w:szCs w:val="20"/>
          <w:color w:val="auto"/>
        </w:rPr>
        <w:t>As used in this “Description of Capital Stock,” the terms “CME Group,” “we,” “our” and “us” refer to CME Group Inc., a Delaware corporation, and do not, unless otherwise provided, include subsidiaries of CME Group Inc.</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Our authorized capital stock of 1,010,003,138 shares consists of the following:</w:t>
      </w:r>
    </w:p>
    <w:p>
      <w:pPr>
        <w:spacing w:after="0" w:line="202" w:lineRule="exact"/>
        <w:rPr>
          <w:sz w:val="20"/>
          <w:szCs w:val="20"/>
          <w:color w:val="auto"/>
        </w:rPr>
      </w:pPr>
    </w:p>
    <w:p>
      <w:pPr>
        <w:ind w:left="960" w:hanging="304"/>
        <w:spacing w:after="0"/>
        <w:tabs>
          <w:tab w:leader="none" w:pos="9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1,000,000,000 authorized shares of Class A Common Stock, par value $.01 per share (the “Class A Common Stock”);</w:t>
      </w:r>
    </w:p>
    <w:p>
      <w:pPr>
        <w:spacing w:after="0" w:line="213" w:lineRule="exact"/>
        <w:rPr>
          <w:rFonts w:ascii="Arial" w:cs="Arial" w:eastAsia="Arial" w:hAnsi="Arial"/>
          <w:sz w:val="19"/>
          <w:szCs w:val="19"/>
          <w:color w:val="auto"/>
        </w:rPr>
      </w:pPr>
    </w:p>
    <w:p>
      <w:pPr>
        <w:ind w:left="960" w:hanging="304"/>
        <w:spacing w:after="0"/>
        <w:tabs>
          <w:tab w:leader="none" w:pos="9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625 authorized shares of Class B-1 Common Stock, par value $.01 per share (the “Class B-1 Common Stock”);</w:t>
      </w:r>
    </w:p>
    <w:p>
      <w:pPr>
        <w:spacing w:after="0" w:line="202" w:lineRule="exact"/>
        <w:rPr>
          <w:rFonts w:ascii="Arial" w:cs="Arial" w:eastAsia="Arial" w:hAnsi="Arial"/>
          <w:sz w:val="20"/>
          <w:szCs w:val="20"/>
          <w:color w:val="auto"/>
        </w:rPr>
      </w:pPr>
    </w:p>
    <w:p>
      <w:pPr>
        <w:ind w:left="960" w:hanging="304"/>
        <w:spacing w:after="0"/>
        <w:tabs>
          <w:tab w:leader="none" w:pos="9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813 authorized shares of Class B-2 Common Stock, par value $.01 per share (the “Class B-2 Common Stock”);</w:t>
      </w:r>
    </w:p>
    <w:p>
      <w:pPr>
        <w:spacing w:after="0" w:line="202" w:lineRule="exact"/>
        <w:rPr>
          <w:rFonts w:ascii="Arial" w:cs="Arial" w:eastAsia="Arial" w:hAnsi="Arial"/>
          <w:sz w:val="20"/>
          <w:szCs w:val="20"/>
          <w:color w:val="auto"/>
        </w:rPr>
      </w:pPr>
    </w:p>
    <w:p>
      <w:pPr>
        <w:ind w:left="960" w:hanging="304"/>
        <w:spacing w:after="0"/>
        <w:tabs>
          <w:tab w:leader="none" w:pos="9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1,287 authorized shares of Class B-3 Common Stock, par value $.01 per share (the “Class B-3 Common Stock”);</w:t>
      </w:r>
    </w:p>
    <w:p>
      <w:pPr>
        <w:spacing w:after="0" w:line="202" w:lineRule="exact"/>
        <w:rPr>
          <w:rFonts w:ascii="Arial" w:cs="Arial" w:eastAsia="Arial" w:hAnsi="Arial"/>
          <w:sz w:val="20"/>
          <w:szCs w:val="20"/>
          <w:color w:val="auto"/>
        </w:rPr>
      </w:pPr>
    </w:p>
    <w:p>
      <w:pPr>
        <w:ind w:left="960" w:hanging="304"/>
        <w:spacing w:after="0"/>
        <w:tabs>
          <w:tab w:leader="none" w:pos="9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413 authorized shares of Class B-4 Common Stock, par value $.01 per share (the “Class B-4 Common Stock”); and</w:t>
      </w:r>
    </w:p>
    <w:p>
      <w:pPr>
        <w:spacing w:after="0" w:line="202" w:lineRule="exact"/>
        <w:rPr>
          <w:rFonts w:ascii="Arial" w:cs="Arial" w:eastAsia="Arial" w:hAnsi="Arial"/>
          <w:sz w:val="20"/>
          <w:szCs w:val="20"/>
          <w:color w:val="auto"/>
        </w:rPr>
      </w:pPr>
    </w:p>
    <w:p>
      <w:pPr>
        <w:ind w:left="960" w:hanging="304"/>
        <w:spacing w:after="0"/>
        <w:tabs>
          <w:tab w:leader="none" w:pos="9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10,000,000 authorized shares of Preferred Stock, par value $.01 per share (the “Preferred Stock”).</w:t>
      </w:r>
    </w:p>
    <w:p>
      <w:pPr>
        <w:spacing w:after="0" w:line="202" w:lineRule="exact"/>
        <w:rPr>
          <w:sz w:val="20"/>
          <w:szCs w:val="20"/>
          <w:color w:val="auto"/>
        </w:rPr>
      </w:pPr>
    </w:p>
    <w:p>
      <w:pPr>
        <w:ind w:right="80" w:firstLine="648"/>
        <w:spacing w:after="0" w:line="333" w:lineRule="auto"/>
        <w:rPr>
          <w:sz w:val="20"/>
          <w:szCs w:val="20"/>
          <w:color w:val="auto"/>
        </w:rPr>
      </w:pPr>
      <w:r>
        <w:rPr>
          <w:rFonts w:ascii="Arial" w:cs="Arial" w:eastAsia="Arial" w:hAnsi="Arial"/>
          <w:sz w:val="16"/>
          <w:szCs w:val="16"/>
          <w:color w:val="auto"/>
        </w:rPr>
        <w:t>The term “Class B Common Stock” means, collectively, Class B-1 Common Stock, Class B-2 Common Stock, Class B-3 Common Stock and Class B-4 Common Stock. We refer to the Class A Common Stock and Class B Common Stock collectively as the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08" w:lineRule="exact"/>
        <w:rPr>
          <w:sz w:val="20"/>
          <w:szCs w:val="20"/>
          <w:color w:val="auto"/>
        </w:rPr>
      </w:pPr>
    </w:p>
    <w:p>
      <w:pPr>
        <w:ind w:right="140" w:firstLine="648"/>
        <w:spacing w:after="0" w:line="210" w:lineRule="auto"/>
        <w:rPr>
          <w:sz w:val="20"/>
          <w:szCs w:val="20"/>
          <w:color w:val="auto"/>
        </w:rPr>
      </w:pPr>
      <w:r>
        <w:rPr>
          <w:rFonts w:ascii="Arial" w:cs="Arial" w:eastAsia="Arial" w:hAnsi="Arial"/>
          <w:sz w:val="20"/>
          <w:szCs w:val="20"/>
          <w:color w:val="auto"/>
        </w:rPr>
        <w:t>With the exception of the matters reserved to holders of Class B Common Stock, holders of common stock vote together on all matters for which a vote of common shareholders is required. In these votes, each holder of shares of Class A Common Stock or Class B Common Stock has one vote per share. Matters reserved to the holders of Class B Common Stock, votes applicable to each class of Class B Common Stock in these matters and certain voting restrictions on holders of Class B Common Stock are described below under “Additional Provisions of Class B Common Stock.”</w:t>
      </w:r>
    </w:p>
    <w:p>
      <w:pPr>
        <w:spacing w:after="0" w:line="182" w:lineRule="exact"/>
        <w:rPr>
          <w:sz w:val="20"/>
          <w:szCs w:val="20"/>
          <w:color w:val="auto"/>
        </w:rPr>
      </w:pPr>
    </w:p>
    <w:p>
      <w:pPr>
        <w:ind w:right="120" w:firstLine="648"/>
        <w:spacing w:after="0" w:line="268" w:lineRule="auto"/>
        <w:rPr>
          <w:sz w:val="20"/>
          <w:szCs w:val="20"/>
          <w:color w:val="auto"/>
        </w:rPr>
      </w:pPr>
      <w:r>
        <w:rPr>
          <w:rFonts w:ascii="Arial" w:cs="Arial" w:eastAsia="Arial" w:hAnsi="Arial"/>
          <w:sz w:val="16"/>
          <w:szCs w:val="16"/>
          <w:color w:val="auto"/>
        </w:rPr>
        <w:t>Holders of common stock are entitled to receive, and to share equally on a per share basis in, such dividends and other distributions, if any, as may be declared by our board of directors (“Board”), subject to the rights of holders of Preferred Stock. Holders of our common stock have no conversion, preemptive or subscription rights. In the event of any liquidation, dissolution or winding up of CME Group, holders of common stock are entitled to receive any amounts available for distribution to holders of common stock after the payment of, or provision for, obligations of CME Group and any preferential amounts payable to holders of any outstanding shares of Preferred Stock.</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Provisions of Class B Common Stock</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Class B Common Stock comprises four classes with the following characteristics:</w:t>
      </w:r>
    </w:p>
    <w:p>
      <w:pPr>
        <w:sectPr>
          <w:pgSz w:w="11900" w:h="16838" w:orient="portrait"/>
          <w:cols w:equalWidth="0" w:num="1">
            <w:col w:w="11240"/>
          </w:cols>
          <w:pgMar w:left="320" w:top="1380" w:right="339" w:bottom="1440" w:gutter="0" w:footer="0" w:header="0"/>
        </w:sectPr>
      </w:pPr>
    </w:p>
    <w:bookmarkStart w:id="94" w:name="page95"/>
    <w:bookmarkEnd w:id="94"/>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1"/>
              </w:rPr>
              <w:t>Authorized</w:t>
            </w:r>
          </w:p>
        </w:tc>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1"/>
              </w:rPr>
              <w:t>Directors</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Votes Per Share</w:t>
            </w:r>
          </w:p>
        </w:tc>
        <w:tc>
          <w:tcPr>
            <w:tcW w:w="0" w:type="dxa"/>
            <w:vAlign w:val="bottom"/>
          </w:tcPr>
          <w:p>
            <w:pPr>
              <w:spacing w:after="0"/>
              <w:rPr>
                <w:sz w:val="1"/>
                <w:szCs w:val="1"/>
                <w:color w:val="auto"/>
              </w:rPr>
            </w:pPr>
          </w:p>
        </w:tc>
      </w:tr>
      <w:tr>
        <w:trPr>
          <w:trHeight w:val="175"/>
        </w:trPr>
        <w:tc>
          <w:tcPr>
            <w:tcW w:w="220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Class</w:t>
            </w:r>
          </w:p>
        </w:tc>
        <w:tc>
          <w:tcPr>
            <w:tcW w:w="100" w:type="dxa"/>
            <w:vAlign w:val="bottom"/>
            <w:vMerge w:val="restart"/>
          </w:tcPr>
          <w:p>
            <w:pPr>
              <w:spacing w:after="0"/>
              <w:rPr>
                <w:sz w:val="15"/>
                <w:szCs w:val="15"/>
                <w:color w:val="auto"/>
              </w:rPr>
            </w:pPr>
          </w:p>
        </w:tc>
        <w:tc>
          <w:tcPr>
            <w:tcW w:w="136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4"/>
              </w:rPr>
              <w:t>Number</w:t>
            </w:r>
          </w:p>
        </w:tc>
        <w:tc>
          <w:tcPr>
            <w:tcW w:w="4440" w:type="dxa"/>
            <w:vAlign w:val="bottom"/>
            <w:vMerge w:val="restart"/>
          </w:tcPr>
          <w:p>
            <w:pPr>
              <w:ind w:left="920"/>
              <w:spacing w:after="0"/>
              <w:rPr>
                <w:sz w:val="20"/>
                <w:szCs w:val="20"/>
                <w:color w:val="auto"/>
              </w:rPr>
            </w:pPr>
            <w:r>
              <w:rPr>
                <w:rFonts w:ascii="Arial" w:cs="Arial" w:eastAsia="Arial" w:hAnsi="Arial"/>
                <w:sz w:val="18"/>
                <w:szCs w:val="18"/>
                <w:b w:val="1"/>
                <w:bCs w:val="1"/>
                <w:color w:val="auto"/>
              </w:rPr>
              <w:t>Associated Exchange Membership</w:t>
            </w:r>
          </w:p>
        </w:tc>
        <w:tc>
          <w:tcPr>
            <w:tcW w:w="100" w:type="dxa"/>
            <w:vAlign w:val="bottom"/>
            <w:vMerge w:val="restart"/>
          </w:tcPr>
          <w:p>
            <w:pPr>
              <w:spacing w:after="0"/>
              <w:rPr>
                <w:sz w:val="15"/>
                <w:szCs w:val="15"/>
                <w:color w:val="auto"/>
              </w:rPr>
            </w:pPr>
          </w:p>
        </w:tc>
        <w:tc>
          <w:tcPr>
            <w:tcW w:w="14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3"/>
              </w:rPr>
              <w:t>Class</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on</w:t>
            </w:r>
          </w:p>
        </w:tc>
        <w:tc>
          <w:tcPr>
            <w:tcW w:w="0" w:type="dxa"/>
            <w:vAlign w:val="bottom"/>
          </w:tcPr>
          <w:p>
            <w:pPr>
              <w:spacing w:after="0"/>
              <w:rPr>
                <w:sz w:val="1"/>
                <w:szCs w:val="1"/>
                <w:color w:val="auto"/>
              </w:rPr>
            </w:pPr>
          </w:p>
        </w:tc>
      </w:tr>
      <w:tr>
        <w:trPr>
          <w:trHeight w:val="230"/>
        </w:trPr>
        <w:tc>
          <w:tcPr>
            <w:tcW w:w="2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80" w:type="dxa"/>
            <w:vAlign w:val="bottom"/>
          </w:tcPr>
          <w:p>
            <w:pPr>
              <w:spacing w:after="0"/>
              <w:rPr>
                <w:sz w:val="19"/>
                <w:szCs w:val="19"/>
                <w:color w:val="auto"/>
              </w:rPr>
            </w:pPr>
          </w:p>
        </w:tc>
        <w:tc>
          <w:tcPr>
            <w:tcW w:w="44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Can Elect</w:t>
            </w:r>
          </w:p>
        </w:tc>
        <w:tc>
          <w:tcPr>
            <w:tcW w:w="80" w:type="dxa"/>
            <w:vAlign w:val="bottom"/>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“Core Rights”</w:t>
            </w:r>
          </w:p>
        </w:tc>
        <w:tc>
          <w:tcPr>
            <w:tcW w:w="0" w:type="dxa"/>
            <w:vAlign w:val="bottom"/>
          </w:tcPr>
          <w:p>
            <w:pPr>
              <w:spacing w:after="0"/>
              <w:rPr>
                <w:sz w:val="1"/>
                <w:szCs w:val="1"/>
                <w:color w:val="auto"/>
              </w:rPr>
            </w:pPr>
          </w:p>
        </w:tc>
      </w:tr>
      <w:tr>
        <w:trPr>
          <w:trHeight w:val="277"/>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Class B-1 Common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CME Division</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83"/>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Class B-2 Common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813</w:t>
            </w:r>
          </w:p>
        </w:tc>
        <w:tc>
          <w:tcPr>
            <w:tcW w:w="18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International Monetary Market Division</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84"/>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Class B-3 Common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1,287</w:t>
            </w:r>
          </w:p>
        </w:tc>
        <w:tc>
          <w:tcPr>
            <w:tcW w:w="18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Index and Option Market Division</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83"/>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Class B-4 Common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Growth and Emerging Markets Division</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i w:val="1"/>
          <w:iCs w:val="1"/>
          <w:color w:val="auto"/>
        </w:rPr>
        <w:t xml:space="preserve">Associated Exchange Membership. </w:t>
      </w:r>
      <w:r>
        <w:rPr>
          <w:rFonts w:ascii="Arial" w:cs="Arial" w:eastAsia="Arial" w:hAnsi="Arial"/>
          <w:sz w:val="16"/>
          <w:szCs w:val="16"/>
          <w:color w:val="auto"/>
        </w:rPr>
        <w:t>Each class of Class B Common Stock is associated with a membership in a specific division for trading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Chicago Mercantile Exchange Inc. (“CME”). A CME trading right is a separate asset that is not part of or evidenced by the associated share of Class B Common Stock. The Class B Common Stock is intended only to ensure that the holders of Class B Common Stock retain rights with respect to the election of six members to the Board and approval rights with respect to the Core Rights described below.</w:t>
      </w:r>
    </w:p>
    <w:p>
      <w:pPr>
        <w:spacing w:after="0" w:line="156" w:lineRule="exact"/>
        <w:rPr>
          <w:sz w:val="20"/>
          <w:szCs w:val="20"/>
          <w:color w:val="auto"/>
        </w:rPr>
      </w:pPr>
    </w:p>
    <w:p>
      <w:pPr>
        <w:ind w:right="620" w:firstLine="648"/>
        <w:spacing w:after="0" w:line="229" w:lineRule="auto"/>
        <w:rPr>
          <w:sz w:val="20"/>
          <w:szCs w:val="20"/>
          <w:color w:val="auto"/>
        </w:rPr>
      </w:pPr>
      <w:r>
        <w:rPr>
          <w:rFonts w:ascii="Arial" w:cs="Arial" w:eastAsia="Arial" w:hAnsi="Arial"/>
          <w:sz w:val="20"/>
          <w:szCs w:val="20"/>
          <w:b w:val="1"/>
          <w:bCs w:val="1"/>
          <w:i w:val="1"/>
          <w:iCs w:val="1"/>
          <w:color w:val="auto"/>
        </w:rPr>
        <w:t xml:space="preserve">Voting on Core Rights. </w:t>
      </w:r>
      <w:r>
        <w:rPr>
          <w:rFonts w:ascii="Arial" w:cs="Arial" w:eastAsia="Arial" w:hAnsi="Arial"/>
          <w:sz w:val="20"/>
          <w:szCs w:val="20"/>
          <w:color w:val="auto"/>
        </w:rPr>
        <w:t>Holders of shares of our Class B Common Stock have the right to approve changes to specified rights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relating to the trading privileges at CME associated with those shares. These “Core Rights” consist of:</w:t>
      </w:r>
    </w:p>
    <w:p>
      <w:pPr>
        <w:spacing w:after="0" w:line="182" w:lineRule="exact"/>
        <w:rPr>
          <w:sz w:val="20"/>
          <w:szCs w:val="20"/>
          <w:color w:val="auto"/>
        </w:rPr>
      </w:pPr>
    </w:p>
    <w:p>
      <w:pPr>
        <w:ind w:left="960" w:hanging="304"/>
        <w:spacing w:after="0"/>
        <w:tabs>
          <w:tab w:leader="none" w:pos="9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divisional product allocation rules applicable to each membership class as set forth in the rules of CME;</w:t>
      </w:r>
    </w:p>
    <w:p>
      <w:pPr>
        <w:spacing w:after="0" w:line="202" w:lineRule="exact"/>
        <w:rPr>
          <w:rFonts w:ascii="Arial" w:cs="Arial" w:eastAsia="Arial" w:hAnsi="Arial"/>
          <w:sz w:val="20"/>
          <w:szCs w:val="20"/>
          <w:color w:val="auto"/>
        </w:rPr>
      </w:pPr>
    </w:p>
    <w:p>
      <w:pPr>
        <w:ind w:left="960" w:hanging="304"/>
        <w:spacing w:after="0"/>
        <w:tabs>
          <w:tab w:leader="none" w:pos="9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trading floor access rights and privileges granted to members of CME;</w:t>
      </w:r>
    </w:p>
    <w:p>
      <w:pPr>
        <w:spacing w:after="0" w:line="202" w:lineRule="exact"/>
        <w:rPr>
          <w:rFonts w:ascii="Arial" w:cs="Arial" w:eastAsia="Arial" w:hAnsi="Arial"/>
          <w:sz w:val="20"/>
          <w:szCs w:val="20"/>
          <w:color w:val="auto"/>
        </w:rPr>
      </w:pPr>
    </w:p>
    <w:p>
      <w:pPr>
        <w:ind w:left="960" w:hanging="304"/>
        <w:spacing w:after="0"/>
        <w:tabs>
          <w:tab w:leader="none" w:pos="9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number of authorized and issued shares of any class of Class B Common Stock; and</w:t>
      </w:r>
    </w:p>
    <w:p>
      <w:pPr>
        <w:spacing w:after="0" w:line="202" w:lineRule="exact"/>
        <w:rPr>
          <w:rFonts w:ascii="Arial" w:cs="Arial" w:eastAsia="Arial" w:hAnsi="Arial"/>
          <w:sz w:val="20"/>
          <w:szCs w:val="20"/>
          <w:color w:val="auto"/>
        </w:rPr>
      </w:pPr>
    </w:p>
    <w:p>
      <w:pPr>
        <w:ind w:left="960" w:hanging="304"/>
        <w:spacing w:after="0"/>
        <w:tabs>
          <w:tab w:leader="none" w:pos="9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eligibility requirements for any person to exercise any of the trading rights or privileges of members in CME.</w:t>
      </w:r>
    </w:p>
    <w:p>
      <w:pPr>
        <w:spacing w:after="0" w:line="202" w:lineRule="exact"/>
        <w:rPr>
          <w:sz w:val="20"/>
          <w:szCs w:val="20"/>
          <w:color w:val="auto"/>
        </w:rPr>
      </w:pPr>
    </w:p>
    <w:p>
      <w:pPr>
        <w:ind w:right="20" w:firstLine="648"/>
        <w:spacing w:after="0" w:line="229" w:lineRule="auto"/>
        <w:rPr>
          <w:sz w:val="20"/>
          <w:szCs w:val="20"/>
          <w:color w:val="auto"/>
        </w:rPr>
      </w:pPr>
      <w:r>
        <w:rPr>
          <w:rFonts w:ascii="Arial" w:cs="Arial" w:eastAsia="Arial" w:hAnsi="Arial"/>
          <w:sz w:val="18"/>
          <w:szCs w:val="18"/>
          <w:color w:val="auto"/>
        </w:rPr>
        <w:t>Votes on changes to Core Rights are weighted by class. Each class of Class B Common Stock has the following number of votes on matters relating to Core Rights: Class B-1 Common Stock, six votes per share; Class B-2 Common Stock, two votes per share; Class B-3 Common Stock, one vote per share; and Class B-4 Common Stock, one-sixth of one vote per share. Any change to Core Rights must be approved by a majority of the aggregate votes cast by the holders of the Class B Common Stock present (in person or by proxy) and voting at the meeting of holders of Class B Common Stock called for the purpose of voting on the proposed change, provided that holders of at least a majority of the aggregate number of votes entitled to vote on the matter are present at such meeting. Under Delaware law, changes to the number of authorized shares of a class also require the approval of the holders of a majority of the outstanding shares of that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0"/>
          </w:cols>
          <w:pgMar w:left="320" w:top="1440" w:right="359" w:bottom="1440" w:gutter="0" w:footer="0" w:header="0"/>
        </w:sectPr>
      </w:pPr>
    </w:p>
    <w:bookmarkStart w:id="95" w:name="page96"/>
    <w:bookmarkEnd w:id="95"/>
    <w:p>
      <w:pPr>
        <w:ind w:firstLine="648"/>
        <w:spacing w:after="0" w:line="212" w:lineRule="auto"/>
        <w:rPr>
          <w:sz w:val="20"/>
          <w:szCs w:val="20"/>
          <w:color w:val="auto"/>
        </w:rPr>
      </w:pPr>
      <w:r>
        <w:rPr>
          <w:rFonts w:ascii="Arial" w:cs="Arial" w:eastAsia="Arial" w:hAnsi="Arial"/>
          <w:sz w:val="19"/>
          <w:szCs w:val="19"/>
          <w:b w:val="1"/>
          <w:bCs w:val="1"/>
          <w:i w:val="1"/>
          <w:iCs w:val="1"/>
          <w:color w:val="auto"/>
        </w:rPr>
        <w:t xml:space="preserve">Election of Directors. </w:t>
      </w:r>
      <w:r>
        <w:rPr>
          <w:rFonts w:ascii="Arial" w:cs="Arial" w:eastAsia="Arial" w:hAnsi="Arial"/>
          <w:sz w:val="19"/>
          <w:szCs w:val="19"/>
          <w:color w:val="auto"/>
        </w:rPr>
        <w:t>Our Certificate of Incorporation provides that the number of directors that shall constitute the whole Board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be fixed exclusively by one or more resolutions adopted by our Board, which number shall be no more than 30. Holders of Class B-1 Common Stock, Class B-2 Common Stock and Class B-3 Common Stock have the right to elect six directors to our Board, of which three (the “Class B-1 Directors”) are elected by the holders of Class B-1 Common Stock, two (the “Class B-2 Directors”) are elected by the holders of Class B-2 Common Stock and one (the “Class B-3 Director”) is elected by the holders of Class B-3 Common Stock. We refer to the Class B-1 Directors, the Class B-2 Directors and the Class B-3 Director collectively as the “Class B Directors.” The directors that are not Class B Directors, which we refer to as equity directors, are elected by the holders of the Class A Common Stock and Class B Common Stock, voting together as a class. Nominees for election as equity directors are nominated for election by our Board upon the recommendation of the Nominating and Governance Committee of our Board. As provided in the Bylaws, in connection with the 2021 annual meeting and at each annual meeting thereafter, nominees for each class of Class B Directors will include eligible nominees selected by the Board’s Nominating and Governance Committee and nominees who satisfy the existing requirements for write-in nominees. Our Certificate of Incorporation requires that director candidates for election by a class of Class B Common Stock own, or be recognized as the owner for the purposes of CME of, at least one share of that class.</w:t>
      </w:r>
    </w:p>
    <w:p>
      <w:pPr>
        <w:spacing w:after="0" w:line="191" w:lineRule="exact"/>
        <w:rPr>
          <w:sz w:val="20"/>
          <w:szCs w:val="20"/>
          <w:color w:val="auto"/>
        </w:rPr>
      </w:pPr>
    </w:p>
    <w:p>
      <w:pPr>
        <w:ind w:right="40" w:firstLine="648"/>
        <w:spacing w:after="0" w:line="207" w:lineRule="auto"/>
        <w:rPr>
          <w:sz w:val="20"/>
          <w:szCs w:val="20"/>
          <w:color w:val="auto"/>
        </w:rPr>
      </w:pPr>
      <w:r>
        <w:rPr>
          <w:rFonts w:ascii="Arial" w:cs="Arial" w:eastAsia="Arial" w:hAnsi="Arial"/>
          <w:sz w:val="20"/>
          <w:szCs w:val="20"/>
          <w:b w:val="1"/>
          <w:bCs w:val="1"/>
          <w:i w:val="1"/>
          <w:iCs w:val="1"/>
          <w:color w:val="auto"/>
        </w:rPr>
        <w:t xml:space="preserve">Voting Restrictions. </w:t>
      </w:r>
      <w:r>
        <w:rPr>
          <w:rFonts w:ascii="Arial" w:cs="Arial" w:eastAsia="Arial" w:hAnsi="Arial"/>
          <w:sz w:val="20"/>
          <w:szCs w:val="20"/>
          <w:color w:val="auto"/>
        </w:rPr>
        <w:t>Our Certificate of Incorporation provides that, for so long as any person or group of persons acting in concert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beneficially own 15% or more of the outstanding shares of any class of Class B Common Stock, then in any election of directors elected by that class or other exercise of voting rights with respect to Core Rights or with respect to the election or removal of directors, such person or group is only entitled to vote a number of shares of that class of Class B Common Stock that constitutes a percentage of the total number of outstanding shares of that class which is less than or equal to the percentage of Class A Common Stock beneficially owned by such person or group.</w:t>
      </w:r>
    </w:p>
    <w:p>
      <w:pPr>
        <w:spacing w:after="0" w:line="187" w:lineRule="exact"/>
        <w:rPr>
          <w:sz w:val="20"/>
          <w:szCs w:val="20"/>
          <w:color w:val="auto"/>
        </w:rPr>
      </w:pPr>
    </w:p>
    <w:p>
      <w:pPr>
        <w:ind w:right="280" w:firstLine="648"/>
        <w:spacing w:after="0" w:line="213" w:lineRule="auto"/>
        <w:rPr>
          <w:sz w:val="20"/>
          <w:szCs w:val="20"/>
          <w:color w:val="auto"/>
        </w:rPr>
      </w:pPr>
      <w:r>
        <w:rPr>
          <w:rFonts w:ascii="Arial" w:cs="Arial" w:eastAsia="Arial" w:hAnsi="Arial"/>
          <w:sz w:val="20"/>
          <w:szCs w:val="20"/>
          <w:b w:val="1"/>
          <w:bCs w:val="1"/>
          <w:i w:val="1"/>
          <w:iCs w:val="1"/>
          <w:color w:val="auto"/>
        </w:rPr>
        <w:t xml:space="preserve">Transfer Restrictions. </w:t>
      </w:r>
      <w:r>
        <w:rPr>
          <w:rFonts w:ascii="Arial" w:cs="Arial" w:eastAsia="Arial" w:hAnsi="Arial"/>
          <w:sz w:val="20"/>
          <w:szCs w:val="20"/>
          <w:color w:val="auto"/>
        </w:rPr>
        <w:t>Shares of Class B Common Stock are subject to transfer restrictions contained in our Certificate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Incorporation. These transfer restrictions prohibit the sale or transfer of any shares of Class B Common Stock separate from the sale of the associated membership interest in CME. No membership in CME may be sold unless the purchaser also acquires the associated share of Class B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08" w:lineRule="exact"/>
        <w:rPr>
          <w:sz w:val="20"/>
          <w:szCs w:val="20"/>
          <w:color w:val="auto"/>
        </w:rPr>
      </w:pPr>
    </w:p>
    <w:p>
      <w:pPr>
        <w:ind w:right="160" w:firstLine="648"/>
        <w:spacing w:after="0" w:line="231" w:lineRule="auto"/>
        <w:rPr>
          <w:sz w:val="20"/>
          <w:szCs w:val="20"/>
          <w:color w:val="auto"/>
        </w:rPr>
      </w:pPr>
      <w:r>
        <w:rPr>
          <w:rFonts w:ascii="Arial" w:cs="Arial" w:eastAsia="Arial" w:hAnsi="Arial"/>
          <w:sz w:val="18"/>
          <w:szCs w:val="18"/>
          <w:color w:val="auto"/>
        </w:rPr>
        <w:t>We are authorized to issue up to 10 million shares of Preferred Stock. Our Certificate of Incorporation authorizes the issuance of shares of Preferred Stock in one or more series at such times and for such consideration as our Board may determine and authorizes our Board to fix the relative powers, rights, designations, preferences, qualifications, limitations and restrictions of the shares of each wholly unissued series. Our Board may fix the number of shares of each series of Preferred Stock, but not below the number of shares of that series then outstanding, without any further vote or action by our shareholders. Our Board may authorize the issuance of Preferred Stock with voting or conversion rights that could adversely affect the voting power or other rights of the holders of our common stock.</w:t>
      </w:r>
    </w:p>
    <w:p>
      <w:pPr>
        <w:spacing w:after="0" w:line="182" w:lineRule="exact"/>
        <w:rPr>
          <w:sz w:val="20"/>
          <w:szCs w:val="20"/>
          <w:color w:val="auto"/>
        </w:rPr>
      </w:pPr>
    </w:p>
    <w:p>
      <w:pPr>
        <w:ind w:right="160" w:firstLine="648"/>
        <w:spacing w:after="0" w:line="229" w:lineRule="auto"/>
        <w:rPr>
          <w:sz w:val="20"/>
          <w:szCs w:val="20"/>
          <w:color w:val="auto"/>
        </w:rPr>
      </w:pPr>
      <w:r>
        <w:rPr>
          <w:rFonts w:ascii="Arial" w:cs="Arial" w:eastAsia="Arial" w:hAnsi="Arial"/>
          <w:sz w:val="20"/>
          <w:szCs w:val="20"/>
          <w:color w:val="auto"/>
        </w:rPr>
        <w:t>When CME Group issues shares of Preferred Stock to be registered, we will provide specific information about the particular series being offered in a prospectus supplement. This information will include some or all of the following:</w:t>
      </w:r>
    </w:p>
    <w:p>
      <w:pPr>
        <w:spacing w:after="0" w:line="182" w:lineRule="exact"/>
        <w:rPr>
          <w:sz w:val="20"/>
          <w:szCs w:val="20"/>
          <w:color w:val="auto"/>
        </w:rPr>
      </w:pPr>
    </w:p>
    <w:p>
      <w:pPr>
        <w:ind w:left="960" w:hanging="304"/>
        <w:spacing w:after="0"/>
        <w:tabs>
          <w:tab w:leader="none" w:pos="9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title or designation of the series;</w:t>
      </w:r>
    </w:p>
    <w:p>
      <w:pPr>
        <w:spacing w:after="0" w:line="202" w:lineRule="exact"/>
        <w:rPr>
          <w:rFonts w:ascii="Arial" w:cs="Arial" w:eastAsia="Arial" w:hAnsi="Arial"/>
          <w:sz w:val="20"/>
          <w:szCs w:val="20"/>
          <w:color w:val="auto"/>
        </w:rPr>
      </w:pPr>
    </w:p>
    <w:p>
      <w:pPr>
        <w:ind w:left="980" w:right="40" w:hanging="324"/>
        <w:spacing w:after="0" w:line="242" w:lineRule="auto"/>
        <w:tabs>
          <w:tab w:leader="none" w:pos="968"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number of shares of the series, which the Board may thereafter (except where otherwise provided in the designations for such series) increase or decrease (but not below the number of shares of such series then outstanding);</w:t>
      </w:r>
    </w:p>
    <w:p>
      <w:pPr>
        <w:spacing w:after="0" w:line="180" w:lineRule="exact"/>
        <w:rPr>
          <w:rFonts w:ascii="Arial" w:cs="Arial" w:eastAsia="Arial" w:hAnsi="Arial"/>
          <w:sz w:val="19"/>
          <w:szCs w:val="19"/>
          <w:color w:val="auto"/>
        </w:rPr>
      </w:pPr>
    </w:p>
    <w:p>
      <w:pPr>
        <w:ind w:left="960" w:hanging="304"/>
        <w:spacing w:after="0"/>
        <w:tabs>
          <w:tab w:leader="none" w:pos="9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whether dividends, if any, will be cumulative or noncumulative and the dividend rate of the series;</w:t>
      </w:r>
    </w:p>
    <w:p>
      <w:pPr>
        <w:spacing w:after="0" w:line="202" w:lineRule="exact"/>
        <w:rPr>
          <w:rFonts w:ascii="Arial" w:cs="Arial" w:eastAsia="Arial" w:hAnsi="Arial"/>
          <w:sz w:val="20"/>
          <w:szCs w:val="20"/>
          <w:color w:val="auto"/>
        </w:rPr>
      </w:pPr>
    </w:p>
    <w:p>
      <w:pPr>
        <w:ind w:left="980" w:right="200" w:hanging="324"/>
        <w:spacing w:after="0" w:line="229" w:lineRule="auto"/>
        <w:tabs>
          <w:tab w:leader="none" w:pos="968"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conditions upon which and the dates at which dividends, if any, will be payable, and the relation that such dividends, if any, will bear to the dividends payable on any other series or classes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05" w:right="339" w:bottom="1440" w:gutter="0" w:footer="0" w:header="0"/>
        </w:sectPr>
      </w:pPr>
    </w:p>
    <w:bookmarkStart w:id="96" w:name="page97"/>
    <w:bookmarkEnd w:id="96"/>
    <w:p>
      <w:pPr>
        <w:spacing w:after="0" w:line="209" w:lineRule="exact"/>
        <w:rPr>
          <w:sz w:val="20"/>
          <w:szCs w:val="20"/>
          <w:color w:val="auto"/>
        </w:rPr>
      </w:pPr>
    </w:p>
    <w:p>
      <w:pPr>
        <w:ind w:left="980" w:right="40" w:hanging="324"/>
        <w:spacing w:after="0" w:line="229" w:lineRule="auto"/>
        <w:tabs>
          <w:tab w:leader="none" w:pos="968"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redemption rights and price or prices, if any, for shares of the series and at whose option such redemption may occur, and any limitations, restrictions or conditions on such redemption;</w:t>
      </w:r>
    </w:p>
    <w:p>
      <w:pPr>
        <w:spacing w:after="0" w:line="182" w:lineRule="exact"/>
        <w:rPr>
          <w:rFonts w:ascii="Arial" w:cs="Arial" w:eastAsia="Arial" w:hAnsi="Arial"/>
          <w:sz w:val="20"/>
          <w:szCs w:val="20"/>
          <w:color w:val="auto"/>
        </w:rPr>
      </w:pPr>
    </w:p>
    <w:p>
      <w:pPr>
        <w:ind w:left="960" w:hanging="304"/>
        <w:spacing w:after="0"/>
        <w:tabs>
          <w:tab w:leader="none" w:pos="9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terms and amounts of any sinking fund provided for the purchase or redemption of shares of the series;</w:t>
      </w:r>
    </w:p>
    <w:p>
      <w:pPr>
        <w:spacing w:after="0" w:line="202" w:lineRule="exact"/>
        <w:rPr>
          <w:rFonts w:ascii="Arial" w:cs="Arial" w:eastAsia="Arial" w:hAnsi="Arial"/>
          <w:sz w:val="20"/>
          <w:szCs w:val="20"/>
          <w:color w:val="auto"/>
        </w:rPr>
      </w:pPr>
    </w:p>
    <w:p>
      <w:pPr>
        <w:ind w:left="980" w:right="880" w:hanging="324"/>
        <w:spacing w:after="0" w:line="229" w:lineRule="auto"/>
        <w:tabs>
          <w:tab w:leader="none" w:pos="968"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amounts payable on and the preferences, if any, of shares of the series, in the event of any voluntary or involuntary liquidation, dissolution or winding up of the affairs of CME Group;</w:t>
      </w:r>
    </w:p>
    <w:p>
      <w:pPr>
        <w:spacing w:after="0" w:line="182" w:lineRule="exact"/>
        <w:rPr>
          <w:rFonts w:ascii="Arial" w:cs="Arial" w:eastAsia="Arial" w:hAnsi="Arial"/>
          <w:sz w:val="20"/>
          <w:szCs w:val="20"/>
          <w:color w:val="auto"/>
        </w:rPr>
      </w:pPr>
    </w:p>
    <w:p>
      <w:pPr>
        <w:jc w:val="both"/>
        <w:ind w:left="980" w:right="80" w:hanging="324"/>
        <w:spacing w:after="0" w:line="236" w:lineRule="auto"/>
        <w:tabs>
          <w:tab w:leader="none" w:pos="9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or exchangeable into shares of any other class or series, or any other security of CME Group or any other entity, and, if so, the specification of such other class or series or such other security, the conversion price or prices or exchange rate or rates, any adjustments thereof, the date or dates as of which such shares will be convertible or exchangeable and all other terms and conditions upon which such conversion or exchange may be made;</w:t>
      </w:r>
    </w:p>
    <w:p>
      <w:pPr>
        <w:spacing w:after="0" w:line="184" w:lineRule="exact"/>
        <w:rPr>
          <w:rFonts w:ascii="Arial" w:cs="Arial" w:eastAsia="Arial" w:hAnsi="Arial"/>
          <w:sz w:val="18"/>
          <w:szCs w:val="18"/>
          <w:color w:val="auto"/>
        </w:rPr>
      </w:pPr>
    </w:p>
    <w:p>
      <w:pPr>
        <w:ind w:left="960" w:hanging="304"/>
        <w:spacing w:after="0"/>
        <w:tabs>
          <w:tab w:leader="none" w:pos="9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whether the Preferred Stock being offered will be listed on any securities exchange;</w:t>
      </w:r>
    </w:p>
    <w:p>
      <w:pPr>
        <w:spacing w:after="0" w:line="202" w:lineRule="exact"/>
        <w:rPr>
          <w:rFonts w:ascii="Arial" w:cs="Arial" w:eastAsia="Arial" w:hAnsi="Arial"/>
          <w:sz w:val="20"/>
          <w:szCs w:val="20"/>
          <w:color w:val="auto"/>
        </w:rPr>
      </w:pPr>
    </w:p>
    <w:p>
      <w:pPr>
        <w:ind w:left="960" w:hanging="304"/>
        <w:spacing w:after="0"/>
        <w:tabs>
          <w:tab w:leader="none" w:pos="9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if necessary, a discussion of certain federal income tax considerations applicable to the Preferred Stock being offered;</w:t>
      </w:r>
    </w:p>
    <w:p>
      <w:pPr>
        <w:spacing w:after="0" w:line="213" w:lineRule="exact"/>
        <w:rPr>
          <w:rFonts w:ascii="Arial" w:cs="Arial" w:eastAsia="Arial" w:hAnsi="Arial"/>
          <w:sz w:val="19"/>
          <w:szCs w:val="19"/>
          <w:color w:val="auto"/>
        </w:rPr>
      </w:pPr>
    </w:p>
    <w:p>
      <w:pPr>
        <w:ind w:left="960" w:hanging="304"/>
        <w:spacing w:after="0"/>
        <w:tabs>
          <w:tab w:leader="none" w:pos="9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voting rights, in addition to the voting rights provided by law, if any, of the holders of shares of such series; and</w:t>
      </w:r>
    </w:p>
    <w:p>
      <w:pPr>
        <w:spacing w:after="0" w:line="202" w:lineRule="exact"/>
        <w:rPr>
          <w:rFonts w:ascii="Arial" w:cs="Arial" w:eastAsia="Arial" w:hAnsi="Arial"/>
          <w:sz w:val="20"/>
          <w:szCs w:val="20"/>
          <w:color w:val="auto"/>
        </w:rPr>
      </w:pPr>
    </w:p>
    <w:p>
      <w:pPr>
        <w:ind w:left="980" w:right="1120" w:hanging="324"/>
        <w:spacing w:after="0" w:line="229" w:lineRule="auto"/>
        <w:tabs>
          <w:tab w:leader="none" w:pos="968"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other relative rights, preferences, limitations and powers not inconsistent with applicable law, our Certificate of Incorporation then in effect or our Bylaws then in effect.</w:t>
      </w:r>
    </w:p>
    <w:p>
      <w:pPr>
        <w:spacing w:after="0" w:line="182" w:lineRule="exact"/>
        <w:rPr>
          <w:sz w:val="20"/>
          <w:szCs w:val="20"/>
          <w:color w:val="auto"/>
        </w:rPr>
      </w:pPr>
    </w:p>
    <w:p>
      <w:pPr>
        <w:ind w:right="120" w:firstLine="648"/>
        <w:spacing w:after="0" w:line="229" w:lineRule="auto"/>
        <w:rPr>
          <w:sz w:val="20"/>
          <w:szCs w:val="20"/>
          <w:color w:val="auto"/>
        </w:rPr>
      </w:pPr>
      <w:r>
        <w:rPr>
          <w:rFonts w:ascii="Arial" w:cs="Arial" w:eastAsia="Arial" w:hAnsi="Arial"/>
          <w:sz w:val="20"/>
          <w:szCs w:val="20"/>
          <w:color w:val="auto"/>
        </w:rPr>
        <w:t>Upon issuance, the shares of Preferred Stock will be fully paid and non-assessable, which means that its holders will have paid their purchase price in full and we may not require them to pay additional funds.</w:t>
      </w:r>
    </w:p>
    <w:p>
      <w:pPr>
        <w:spacing w:after="0" w:line="182" w:lineRule="exact"/>
        <w:rPr>
          <w:sz w:val="20"/>
          <w:szCs w:val="20"/>
          <w:color w:val="auto"/>
        </w:rPr>
      </w:pPr>
    </w:p>
    <w:p>
      <w:pPr>
        <w:ind w:right="40" w:firstLine="648"/>
        <w:spacing w:after="0" w:line="222" w:lineRule="auto"/>
        <w:rPr>
          <w:sz w:val="20"/>
          <w:szCs w:val="20"/>
          <w:color w:val="auto"/>
        </w:rPr>
      </w:pPr>
      <w:r>
        <w:rPr>
          <w:rFonts w:ascii="Arial" w:cs="Arial" w:eastAsia="Arial" w:hAnsi="Arial"/>
          <w:sz w:val="18"/>
          <w:szCs w:val="18"/>
          <w:color w:val="auto"/>
        </w:rPr>
        <w:t>On November 4, 2021, CME Group issued and sold in a private placement to Google LLC 4,584,020 shares of Series G Non-Voting Convertible Preferred Stock for an aggregate purchase price of approximately $1 billion in cash. The issuance and sale was exempt from registration pursuant to Section 4(a)(2) of the Securities Act of 1933, as amended. Each holder of Series G Non-Voting Convertible Preferred Stock has the right at any time, at such holder’s option, to convert all of such holder’s shares into Class A Common Stock at a specified conversion rate, which is initially one share of Class A Common Stock per share of Series G Non-Voting Convertible Preferred Stock and is subject to adjustment for any subdivision or combination of the shares of Class A Common Stock.</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Indemnification of Directors and Executive Officers and Limitation of Liability</w:t>
      </w:r>
    </w:p>
    <w:p>
      <w:pPr>
        <w:spacing w:after="0" w:line="186" w:lineRule="exact"/>
        <w:rPr>
          <w:sz w:val="20"/>
          <w:szCs w:val="20"/>
          <w:color w:val="auto"/>
        </w:rPr>
      </w:pPr>
    </w:p>
    <w:p>
      <w:pPr>
        <w:jc w:val="both"/>
        <w:ind w:right="20" w:firstLine="648"/>
        <w:spacing w:after="0" w:line="230" w:lineRule="auto"/>
        <w:rPr>
          <w:sz w:val="20"/>
          <w:szCs w:val="20"/>
          <w:color w:val="auto"/>
        </w:rPr>
      </w:pPr>
      <w:r>
        <w:rPr>
          <w:rFonts w:ascii="Arial" w:cs="Arial" w:eastAsia="Arial" w:hAnsi="Arial"/>
          <w:sz w:val="19"/>
          <w:szCs w:val="19"/>
          <w:color w:val="auto"/>
        </w:rPr>
        <w:t>Section 145 of the General Corporation Law of the State of Delaware (the “DGCL”) authorizes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w:t>
      </w:r>
    </w:p>
    <w:p>
      <w:pPr>
        <w:spacing w:after="0" w:line="182" w:lineRule="exact"/>
        <w:rPr>
          <w:sz w:val="20"/>
          <w:szCs w:val="20"/>
          <w:color w:val="auto"/>
        </w:rPr>
      </w:pPr>
    </w:p>
    <w:p>
      <w:pPr>
        <w:ind w:firstLine="648"/>
        <w:spacing w:after="0" w:line="210" w:lineRule="auto"/>
        <w:rPr>
          <w:sz w:val="20"/>
          <w:szCs w:val="20"/>
          <w:color w:val="auto"/>
        </w:rPr>
      </w:pPr>
      <w:r>
        <w:rPr>
          <w:rFonts w:ascii="Arial" w:cs="Arial" w:eastAsia="Arial" w:hAnsi="Arial"/>
          <w:sz w:val="20"/>
          <w:szCs w:val="20"/>
          <w:color w:val="auto"/>
        </w:rPr>
        <w:t>As permitted by Delaware law, our Certificate of Incorporation includes a provision that eliminates the personal liability of our directors for monetary damages for breach of fiduciary duty as a director, except for liability (1) for any breach of the director’s duty of loyalty to us or our shareholders; (2) for acts or omissions not in good faith or that involve intentional misconduct or a knowing violation of law; (3) under Section 174 of the DGCL regarding unlawful dividends and stock purchases; or (4) for any transaction from which the director derived an improper personal benefit.</w:t>
      </w:r>
    </w:p>
    <w:p>
      <w:pPr>
        <w:spacing w:after="0" w:line="182"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0"/>
          <w:szCs w:val="20"/>
          <w:color w:val="auto"/>
        </w:rPr>
        <w:t>As permitted by Delaware law, our Certificate of Incorporation and our Bylaws provide that (1) we shall indemnify our directors and officers and former directors and officers to the fullest extent permitted by law; (2) such indemnification includes the right to advancement of expenses, if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0"/>
          </w:cols>
          <w:pgMar w:left="320" w:top="1440" w:right="359" w:bottom="1440" w:gutter="0" w:footer="0" w:header="0"/>
        </w:sectPr>
      </w:pPr>
    </w:p>
    <w:bookmarkStart w:id="97" w:name="page98"/>
    <w:bookmarkEnd w:id="97"/>
    <w:p>
      <w:pPr>
        <w:ind w:right="180"/>
        <w:spacing w:after="0" w:line="218" w:lineRule="auto"/>
        <w:rPr>
          <w:sz w:val="20"/>
          <w:szCs w:val="20"/>
          <w:color w:val="auto"/>
        </w:rPr>
      </w:pPr>
      <w:r>
        <w:rPr>
          <w:rFonts w:ascii="Arial" w:cs="Arial" w:eastAsia="Arial" w:hAnsi="Arial"/>
          <w:sz w:val="20"/>
          <w:szCs w:val="20"/>
          <w:color w:val="auto"/>
        </w:rPr>
        <w:t>received an undertaking by the person receiving such advance to repay all amounts advanced if it should be determined that he or she is not entitled to be indemnified by us; and (3) the rights to indemnification conferred in our Certificate of Incorporation and our Bylaws are not exclusive.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Exclusive Forum</w:t>
      </w:r>
    </w:p>
    <w:p>
      <w:pPr>
        <w:spacing w:after="0" w:line="208" w:lineRule="exact"/>
        <w:rPr>
          <w:sz w:val="20"/>
          <w:szCs w:val="20"/>
          <w:color w:val="auto"/>
        </w:rPr>
      </w:pPr>
    </w:p>
    <w:p>
      <w:pPr>
        <w:ind w:firstLine="648"/>
        <w:spacing w:after="0" w:line="213" w:lineRule="auto"/>
        <w:rPr>
          <w:sz w:val="20"/>
          <w:szCs w:val="20"/>
          <w:color w:val="auto"/>
        </w:rPr>
      </w:pPr>
      <w:r>
        <w:rPr>
          <w:rFonts w:ascii="Arial" w:cs="Arial" w:eastAsia="Arial" w:hAnsi="Arial"/>
          <w:sz w:val="19"/>
          <w:szCs w:val="19"/>
          <w:color w:val="auto"/>
        </w:rPr>
        <w:t>Our Bylaws provide that, unless we consent to the selection of an alternative forum, the Court of Chancery of the State of Delaware shall be the sole and exclusive forum for (i) any derivative action or proceed on behalf of us, (ii) any action asserting a claim of breach of a fiduciary duty owed by any of our directors, officers, shareholders, employees or agents to us or our shareholders, (iii) any action asserting a claim against us or any of our directors, officers, shareholders, employees or agents arising out of or relating to any provision of the DGCL or our Certificate of Incorporation or Bylaws, or (iv) any action asserting a claim against us or any of our directors, officers, shareholders, employees or agents governed by the internal affairs doctrine of the State of Delaware; provided, however, that, in the event that the Court of Chancery of the State of Delaware lacks subject matter jurisdiction over any such action or proceeding described in clauses (i) through (iv) of this paragraph,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Certificate of Incorporation and Bylaw Provisions</w:t>
      </w:r>
    </w:p>
    <w:p>
      <w:pPr>
        <w:spacing w:after="0" w:line="208" w:lineRule="exact"/>
        <w:rPr>
          <w:sz w:val="20"/>
          <w:szCs w:val="20"/>
          <w:color w:val="auto"/>
        </w:rPr>
      </w:pPr>
    </w:p>
    <w:p>
      <w:pPr>
        <w:ind w:right="280" w:firstLine="648"/>
        <w:spacing w:after="0" w:line="218" w:lineRule="auto"/>
        <w:rPr>
          <w:sz w:val="20"/>
          <w:szCs w:val="20"/>
          <w:color w:val="auto"/>
        </w:rPr>
      </w:pPr>
      <w:r>
        <w:rPr>
          <w:rFonts w:ascii="Arial" w:cs="Arial" w:eastAsia="Arial" w:hAnsi="Arial"/>
          <w:sz w:val="20"/>
          <w:szCs w:val="20"/>
          <w:color w:val="auto"/>
        </w:rPr>
        <w:t>Our Certificate of Incorporation and Bylaws include a number of anti-takeover provisions that may have the effect of encouraging persons considering unsolicited tender offers or other unilateral takeover proposals to negotiate with our Board rather than pursue non-negotiated takeover attempts. These provisions include:</w:t>
      </w:r>
    </w:p>
    <w:p>
      <w:pPr>
        <w:spacing w:after="0" w:line="183" w:lineRule="exact"/>
        <w:rPr>
          <w:sz w:val="20"/>
          <w:szCs w:val="20"/>
          <w:color w:val="auto"/>
        </w:rPr>
      </w:pPr>
    </w:p>
    <w:p>
      <w:pPr>
        <w:ind w:right="80"/>
        <w:spacing w:after="0" w:line="221" w:lineRule="auto"/>
        <w:rPr>
          <w:sz w:val="20"/>
          <w:szCs w:val="20"/>
          <w:color w:val="auto"/>
        </w:rPr>
      </w:pPr>
      <w:r>
        <w:rPr>
          <w:rFonts w:ascii="Arial" w:cs="Arial" w:eastAsia="Arial" w:hAnsi="Arial"/>
          <w:sz w:val="19"/>
          <w:szCs w:val="19"/>
          <w:b w:val="1"/>
          <w:bCs w:val="1"/>
          <w:i w:val="1"/>
          <w:iCs w:val="1"/>
          <w:color w:val="auto"/>
        </w:rPr>
        <w:t xml:space="preserve">Filling Vacancies on the Board. </w:t>
      </w:r>
      <w:r>
        <w:rPr>
          <w:rFonts w:ascii="Arial" w:cs="Arial" w:eastAsia="Arial" w:hAnsi="Arial"/>
          <w:sz w:val="19"/>
          <w:szCs w:val="19"/>
          <w:color w:val="auto"/>
        </w:rPr>
        <w:t>Our Certificate of Incorporation provides that vacancies on our Board may be filled by a majority of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Board, and any director elected to fill such a vacancy will have the same remaining term as that of his or her predecessor, but any Class B vacancy must be filled from among the candidates who ran in the previous election for that directorship with the candidates being selected to fill the vacancy in the order of the aggregate number of votes received in the previous election. The inability of shareholders to fill vacancies on our Board will make it more difficult to change the composition of our Board.</w:t>
      </w:r>
    </w:p>
    <w:p>
      <w:pPr>
        <w:spacing w:after="0" w:line="182"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b w:val="1"/>
          <w:bCs w:val="1"/>
          <w:i w:val="1"/>
          <w:iCs w:val="1"/>
          <w:color w:val="auto"/>
        </w:rPr>
        <w:t xml:space="preserve">Advance Notice Requirements. </w:t>
      </w:r>
      <w:r>
        <w:rPr>
          <w:rFonts w:ascii="Arial" w:cs="Arial" w:eastAsia="Arial" w:hAnsi="Arial"/>
          <w:sz w:val="18"/>
          <w:szCs w:val="18"/>
          <w:color w:val="auto"/>
        </w:rPr>
        <w:t>Our Bylaws establish advance notice procedures with regard to shareholder proposals relating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nomination of candidates for election as directors or new business to be brought before meetings of shareholders. These procedures provide that notice of shareholder proposals must be timely and given in proper written form to our Secretary prior to the meeting at which the action is to be taken. Generally, to be timely, notice must be delivered to our Secretary at our principal executive offices not fewer than 90 days or more than 120 days prior to the first anniversary of the preceding year’s annual meeting of shareholders. The notice must contain the information required by our Bylaws, including information regarding the proposal and the proponent.</w:t>
      </w:r>
    </w:p>
    <w:p>
      <w:pPr>
        <w:spacing w:after="0" w:line="182" w:lineRule="exact"/>
        <w:rPr>
          <w:sz w:val="20"/>
          <w:szCs w:val="20"/>
          <w:color w:val="auto"/>
        </w:rPr>
      </w:pPr>
    </w:p>
    <w:p>
      <w:pPr>
        <w:ind w:right="280"/>
        <w:spacing w:after="0" w:line="218" w:lineRule="auto"/>
        <w:rPr>
          <w:sz w:val="20"/>
          <w:szCs w:val="20"/>
          <w:color w:val="auto"/>
        </w:rPr>
      </w:pPr>
      <w:r>
        <w:rPr>
          <w:rFonts w:ascii="Arial" w:cs="Arial" w:eastAsia="Arial" w:hAnsi="Arial"/>
          <w:sz w:val="20"/>
          <w:szCs w:val="20"/>
          <w:b w:val="1"/>
          <w:bCs w:val="1"/>
          <w:i w:val="1"/>
          <w:iCs w:val="1"/>
          <w:color w:val="auto"/>
        </w:rPr>
        <w:t xml:space="preserve">Special Meetings of Shareholders. </w:t>
      </w:r>
      <w:r>
        <w:rPr>
          <w:rFonts w:ascii="Arial" w:cs="Arial" w:eastAsia="Arial" w:hAnsi="Arial"/>
          <w:sz w:val="20"/>
          <w:szCs w:val="20"/>
          <w:color w:val="auto"/>
        </w:rPr>
        <w:t>Our Certificate of Incorporation and Bylaws deny shareholders the right to call a special meeting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shareholders. Our Certificate of Incorporation and Bylaws provide that only the chairman of our board or a majority of the Board may call special meetings of the shareholders.</w:t>
      </w:r>
    </w:p>
    <w:p>
      <w:pPr>
        <w:spacing w:after="0" w:line="183" w:lineRule="exact"/>
        <w:rPr>
          <w:sz w:val="20"/>
          <w:szCs w:val="20"/>
          <w:color w:val="auto"/>
        </w:rPr>
      </w:pPr>
    </w:p>
    <w:p>
      <w:pPr>
        <w:ind w:right="920"/>
        <w:spacing w:after="0" w:line="333" w:lineRule="auto"/>
        <w:rPr>
          <w:sz w:val="20"/>
          <w:szCs w:val="20"/>
          <w:color w:val="auto"/>
        </w:rPr>
      </w:pPr>
      <w:r>
        <w:rPr>
          <w:rFonts w:ascii="Arial" w:cs="Arial" w:eastAsia="Arial" w:hAnsi="Arial"/>
          <w:sz w:val="16"/>
          <w:szCs w:val="16"/>
          <w:b w:val="1"/>
          <w:bCs w:val="1"/>
          <w:i w:val="1"/>
          <w:iCs w:val="1"/>
          <w:color w:val="auto"/>
        </w:rPr>
        <w:t xml:space="preserve">No Written Consent of Shareholders. </w:t>
      </w:r>
      <w:r>
        <w:rPr>
          <w:rFonts w:ascii="Arial" w:cs="Arial" w:eastAsia="Arial" w:hAnsi="Arial"/>
          <w:sz w:val="16"/>
          <w:szCs w:val="16"/>
          <w:color w:val="auto"/>
        </w:rPr>
        <w:t>Our Certificate of Incorporation requires all shareholder actions to be taken by a vote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at an annual or special meeting and does not permit the shareholders to act by written consent, without a meeting.</w:t>
      </w:r>
    </w:p>
    <w:p>
      <w:pPr>
        <w:spacing w:after="0" w:line="110" w:lineRule="exact"/>
        <w:rPr>
          <w:sz w:val="20"/>
          <w:szCs w:val="20"/>
          <w:color w:val="auto"/>
        </w:rPr>
      </w:pPr>
    </w:p>
    <w:p>
      <w:pPr>
        <w:ind w:right="100"/>
        <w:spacing w:after="0" w:line="210" w:lineRule="auto"/>
        <w:rPr>
          <w:sz w:val="20"/>
          <w:szCs w:val="20"/>
          <w:color w:val="auto"/>
        </w:rPr>
      </w:pPr>
      <w:r>
        <w:rPr>
          <w:rFonts w:ascii="Arial" w:cs="Arial" w:eastAsia="Arial" w:hAnsi="Arial"/>
          <w:sz w:val="20"/>
          <w:szCs w:val="20"/>
          <w:b w:val="1"/>
          <w:bCs w:val="1"/>
          <w:i w:val="1"/>
          <w:iCs w:val="1"/>
          <w:color w:val="auto"/>
        </w:rPr>
        <w:t xml:space="preserve">Amendment of Certificate of Incorporation and Bylaws. </w:t>
      </w:r>
      <w:r>
        <w:rPr>
          <w:rFonts w:ascii="Arial" w:cs="Arial" w:eastAsia="Arial" w:hAnsi="Arial"/>
          <w:sz w:val="20"/>
          <w:szCs w:val="20"/>
          <w:color w:val="auto"/>
        </w:rPr>
        <w:t>Our Certificate of Incorporation generally requires the approval of not less than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two-thirds of the voting power of all outstanding shares of common stock entitled to vote to amend any Bylaws by shareholder action or the Certificate of Incorporation provisions, other than those with respect to filling vacancies on the Board, described in this “Other Certificate of Incorporation and Bylaw Provisions” section. Only our Class B shareholders may amend provisions of our Certificate of Incorporation relating to the Core Rights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05" w:right="339" w:bottom="1440" w:gutter="0" w:footer="0" w:header="0"/>
        </w:sectPr>
      </w:pPr>
    </w:p>
    <w:bookmarkStart w:id="98" w:name="page99"/>
    <w:bookmarkEnd w:id="98"/>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Delaware Takeover Statute</w:t>
      </w:r>
    </w:p>
    <w:p>
      <w:pPr>
        <w:spacing w:after="0" w:line="208" w:lineRule="exact"/>
        <w:rPr>
          <w:sz w:val="20"/>
          <w:szCs w:val="20"/>
          <w:color w:val="auto"/>
        </w:rPr>
      </w:pPr>
    </w:p>
    <w:p>
      <w:pPr>
        <w:jc w:val="both"/>
        <w:ind w:right="200" w:firstLine="648"/>
        <w:spacing w:after="0" w:line="218" w:lineRule="auto"/>
        <w:rPr>
          <w:sz w:val="20"/>
          <w:szCs w:val="20"/>
          <w:color w:val="auto"/>
        </w:rPr>
      </w:pPr>
      <w:r>
        <w:rPr>
          <w:rFonts w:ascii="Arial" w:cs="Arial" w:eastAsia="Arial" w:hAnsi="Arial"/>
          <w:sz w:val="20"/>
          <w:szCs w:val="20"/>
          <w:color w:val="auto"/>
        </w:rPr>
        <w:t>We are subject to Section 203 of the DGCL (“Section 203”). Subject to exceptions set forth in Section 203, Section 203 prohibits a Delaware corporation from engaging in any business combination with any interested stockholder for a period of three years following the time that such stockholder became an interested stockholder, unless:</w:t>
      </w:r>
    </w:p>
    <w:p>
      <w:pPr>
        <w:spacing w:after="0" w:line="183" w:lineRule="exact"/>
        <w:rPr>
          <w:sz w:val="20"/>
          <w:szCs w:val="20"/>
          <w:color w:val="auto"/>
        </w:rPr>
      </w:pPr>
    </w:p>
    <w:p>
      <w:pPr>
        <w:ind w:left="980" w:right="480" w:hanging="324"/>
        <w:spacing w:after="0" w:line="229" w:lineRule="auto"/>
        <w:tabs>
          <w:tab w:leader="none" w:pos="968" w:val="left"/>
        </w:tabs>
        <w:numPr>
          <w:ilvl w:val="0"/>
          <w:numId w:val="57"/>
        </w:numPr>
        <w:rPr>
          <w:rFonts w:ascii="Arial" w:cs="Arial" w:eastAsia="Arial" w:hAnsi="Arial"/>
          <w:sz w:val="20"/>
          <w:szCs w:val="20"/>
          <w:color w:val="auto"/>
        </w:rPr>
      </w:pPr>
      <w:r>
        <w:rPr>
          <w:rFonts w:ascii="Arial" w:cs="Arial" w:eastAsia="Arial" w:hAnsi="Arial"/>
          <w:sz w:val="20"/>
          <w:szCs w:val="20"/>
          <w:color w:val="auto"/>
        </w:rPr>
        <w:t>prior to such time, the board of directors of the corporation approved either the business combination or the transaction that resulted in the stockholder becoming an interested stockholder;</w:t>
      </w:r>
    </w:p>
    <w:p>
      <w:pPr>
        <w:spacing w:after="0" w:line="182" w:lineRule="exact"/>
        <w:rPr>
          <w:rFonts w:ascii="Arial" w:cs="Arial" w:eastAsia="Arial" w:hAnsi="Arial"/>
          <w:sz w:val="20"/>
          <w:szCs w:val="20"/>
          <w:color w:val="auto"/>
        </w:rPr>
      </w:pPr>
    </w:p>
    <w:p>
      <w:pPr>
        <w:ind w:left="980" w:right="20" w:hanging="324"/>
        <w:spacing w:after="0" w:line="207" w:lineRule="auto"/>
        <w:tabs>
          <w:tab w:leader="none" w:pos="968" w:val="left"/>
        </w:tabs>
        <w:numPr>
          <w:ilvl w:val="0"/>
          <w:numId w:val="57"/>
        </w:numPr>
        <w:rPr>
          <w:rFonts w:ascii="Arial" w:cs="Arial" w:eastAsia="Arial" w:hAnsi="Arial"/>
          <w:sz w:val="20"/>
          <w:szCs w:val="20"/>
          <w:color w:val="auto"/>
        </w:rPr>
      </w:pPr>
      <w:r>
        <w:rPr>
          <w:rFonts w:ascii="Arial" w:cs="Arial" w:eastAsia="Arial" w:hAnsi="Arial"/>
          <w:sz w:val="20"/>
          <w:szCs w:val="20"/>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(x) by persons who are directors and also officers and (y) by employee stock plans in which employee participants do not have the right to determine confidentially whether shares held subject to the plan will be tendered in a tender or exchange offer; or</w:t>
      </w:r>
    </w:p>
    <w:p>
      <w:pPr>
        <w:spacing w:after="0" w:line="186" w:lineRule="exact"/>
        <w:rPr>
          <w:rFonts w:ascii="Arial" w:cs="Arial" w:eastAsia="Arial" w:hAnsi="Arial"/>
          <w:sz w:val="20"/>
          <w:szCs w:val="20"/>
          <w:color w:val="auto"/>
        </w:rPr>
      </w:pPr>
    </w:p>
    <w:p>
      <w:pPr>
        <w:ind w:left="980" w:right="80" w:hanging="324"/>
        <w:spacing w:after="0" w:line="218" w:lineRule="auto"/>
        <w:tabs>
          <w:tab w:leader="none" w:pos="968" w:val="left"/>
        </w:tabs>
        <w:numPr>
          <w:ilvl w:val="0"/>
          <w:numId w:val="57"/>
        </w:numPr>
        <w:rPr>
          <w:rFonts w:ascii="Arial" w:cs="Arial" w:eastAsia="Arial" w:hAnsi="Arial"/>
          <w:sz w:val="20"/>
          <w:szCs w:val="20"/>
          <w:color w:val="auto"/>
        </w:rPr>
      </w:pPr>
      <w:r>
        <w:rPr>
          <w:rFonts w:ascii="Arial" w:cs="Arial" w:eastAsia="Arial" w:hAnsi="Arial"/>
          <w:sz w:val="20"/>
          <w:szCs w:val="20"/>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203 defines a business combination to include generally:</w:t>
      </w:r>
    </w:p>
    <w:p>
      <w:pPr>
        <w:spacing w:after="0" w:line="202" w:lineRule="exact"/>
        <w:rPr>
          <w:sz w:val="20"/>
          <w:szCs w:val="20"/>
          <w:color w:val="auto"/>
        </w:rPr>
      </w:pPr>
    </w:p>
    <w:p>
      <w:pPr>
        <w:ind w:left="960" w:hanging="304"/>
        <w:spacing w:after="0"/>
        <w:tabs>
          <w:tab w:leader="none" w:pos="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any merger or consolidation involving the corporation and the interested stockholder;</w:t>
      </w:r>
    </w:p>
    <w:p>
      <w:pPr>
        <w:spacing w:after="0" w:line="202" w:lineRule="exact"/>
        <w:rPr>
          <w:rFonts w:ascii="Arial" w:cs="Arial" w:eastAsia="Arial" w:hAnsi="Arial"/>
          <w:sz w:val="20"/>
          <w:szCs w:val="20"/>
          <w:color w:val="auto"/>
        </w:rPr>
      </w:pPr>
    </w:p>
    <w:p>
      <w:pPr>
        <w:ind w:left="980" w:right="1000" w:hanging="324"/>
        <w:spacing w:after="0" w:line="229" w:lineRule="auto"/>
        <w:tabs>
          <w:tab w:leader="none" w:pos="968" w:val="left"/>
        </w:tabs>
        <w:numPr>
          <w:ilvl w:val="0"/>
          <w:numId w:val="58"/>
        </w:numPr>
        <w:rPr>
          <w:rFonts w:ascii="Arial" w:cs="Arial" w:eastAsia="Arial" w:hAnsi="Arial"/>
          <w:sz w:val="20"/>
          <w:szCs w:val="20"/>
          <w:color w:val="auto"/>
        </w:rPr>
      </w:pPr>
      <w:r>
        <w:rPr>
          <w:rFonts w:ascii="Arial" w:cs="Arial" w:eastAsia="Arial" w:hAnsi="Arial"/>
          <w:sz w:val="20"/>
          <w:szCs w:val="20"/>
          <w:color w:val="auto"/>
        </w:rPr>
        <w:t>any sale, transfer, pledge or other disposition of 10% or more of the assets of the corporation involving the interested stockholder;</w:t>
      </w:r>
    </w:p>
    <w:p>
      <w:pPr>
        <w:spacing w:after="0" w:line="182" w:lineRule="exact"/>
        <w:rPr>
          <w:rFonts w:ascii="Arial" w:cs="Arial" w:eastAsia="Arial" w:hAnsi="Arial"/>
          <w:sz w:val="20"/>
          <w:szCs w:val="20"/>
          <w:color w:val="auto"/>
        </w:rPr>
      </w:pPr>
    </w:p>
    <w:p>
      <w:pPr>
        <w:ind w:left="980" w:right="40" w:hanging="324"/>
        <w:spacing w:after="0" w:line="213" w:lineRule="auto"/>
        <w:tabs>
          <w:tab w:leader="none" w:pos="968"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transaction that results in the issuance or transfer by the corporation of any stock of the corporation to the interested stockholder except (a) pursuant to the exercise, exchange or conversion of securities exercisable for, exchangeable for or convertible into stock of such corporation, which securities were outstanding prior to the time that the interested stockholder became such, (b) pursuant to a merger of a parent and a wholly-owned subsidiary meeting specified criteria, (c) pursuant to a dividend or distribution paid or made, or the exercise, exchange or conversion of securities exercisable for, exchangeable for or convertible into stock of the corporation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the provisions described in the immediately-preceding clauses (c) through (e) shall there be an increase in the interested stockholder’s proportionate share of the stock of any class or series of the corporation or of the voting stock of the corporation;</w:t>
      </w:r>
    </w:p>
    <w:p>
      <w:pPr>
        <w:spacing w:after="0" w:line="189" w:lineRule="exact"/>
        <w:rPr>
          <w:rFonts w:ascii="Arial" w:cs="Arial" w:eastAsia="Arial" w:hAnsi="Arial"/>
          <w:sz w:val="19"/>
          <w:szCs w:val="19"/>
          <w:color w:val="auto"/>
        </w:rPr>
      </w:pPr>
    </w:p>
    <w:p>
      <w:pPr>
        <w:ind w:left="980" w:right="420" w:hanging="324"/>
        <w:spacing w:after="0" w:line="229" w:lineRule="auto"/>
        <w:tabs>
          <w:tab w:leader="none" w:pos="968" w:val="left"/>
        </w:tabs>
        <w:numPr>
          <w:ilvl w:val="0"/>
          <w:numId w:val="58"/>
        </w:numPr>
        <w:rPr>
          <w:rFonts w:ascii="Arial" w:cs="Arial" w:eastAsia="Arial" w:hAnsi="Arial"/>
          <w:sz w:val="20"/>
          <w:szCs w:val="20"/>
          <w:color w:val="auto"/>
        </w:rPr>
      </w:pPr>
      <w:r>
        <w:rPr>
          <w:rFonts w:ascii="Arial" w:cs="Arial" w:eastAsia="Arial" w:hAnsi="Arial"/>
          <w:sz w:val="20"/>
          <w:szCs w:val="20"/>
          <w:color w:val="auto"/>
        </w:rPr>
        <w:t>any transaction involving the corporation that has the effect of increasing the proportionate share of the stock of any class or series of the corporation beneficially owned by the interested stockholder; or</w:t>
      </w:r>
    </w:p>
    <w:p>
      <w:pPr>
        <w:spacing w:after="0" w:line="182" w:lineRule="exact"/>
        <w:rPr>
          <w:rFonts w:ascii="Arial" w:cs="Arial" w:eastAsia="Arial" w:hAnsi="Arial"/>
          <w:sz w:val="20"/>
          <w:szCs w:val="20"/>
          <w:color w:val="auto"/>
        </w:rPr>
      </w:pPr>
    </w:p>
    <w:p>
      <w:pPr>
        <w:ind w:left="980" w:right="420" w:hanging="324"/>
        <w:spacing w:after="0" w:line="229" w:lineRule="auto"/>
        <w:tabs>
          <w:tab w:leader="none" w:pos="968"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receipt by the interested shareholder of the benefit of any loans, advances, guarantees, pledges or other financial benefits provided by or through the corporation.</w:t>
      </w:r>
    </w:p>
    <w:p>
      <w:pPr>
        <w:spacing w:after="0" w:line="182" w:lineRule="exact"/>
        <w:rPr>
          <w:sz w:val="20"/>
          <w:szCs w:val="20"/>
          <w:color w:val="auto"/>
        </w:rPr>
      </w:pPr>
    </w:p>
    <w:p>
      <w:pPr>
        <w:ind w:firstLine="648"/>
        <w:spacing w:after="0" w:line="218" w:lineRule="auto"/>
        <w:rPr>
          <w:sz w:val="20"/>
          <w:szCs w:val="20"/>
          <w:color w:val="auto"/>
        </w:rPr>
      </w:pPr>
      <w:r>
        <w:rPr>
          <w:rFonts w:ascii="Arial" w:cs="Arial" w:eastAsia="Arial" w:hAnsi="Arial"/>
          <w:sz w:val="20"/>
          <w:szCs w:val="20"/>
          <w:color w:val="auto"/>
        </w:rPr>
        <w:t>In general, Section 203 defines an interested stockholder as any person that is the owner of 15% or more of the outstanding voting stock of the corporation, or is an affiliate or associate of the corporation and was the owner of 15% or more of the outstanding voting stock of the corporation at any time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229" w:lineRule="auto"/>
        <w:rPr>
          <w:sz w:val="20"/>
          <w:szCs w:val="20"/>
          <w:color w:val="auto"/>
        </w:rPr>
      </w:pPr>
      <w:r>
        <w:rPr>
          <w:rFonts w:ascii="Arial" w:cs="Arial" w:eastAsia="Arial" w:hAnsi="Arial"/>
          <w:sz w:val="20"/>
          <w:szCs w:val="20"/>
          <w:color w:val="auto"/>
        </w:rPr>
        <w:t>the 3-year period immediately prior to the date on which it is sought to be determined whether such person is an interested stockholder, and the affiliates and associates of such person.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Transfer Agent and Registrar for our Class A Common Stock is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040"/>
          </w:cols>
          <w:pgMar w:left="320" w:top="1405" w:right="5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21.1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80" w:type="dxa"/>
            <w:vAlign w:val="bottom"/>
            <w:gridSpan w:val="4"/>
          </w:tcPr>
          <w:p>
            <w:pPr>
              <w:spacing w:after="0"/>
              <w:rPr>
                <w:sz w:val="20"/>
                <w:szCs w:val="20"/>
                <w:color w:val="auto"/>
              </w:rPr>
            </w:pPr>
            <w:r>
              <w:rPr>
                <w:rFonts w:ascii="Arial" w:cs="Arial" w:eastAsia="Arial" w:hAnsi="Arial"/>
                <w:sz w:val="18"/>
                <w:szCs w:val="18"/>
                <w:b w:val="1"/>
                <w:bCs w:val="1"/>
                <w:color w:val="auto"/>
              </w:rPr>
              <w:t>CME Group Subsidiaries</w:t>
            </w:r>
          </w:p>
        </w:tc>
      </w:tr>
      <w:tr>
        <w:trPr>
          <w:trHeight w:val="20"/>
        </w:trPr>
        <w:tc>
          <w:tcPr>
            <w:tcW w:w="1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31"/>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1"/>
        </w:trPr>
        <w:tc>
          <w:tcPr>
            <w:tcW w:w="162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Abide Financial DRSP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Abide Financial Ltd*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Abide Financial Repository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Astley &amp; Pearce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of Trade of the City of Chicago,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BrokerTec Americas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BrokerTec Europe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BrokerTec Holdings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BrokerTec Investments*</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Capital Shipbrokers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Hong Kong</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Shipbrokers LLP*</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Capital Shipbroking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C-B-T Corporation</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CFETS-NEX Markets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Hong Kong</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Mercantile Exchange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Chicago Mercantile Exchange Korea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Republic of Korea</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Amsterdam B.V.</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Netherlands</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CME Benchmark Europe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Clearing Europe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CME Consulting (Beijing) Co. Ltd.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Digital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 Digital Vault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Europe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 Finance Holdings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Global Marketplace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 Group Asia Holdings Pte. Ltd.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Singapore</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Group Australia</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South Wales</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 Group Benchmark Administrative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Group Hong Kong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Hong Kong</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 Group Index Services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Group International Market Data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 Group Japan Kabushiki Kaisha</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Japan</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Group Marketing Canada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British Columbia</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 Group Singapore Operations Pte. Ltd.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Singapore</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Group Strategic Investments LLC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 India Holdings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CME India Technology and Support Services Private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 Investment Firm B.V.</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London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 Marketing Europe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Operations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 Platforms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Shareholder Servicing LLC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r>
    </w:tbl>
    <w:p>
      <w:pPr>
        <w:sectPr>
          <w:pgSz w:w="11900" w:h="16838" w:orient="portrait"/>
          <w:cols w:equalWidth="0" w:num="1">
            <w:col w:w="11200"/>
          </w:cols>
          <w:pgMar w:left="360" w:top="985" w:right="3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CME Swaps Marketplace Limited*</w:t>
            </w:r>
          </w:p>
        </w:tc>
        <w:tc>
          <w:tcPr>
            <w:tcW w:w="6440" w:type="dxa"/>
            <w:vAlign w:val="bottom"/>
          </w:tcPr>
          <w:p>
            <w:pPr>
              <w:ind w:left="860"/>
              <w:spacing w:after="0"/>
              <w:rPr>
                <w:sz w:val="20"/>
                <w:szCs w:val="20"/>
                <w:color w:val="auto"/>
              </w:rPr>
            </w:pPr>
            <w:r>
              <w:rPr>
                <w:rFonts w:ascii="Arial" w:cs="Arial" w:eastAsia="Arial" w:hAnsi="Arial"/>
                <w:sz w:val="18"/>
                <w:szCs w:val="18"/>
                <w:color w:val="auto"/>
              </w:rPr>
              <w:t>United Kingdom</w:t>
            </w: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CME Technology and Support Services Limited</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United Kingdom</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CME Trade Repository Limited*</w:t>
            </w:r>
          </w:p>
        </w:tc>
        <w:tc>
          <w:tcPr>
            <w:tcW w:w="6440" w:type="dxa"/>
            <w:vAlign w:val="bottom"/>
          </w:tcPr>
          <w:p>
            <w:pPr>
              <w:ind w:left="860"/>
              <w:spacing w:after="0"/>
              <w:rPr>
                <w:sz w:val="20"/>
                <w:szCs w:val="20"/>
                <w:color w:val="auto"/>
              </w:rPr>
            </w:pPr>
            <w:r>
              <w:rPr>
                <w:rFonts w:ascii="Arial" w:cs="Arial" w:eastAsia="Arial" w:hAnsi="Arial"/>
                <w:sz w:val="18"/>
                <w:szCs w:val="18"/>
                <w:color w:val="auto"/>
              </w:rPr>
              <w:t>United Kingdom</w:t>
            </w: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CME Ventures LLC</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CMEG Brazil 1 Participações Ltda.</w:t>
            </w:r>
          </w:p>
        </w:tc>
        <w:tc>
          <w:tcPr>
            <w:tcW w:w="6440" w:type="dxa"/>
            <w:vAlign w:val="bottom"/>
          </w:tcPr>
          <w:p>
            <w:pPr>
              <w:ind w:left="860"/>
              <w:spacing w:after="0"/>
              <w:rPr>
                <w:sz w:val="20"/>
                <w:szCs w:val="20"/>
                <w:color w:val="auto"/>
              </w:rPr>
            </w:pPr>
            <w:r>
              <w:rPr>
                <w:rFonts w:ascii="Arial" w:cs="Arial" w:eastAsia="Arial" w:hAnsi="Arial"/>
                <w:sz w:val="18"/>
                <w:szCs w:val="18"/>
                <w:color w:val="auto"/>
              </w:rPr>
              <w:t>Brazil</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CMEG Brazil Investments 1 LLC</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CMEG Brazil Investments 2 LLC</w:t>
            </w:r>
          </w:p>
        </w:tc>
        <w:tc>
          <w:tcPr>
            <w:tcW w:w="64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CMEG Finance Holdings LLC</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CMEG Foundation Services Inc.</w:t>
            </w:r>
          </w:p>
        </w:tc>
        <w:tc>
          <w:tcPr>
            <w:tcW w:w="64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CMEG México, S. de R.L. de C.V.</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Mexico</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CMEG NYMEX Holdings Inc.</w:t>
            </w:r>
          </w:p>
        </w:tc>
        <w:tc>
          <w:tcPr>
            <w:tcW w:w="64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CMEG Strategic Sdn. Bhd.</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Malaysia</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CMESCC Inc.</w:t>
            </w:r>
          </w:p>
        </w:tc>
        <w:tc>
          <w:tcPr>
            <w:tcW w:w="64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COMEX Clearing Association, Inc.</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New York</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Commodity Exchange, Inc.</w:t>
            </w:r>
          </w:p>
        </w:tc>
        <w:tc>
          <w:tcPr>
            <w:tcW w:w="6440" w:type="dxa"/>
            <w:vAlign w:val="bottom"/>
          </w:tcPr>
          <w:p>
            <w:pPr>
              <w:ind w:left="860"/>
              <w:spacing w:after="0"/>
              <w:rPr>
                <w:sz w:val="20"/>
                <w:szCs w:val="20"/>
                <w:color w:val="auto"/>
              </w:rPr>
            </w:pPr>
            <w:r>
              <w:rPr>
                <w:rFonts w:ascii="Arial" w:cs="Arial" w:eastAsia="Arial" w:hAnsi="Arial"/>
                <w:sz w:val="18"/>
                <w:szCs w:val="18"/>
                <w:color w:val="auto"/>
              </w:rPr>
              <w:t>New York</w:t>
            </w: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ConfirmHub, LLC</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EBO Investments Limited</w:t>
            </w:r>
          </w:p>
        </w:tc>
        <w:tc>
          <w:tcPr>
            <w:tcW w:w="6440" w:type="dxa"/>
            <w:vAlign w:val="bottom"/>
          </w:tcPr>
          <w:p>
            <w:pPr>
              <w:ind w:left="860"/>
              <w:spacing w:after="0"/>
              <w:rPr>
                <w:sz w:val="20"/>
                <w:szCs w:val="20"/>
                <w:color w:val="auto"/>
              </w:rPr>
            </w:pPr>
            <w:r>
              <w:rPr>
                <w:rFonts w:ascii="Arial" w:cs="Arial" w:eastAsia="Arial" w:hAnsi="Arial"/>
                <w:sz w:val="18"/>
                <w:szCs w:val="18"/>
                <w:color w:val="auto"/>
              </w:rPr>
              <w:t>Malta</w:t>
            </w: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EBS (Shanghai) Information Technology Co., Ltd.</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China</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EBS Dealing Resources International Limited</w:t>
            </w:r>
          </w:p>
        </w:tc>
        <w:tc>
          <w:tcPr>
            <w:tcW w:w="6440" w:type="dxa"/>
            <w:vAlign w:val="bottom"/>
          </w:tcPr>
          <w:p>
            <w:pPr>
              <w:ind w:left="860"/>
              <w:spacing w:after="0"/>
              <w:rPr>
                <w:sz w:val="20"/>
                <w:szCs w:val="20"/>
                <w:color w:val="auto"/>
              </w:rPr>
            </w:pPr>
            <w:r>
              <w:rPr>
                <w:rFonts w:ascii="Arial" w:cs="Arial" w:eastAsia="Arial" w:hAnsi="Arial"/>
                <w:sz w:val="18"/>
                <w:szCs w:val="18"/>
                <w:color w:val="auto"/>
              </w:rPr>
              <w:t>United Kingdom</w:t>
            </w: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EBS Dealing Resources Japan Limited</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Japan</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EBS Dealing Resources, Inc.</w:t>
            </w:r>
          </w:p>
        </w:tc>
        <w:tc>
          <w:tcPr>
            <w:tcW w:w="64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EBS Financial Technologies Ltd.</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Israel</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EBS Group Limited</w:t>
            </w:r>
          </w:p>
        </w:tc>
        <w:tc>
          <w:tcPr>
            <w:tcW w:w="6440" w:type="dxa"/>
            <w:vAlign w:val="bottom"/>
          </w:tcPr>
          <w:p>
            <w:pPr>
              <w:ind w:left="860"/>
              <w:spacing w:after="0"/>
              <w:rPr>
                <w:sz w:val="20"/>
                <w:szCs w:val="20"/>
                <w:color w:val="auto"/>
              </w:rPr>
            </w:pPr>
            <w:r>
              <w:rPr>
                <w:rFonts w:ascii="Arial" w:cs="Arial" w:eastAsia="Arial" w:hAnsi="Arial"/>
                <w:sz w:val="18"/>
                <w:szCs w:val="18"/>
                <w:color w:val="auto"/>
              </w:rPr>
              <w:t>United Kingdom</w:t>
            </w: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EBS Investments*</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United Kingdom</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EBS No. 2 Limited</w:t>
            </w:r>
          </w:p>
        </w:tc>
        <w:tc>
          <w:tcPr>
            <w:tcW w:w="6440" w:type="dxa"/>
            <w:vAlign w:val="bottom"/>
          </w:tcPr>
          <w:p>
            <w:pPr>
              <w:ind w:left="860"/>
              <w:spacing w:after="0"/>
              <w:rPr>
                <w:sz w:val="20"/>
                <w:szCs w:val="20"/>
                <w:color w:val="auto"/>
              </w:rPr>
            </w:pPr>
            <w:r>
              <w:rPr>
                <w:rFonts w:ascii="Arial" w:cs="Arial" w:eastAsia="Arial" w:hAnsi="Arial"/>
                <w:sz w:val="18"/>
                <w:szCs w:val="18"/>
                <w:color w:val="auto"/>
              </w:rPr>
              <w:t>United Kingdom</w:t>
            </w: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EBS Service Company Limited</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Switzerland</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Elysian Systems Limited</w:t>
            </w:r>
          </w:p>
        </w:tc>
        <w:tc>
          <w:tcPr>
            <w:tcW w:w="6440" w:type="dxa"/>
            <w:vAlign w:val="bottom"/>
          </w:tcPr>
          <w:p>
            <w:pPr>
              <w:ind w:left="860"/>
              <w:spacing w:after="0"/>
              <w:rPr>
                <w:sz w:val="20"/>
                <w:szCs w:val="20"/>
                <w:color w:val="auto"/>
              </w:rPr>
            </w:pPr>
            <w:r>
              <w:rPr>
                <w:rFonts w:ascii="Arial" w:cs="Arial" w:eastAsia="Arial" w:hAnsi="Arial"/>
                <w:sz w:val="18"/>
                <w:szCs w:val="18"/>
                <w:color w:val="auto"/>
              </w:rPr>
              <w:t>United Kingdom</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Euclid Investment Holdings Inc</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Euclid Opportunities SA</w:t>
            </w:r>
          </w:p>
        </w:tc>
        <w:tc>
          <w:tcPr>
            <w:tcW w:w="6440" w:type="dxa"/>
            <w:vAlign w:val="bottom"/>
          </w:tcPr>
          <w:p>
            <w:pPr>
              <w:ind w:left="860"/>
              <w:spacing w:after="0"/>
              <w:rPr>
                <w:sz w:val="20"/>
                <w:szCs w:val="20"/>
                <w:color w:val="auto"/>
              </w:rPr>
            </w:pPr>
            <w:r>
              <w:rPr>
                <w:rFonts w:ascii="Arial" w:cs="Arial" w:eastAsia="Arial" w:hAnsi="Arial"/>
                <w:sz w:val="18"/>
                <w:szCs w:val="18"/>
                <w:color w:val="auto"/>
              </w:rPr>
              <w:t>Luxembourg</w:t>
            </w: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Garban Broking Services Limited</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United Kingdom</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Garban Harlow Resources Limited</w:t>
            </w:r>
          </w:p>
        </w:tc>
        <w:tc>
          <w:tcPr>
            <w:tcW w:w="6440" w:type="dxa"/>
            <w:vAlign w:val="bottom"/>
          </w:tcPr>
          <w:p>
            <w:pPr>
              <w:ind w:left="860"/>
              <w:spacing w:after="0"/>
              <w:rPr>
                <w:sz w:val="20"/>
                <w:szCs w:val="20"/>
                <w:color w:val="auto"/>
              </w:rPr>
            </w:pPr>
            <w:r>
              <w:rPr>
                <w:rFonts w:ascii="Arial" w:cs="Arial" w:eastAsia="Arial" w:hAnsi="Arial"/>
                <w:sz w:val="18"/>
                <w:szCs w:val="18"/>
                <w:color w:val="auto"/>
              </w:rPr>
              <w:t>United Kingdom</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Globex Markets Ltd.*</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United Kingdom</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Godsell Astley &amp; Pearce (Foreign Exchange) Limited</w:t>
            </w:r>
          </w:p>
        </w:tc>
        <w:tc>
          <w:tcPr>
            <w:tcW w:w="6440" w:type="dxa"/>
            <w:vAlign w:val="bottom"/>
          </w:tcPr>
          <w:p>
            <w:pPr>
              <w:ind w:left="860"/>
              <w:spacing w:after="0"/>
              <w:rPr>
                <w:sz w:val="20"/>
                <w:szCs w:val="20"/>
                <w:color w:val="auto"/>
              </w:rPr>
            </w:pPr>
            <w:r>
              <w:rPr>
                <w:rFonts w:ascii="Arial" w:cs="Arial" w:eastAsia="Arial" w:hAnsi="Arial"/>
                <w:sz w:val="18"/>
                <w:szCs w:val="18"/>
                <w:color w:val="auto"/>
              </w:rPr>
              <w:t>United Kingdom</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Godsell Astley &amp; Pearce (Holdings) Ltd</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United Kingdom</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Harlow Ueda Savage Limited</w:t>
            </w:r>
          </w:p>
        </w:tc>
        <w:tc>
          <w:tcPr>
            <w:tcW w:w="6440" w:type="dxa"/>
            <w:vAlign w:val="bottom"/>
          </w:tcPr>
          <w:p>
            <w:pPr>
              <w:ind w:left="860"/>
              <w:spacing w:after="0"/>
              <w:rPr>
                <w:sz w:val="20"/>
                <w:szCs w:val="20"/>
                <w:color w:val="auto"/>
              </w:rPr>
            </w:pPr>
            <w:r>
              <w:rPr>
                <w:rFonts w:ascii="Arial" w:cs="Arial" w:eastAsia="Arial" w:hAnsi="Arial"/>
                <w:sz w:val="18"/>
                <w:szCs w:val="18"/>
                <w:color w:val="auto"/>
              </w:rPr>
              <w:t>United Kingdom</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Intercapital (Germany) GmbH</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Germany</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Intercapital (Hong Kong) Limited</w:t>
            </w:r>
          </w:p>
        </w:tc>
        <w:tc>
          <w:tcPr>
            <w:tcW w:w="6440" w:type="dxa"/>
            <w:vAlign w:val="bottom"/>
          </w:tcPr>
          <w:p>
            <w:pPr>
              <w:ind w:left="860"/>
              <w:spacing w:after="0"/>
              <w:rPr>
                <w:sz w:val="20"/>
                <w:szCs w:val="20"/>
                <w:color w:val="auto"/>
              </w:rPr>
            </w:pPr>
            <w:r>
              <w:rPr>
                <w:rFonts w:ascii="Arial" w:cs="Arial" w:eastAsia="Arial" w:hAnsi="Arial"/>
                <w:sz w:val="18"/>
                <w:szCs w:val="18"/>
                <w:color w:val="auto"/>
              </w:rPr>
              <w:t>Hong Kong</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Intercapital Argentina S.A.</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Argentina</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Intercapital Capital Markets LLC</w:t>
            </w:r>
          </w:p>
        </w:tc>
        <w:tc>
          <w:tcPr>
            <w:tcW w:w="644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Intercapital Lat Am Services S.A.</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Argentina</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Intercapital Limited</w:t>
            </w:r>
          </w:p>
        </w:tc>
        <w:tc>
          <w:tcPr>
            <w:tcW w:w="6440" w:type="dxa"/>
            <w:vAlign w:val="bottom"/>
          </w:tcPr>
          <w:p>
            <w:pPr>
              <w:ind w:left="860"/>
              <w:spacing w:after="0"/>
              <w:rPr>
                <w:sz w:val="20"/>
                <w:szCs w:val="20"/>
                <w:color w:val="auto"/>
              </w:rPr>
            </w:pPr>
            <w:r>
              <w:rPr>
                <w:rFonts w:ascii="Arial" w:cs="Arial" w:eastAsia="Arial" w:hAnsi="Arial"/>
                <w:sz w:val="18"/>
                <w:szCs w:val="18"/>
                <w:color w:val="auto"/>
              </w:rPr>
              <w:t>United Kingdom</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Intercapital No. 1 Limited</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United Kingdom</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Intercapital No. 1 Pte. Ltd.</w:t>
            </w:r>
          </w:p>
        </w:tc>
        <w:tc>
          <w:tcPr>
            <w:tcW w:w="6440" w:type="dxa"/>
            <w:vAlign w:val="bottom"/>
          </w:tcPr>
          <w:p>
            <w:pPr>
              <w:ind w:left="860"/>
              <w:spacing w:after="0"/>
              <w:rPr>
                <w:sz w:val="20"/>
                <w:szCs w:val="20"/>
                <w:color w:val="auto"/>
              </w:rPr>
            </w:pPr>
            <w:r>
              <w:rPr>
                <w:rFonts w:ascii="Arial" w:cs="Arial" w:eastAsia="Arial" w:hAnsi="Arial"/>
                <w:sz w:val="18"/>
                <w:szCs w:val="18"/>
                <w:color w:val="auto"/>
              </w:rPr>
              <w:t>Singapore</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Intercapital No. 2 Limited</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United Kingdom</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Intercapital No. 2 Pte. Ltd.</w:t>
            </w:r>
          </w:p>
        </w:tc>
        <w:tc>
          <w:tcPr>
            <w:tcW w:w="6440" w:type="dxa"/>
            <w:vAlign w:val="bottom"/>
          </w:tcPr>
          <w:p>
            <w:pPr>
              <w:ind w:left="860"/>
              <w:spacing w:after="0"/>
              <w:rPr>
                <w:sz w:val="20"/>
                <w:szCs w:val="20"/>
                <w:color w:val="auto"/>
              </w:rPr>
            </w:pPr>
            <w:r>
              <w:rPr>
                <w:rFonts w:ascii="Arial" w:cs="Arial" w:eastAsia="Arial" w:hAnsi="Arial"/>
                <w:sz w:val="18"/>
                <w:szCs w:val="18"/>
                <w:color w:val="auto"/>
              </w:rPr>
              <w:t>Singapore</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Intercapital No. 3 Limited*</w:t>
            </w: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United Kingdom</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Intercapital Securities Inc</w:t>
            </w:r>
          </w:p>
        </w:tc>
        <w:tc>
          <w:tcPr>
            <w:tcW w:w="6440" w:type="dxa"/>
            <w:vAlign w:val="bottom"/>
          </w:tcPr>
          <w:p>
            <w:pPr>
              <w:ind w:left="860"/>
              <w:spacing w:after="0"/>
              <w:rPr>
                <w:sz w:val="20"/>
                <w:szCs w:val="20"/>
                <w:color w:val="auto"/>
              </w:rPr>
            </w:pPr>
            <w:r>
              <w:rPr>
                <w:rFonts w:ascii="Arial" w:cs="Arial" w:eastAsia="Arial" w:hAnsi="Arial"/>
                <w:sz w:val="18"/>
                <w:szCs w:val="18"/>
                <w:color w:val="auto"/>
              </w:rPr>
              <w:t>New York</w:t>
            </w:r>
          </w:p>
        </w:tc>
      </w:tr>
    </w:tbl>
    <w:p>
      <w:pPr>
        <w:sectPr>
          <w:pgSz w:w="11900" w:h="16838" w:orient="portrait"/>
          <w:cols w:equalWidth="0" w:num="1">
            <w:col w:w="11180"/>
          </w:cols>
          <w:pgMar w:left="360" w:top="1030" w:right="35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Midhurst Chartering Limited*</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United Kingdom</w:t>
            </w: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Municipal Brokers Limited</w:t>
            </w:r>
          </w:p>
        </w:tc>
        <w:tc>
          <w:tcPr>
            <w:tcW w:w="6940" w:type="dxa"/>
            <w:vAlign w:val="bottom"/>
          </w:tcPr>
          <w:p>
            <w:pPr>
              <w:ind w:left="1360"/>
              <w:spacing w:after="0"/>
              <w:rPr>
                <w:sz w:val="20"/>
                <w:szCs w:val="20"/>
                <w:color w:val="auto"/>
              </w:rPr>
            </w:pPr>
            <w:r>
              <w:rPr>
                <w:rFonts w:ascii="Arial" w:cs="Arial" w:eastAsia="Arial" w:hAnsi="Arial"/>
                <w:sz w:val="18"/>
                <w:szCs w:val="18"/>
                <w:color w:val="auto"/>
              </w:rPr>
              <w:t>United Kingdom</w:t>
            </w: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New York Mercantile Exchange, Inc.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NEX Abide Trade Repository AB*</w:t>
            </w:r>
          </w:p>
        </w:tc>
        <w:tc>
          <w:tcPr>
            <w:tcW w:w="6940" w:type="dxa"/>
            <w:vAlign w:val="bottom"/>
          </w:tcPr>
          <w:p>
            <w:pPr>
              <w:ind w:left="1360"/>
              <w:spacing w:after="0"/>
              <w:rPr>
                <w:sz w:val="20"/>
                <w:szCs w:val="20"/>
                <w:color w:val="auto"/>
              </w:rPr>
            </w:pPr>
            <w:r>
              <w:rPr>
                <w:rFonts w:ascii="Arial" w:cs="Arial" w:eastAsia="Arial" w:hAnsi="Arial"/>
                <w:sz w:val="18"/>
                <w:szCs w:val="18"/>
                <w:color w:val="auto"/>
              </w:rPr>
              <w:t>Sweden</w:t>
            </w: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NEX Finance Limited*</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United Kingdom</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NEX Group Holdings Limited</w:t>
            </w:r>
          </w:p>
        </w:tc>
        <w:tc>
          <w:tcPr>
            <w:tcW w:w="6940" w:type="dxa"/>
            <w:vAlign w:val="bottom"/>
          </w:tcPr>
          <w:p>
            <w:pPr>
              <w:ind w:left="1360"/>
              <w:spacing w:after="0"/>
              <w:rPr>
                <w:sz w:val="20"/>
                <w:szCs w:val="20"/>
                <w:color w:val="auto"/>
              </w:rPr>
            </w:pPr>
            <w:r>
              <w:rPr>
                <w:rFonts w:ascii="Arial" w:cs="Arial" w:eastAsia="Arial" w:hAnsi="Arial"/>
                <w:sz w:val="18"/>
                <w:szCs w:val="18"/>
                <w:color w:val="auto"/>
              </w:rPr>
              <w:t>United Kingdom</w:t>
            </w: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NEX Group Investments Inc.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NEX Group Limited</w:t>
            </w:r>
          </w:p>
        </w:tc>
        <w:tc>
          <w:tcPr>
            <w:tcW w:w="6940" w:type="dxa"/>
            <w:vAlign w:val="bottom"/>
          </w:tcPr>
          <w:p>
            <w:pPr>
              <w:ind w:left="1360"/>
              <w:spacing w:after="0"/>
              <w:rPr>
                <w:sz w:val="20"/>
                <w:szCs w:val="20"/>
                <w:color w:val="auto"/>
              </w:rPr>
            </w:pPr>
            <w:r>
              <w:rPr>
                <w:rFonts w:ascii="Arial" w:cs="Arial" w:eastAsia="Arial" w:hAnsi="Arial"/>
                <w:sz w:val="18"/>
                <w:szCs w:val="18"/>
                <w:color w:val="auto"/>
              </w:rPr>
              <w:t>United Kingdom</w:t>
            </w: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NEX International Investments Limited</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United Kingdom</w:t>
            </w: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NEX International Limited</w:t>
            </w:r>
          </w:p>
        </w:tc>
        <w:tc>
          <w:tcPr>
            <w:tcW w:w="6940" w:type="dxa"/>
            <w:vAlign w:val="bottom"/>
          </w:tcPr>
          <w:p>
            <w:pPr>
              <w:ind w:left="1360"/>
              <w:spacing w:after="0"/>
              <w:rPr>
                <w:sz w:val="20"/>
                <w:szCs w:val="20"/>
                <w:color w:val="auto"/>
              </w:rPr>
            </w:pPr>
            <w:r>
              <w:rPr>
                <w:rFonts w:ascii="Arial" w:cs="Arial" w:eastAsia="Arial" w:hAnsi="Arial"/>
                <w:sz w:val="18"/>
                <w:szCs w:val="18"/>
                <w:color w:val="auto"/>
              </w:rPr>
              <w:t>United Kingdom</w:t>
            </w: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NEX Markets Limited</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United Kingdom</w:t>
            </w: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NEX Optimisation Limited</w:t>
            </w:r>
          </w:p>
        </w:tc>
        <w:tc>
          <w:tcPr>
            <w:tcW w:w="6940" w:type="dxa"/>
            <w:vAlign w:val="bottom"/>
          </w:tcPr>
          <w:p>
            <w:pPr>
              <w:ind w:left="1360"/>
              <w:spacing w:after="0"/>
              <w:rPr>
                <w:sz w:val="20"/>
                <w:szCs w:val="20"/>
                <w:color w:val="auto"/>
              </w:rPr>
            </w:pPr>
            <w:r>
              <w:rPr>
                <w:rFonts w:ascii="Arial" w:cs="Arial" w:eastAsia="Arial" w:hAnsi="Arial"/>
                <w:sz w:val="18"/>
                <w:szCs w:val="18"/>
                <w:color w:val="auto"/>
              </w:rPr>
              <w:t>United Kingdom</w:t>
            </w: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NEX SEF Limited</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United Kingdom</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NEX Services Limited</w:t>
            </w:r>
          </w:p>
        </w:tc>
        <w:tc>
          <w:tcPr>
            <w:tcW w:w="6940" w:type="dxa"/>
            <w:vAlign w:val="bottom"/>
          </w:tcPr>
          <w:p>
            <w:pPr>
              <w:ind w:left="1360"/>
              <w:spacing w:after="0"/>
              <w:rPr>
                <w:sz w:val="20"/>
                <w:szCs w:val="20"/>
                <w:color w:val="auto"/>
              </w:rPr>
            </w:pPr>
            <w:r>
              <w:rPr>
                <w:rFonts w:ascii="Arial" w:cs="Arial" w:eastAsia="Arial" w:hAnsi="Arial"/>
                <w:sz w:val="18"/>
                <w:szCs w:val="18"/>
                <w:color w:val="auto"/>
              </w:rPr>
              <w:t>United Kingdom</w:t>
            </w: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NEX Services North America LLC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NEX Services Pte. Ltd</w:t>
            </w:r>
          </w:p>
        </w:tc>
        <w:tc>
          <w:tcPr>
            <w:tcW w:w="6940" w:type="dxa"/>
            <w:vAlign w:val="bottom"/>
          </w:tcPr>
          <w:p>
            <w:pPr>
              <w:ind w:left="1360"/>
              <w:spacing w:after="0"/>
              <w:rPr>
                <w:sz w:val="20"/>
                <w:szCs w:val="20"/>
                <w:color w:val="auto"/>
              </w:rPr>
            </w:pPr>
            <w:r>
              <w:rPr>
                <w:rFonts w:ascii="Arial" w:cs="Arial" w:eastAsia="Arial" w:hAnsi="Arial"/>
                <w:sz w:val="18"/>
                <w:szCs w:val="18"/>
                <w:color w:val="auto"/>
              </w:rPr>
              <w:t>Singapore</w:t>
            </w: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Nexstep HK 2 Limited</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Hong Kong</w:t>
            </w: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Nexstep HK 3 Limited</w:t>
            </w:r>
          </w:p>
        </w:tc>
        <w:tc>
          <w:tcPr>
            <w:tcW w:w="6940" w:type="dxa"/>
            <w:vAlign w:val="bottom"/>
          </w:tcPr>
          <w:p>
            <w:pPr>
              <w:ind w:left="1360"/>
              <w:spacing w:after="0"/>
              <w:rPr>
                <w:sz w:val="20"/>
                <w:szCs w:val="20"/>
                <w:color w:val="auto"/>
              </w:rPr>
            </w:pPr>
            <w:r>
              <w:rPr>
                <w:rFonts w:ascii="Arial" w:cs="Arial" w:eastAsia="Arial" w:hAnsi="Arial"/>
                <w:sz w:val="18"/>
                <w:szCs w:val="18"/>
                <w:color w:val="auto"/>
              </w:rPr>
              <w:t>Hong Kong</w:t>
            </w: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Pivot, Inc.</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Reset Holdings Private Limited</w:t>
            </w:r>
          </w:p>
        </w:tc>
        <w:tc>
          <w:tcPr>
            <w:tcW w:w="6940" w:type="dxa"/>
            <w:vAlign w:val="bottom"/>
          </w:tcPr>
          <w:p>
            <w:pPr>
              <w:ind w:left="1360"/>
              <w:spacing w:after="0"/>
              <w:rPr>
                <w:sz w:val="20"/>
                <w:szCs w:val="20"/>
                <w:color w:val="auto"/>
              </w:rPr>
            </w:pPr>
            <w:r>
              <w:rPr>
                <w:rFonts w:ascii="Arial" w:cs="Arial" w:eastAsia="Arial" w:hAnsi="Arial"/>
                <w:sz w:val="18"/>
                <w:szCs w:val="18"/>
                <w:color w:val="auto"/>
              </w:rPr>
              <w:t>Singapore</w:t>
            </w: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Swapstream Limited*</w:t>
            </w:r>
          </w:p>
        </w:tc>
        <w:tc>
          <w:tcPr>
            <w:tcW w:w="69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United Kingdom</w:t>
            </w:r>
          </w:p>
        </w:tc>
      </w:tr>
      <w:tr>
        <w:trPr>
          <w:trHeight w:val="270"/>
        </w:trPr>
        <w:tc>
          <w:tcPr>
            <w:tcW w:w="4240" w:type="dxa"/>
            <w:vAlign w:val="bottom"/>
          </w:tcPr>
          <w:p>
            <w:pPr>
              <w:spacing w:after="0"/>
              <w:rPr>
                <w:sz w:val="23"/>
                <w:szCs w:val="23"/>
                <w:color w:val="auto"/>
              </w:rPr>
            </w:pPr>
          </w:p>
        </w:tc>
        <w:tc>
          <w:tcPr>
            <w:tcW w:w="6940" w:type="dxa"/>
            <w:vAlign w:val="bottom"/>
          </w:tcPr>
          <w:p>
            <w:pPr>
              <w:spacing w:after="0"/>
              <w:rPr>
                <w:sz w:val="23"/>
                <w:szCs w:val="23"/>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 liquidation.</w:t>
            </w:r>
          </w:p>
        </w:tc>
        <w:tc>
          <w:tcPr>
            <w:tcW w:w="6940" w:type="dxa"/>
            <w:vAlign w:val="bottom"/>
            <w:shd w:val="clear" w:color="auto" w:fill="CCEEFF"/>
          </w:tcPr>
          <w:p>
            <w:pPr>
              <w:spacing w:after="0"/>
              <w:rPr>
                <w:sz w:val="19"/>
                <w:szCs w:val="19"/>
                <w:color w:val="auto"/>
              </w:rPr>
            </w:pPr>
          </w:p>
        </w:tc>
      </w:tr>
    </w:tbl>
    <w:p>
      <w:pPr>
        <w:sectPr>
          <w:pgSz w:w="11900" w:h="16838" w:orient="portrait"/>
          <w:cols w:equalWidth="0" w:num="1">
            <w:col w:w="11180"/>
          </w:cols>
          <w:pgMar w:left="360" w:top="1030" w:right="359" w:bottom="1440" w:gutter="0" w:footer="0" w:header="0"/>
        </w:sectPr>
      </w:pPr>
    </w:p>
    <w:bookmarkStart w:id="103" w:name="page104"/>
    <w:bookmarkEnd w:id="103"/>
    <w:p>
      <w:pPr>
        <w:spacing w:after="0" w:line="9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23.1</w:t>
      </w:r>
    </w:p>
    <w:p>
      <w:pPr>
        <w:spacing w:after="0" w:line="112" w:lineRule="exact"/>
        <w:rPr>
          <w:sz w:val="20"/>
          <w:szCs w:val="20"/>
          <w:color w:val="auto"/>
        </w:rPr>
      </w:pPr>
    </w:p>
    <w:p>
      <w:pPr>
        <w:ind w:right="2860" w:firstLine="2858"/>
        <w:spacing w:after="0" w:line="374"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ind w:firstLine="449"/>
        <w:spacing w:after="0" w:line="263" w:lineRule="auto"/>
        <w:tabs>
          <w:tab w:leader="none" w:pos="792"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Registration Statement (Form S-8 No. 333-105236 as filed on May 14, 2003) pertaining to the CME Group Inc. Amended and Restated Omnibus Stock Plan,</w:t>
      </w:r>
    </w:p>
    <w:p>
      <w:pPr>
        <w:spacing w:after="0" w:line="12" w:lineRule="exact"/>
        <w:rPr>
          <w:rFonts w:ascii="Arial" w:cs="Arial" w:eastAsia="Arial" w:hAnsi="Arial"/>
          <w:sz w:val="22"/>
          <w:szCs w:val="22"/>
          <w:color w:val="auto"/>
        </w:rPr>
      </w:pPr>
    </w:p>
    <w:p>
      <w:pPr>
        <w:ind w:firstLine="449"/>
        <w:spacing w:after="0" w:line="263" w:lineRule="auto"/>
        <w:tabs>
          <w:tab w:leader="none" w:pos="792"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Registration Statement (Form S-8 No. 333-159932 as filed on June 12, 2009) pertaining to the CME Group Inc. Amended and Restated Omnibus Stock Plan and the 2005 Director Stock Plan,</w:t>
      </w:r>
    </w:p>
    <w:p>
      <w:pPr>
        <w:spacing w:after="0" w:line="12" w:lineRule="exact"/>
        <w:rPr>
          <w:rFonts w:ascii="Arial" w:cs="Arial" w:eastAsia="Arial" w:hAnsi="Arial"/>
          <w:sz w:val="22"/>
          <w:szCs w:val="22"/>
          <w:color w:val="auto"/>
        </w:rPr>
      </w:pPr>
    </w:p>
    <w:p>
      <w:pPr>
        <w:jc w:val="both"/>
        <w:ind w:firstLine="449"/>
        <w:spacing w:after="0" w:line="253" w:lineRule="auto"/>
        <w:tabs>
          <w:tab w:leader="none" w:pos="761"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Registration Statement ((Form S-8 and Post-Effective Amendments No. 1 and No. 2 No. 333-104804 as filed on April 29, 2003, September 9, 2003 and April 12, 2004); Form S-8 No. 333-115656 as filed on May 20, 2004) pertaining to the Agreement between Chicago Mercantile Exchange Holdings Inc. and James J. McNulty,</w:t>
      </w:r>
    </w:p>
    <w:p>
      <w:pPr>
        <w:spacing w:after="0" w:line="23" w:lineRule="exact"/>
        <w:rPr>
          <w:rFonts w:ascii="Arial" w:cs="Arial" w:eastAsia="Arial" w:hAnsi="Arial"/>
          <w:sz w:val="22"/>
          <w:szCs w:val="22"/>
          <w:color w:val="auto"/>
        </w:rPr>
      </w:pPr>
    </w:p>
    <w:p>
      <w:pPr>
        <w:ind w:firstLine="449"/>
        <w:spacing w:after="0" w:line="263" w:lineRule="auto"/>
        <w:tabs>
          <w:tab w:leader="none" w:pos="794"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Registration Statement (Form S-8 No. 333-124497 as filed on April 29, 2005) pertaining to the Employee Stock Purchase Plan and the 2005 Director Stock Plan,</w:t>
      </w:r>
    </w:p>
    <w:p>
      <w:pPr>
        <w:spacing w:after="0" w:line="12" w:lineRule="exact"/>
        <w:rPr>
          <w:rFonts w:ascii="Arial" w:cs="Arial" w:eastAsia="Arial" w:hAnsi="Arial"/>
          <w:sz w:val="22"/>
          <w:szCs w:val="22"/>
          <w:color w:val="auto"/>
        </w:rPr>
      </w:pPr>
    </w:p>
    <w:p>
      <w:pPr>
        <w:ind w:right="20" w:firstLine="449"/>
        <w:spacing w:after="0" w:line="263" w:lineRule="auto"/>
        <w:tabs>
          <w:tab w:leader="none" w:pos="754"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Registration Statement (Form S-8 No. 333-144543 as filed on July 13, 2007) pertaining to CBOT Holdings, Inc.’s 2005 Long-Term Equity Incentive Plan,</w:t>
      </w:r>
    </w:p>
    <w:p>
      <w:pPr>
        <w:spacing w:after="0" w:line="12" w:lineRule="exact"/>
        <w:rPr>
          <w:rFonts w:ascii="Arial" w:cs="Arial" w:eastAsia="Arial" w:hAnsi="Arial"/>
          <w:sz w:val="22"/>
          <w:szCs w:val="22"/>
          <w:color w:val="auto"/>
        </w:rPr>
      </w:pPr>
    </w:p>
    <w:p>
      <w:pPr>
        <w:jc w:val="both"/>
        <w:ind w:firstLine="449"/>
        <w:spacing w:after="0" w:line="253" w:lineRule="auto"/>
        <w:tabs>
          <w:tab w:leader="none" w:pos="749"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Registration Statement (Form S-8 No. 333-153462 as filed on September 12, 2008) and Post-Effective Amendments No. 1 and No. 2 to Registration Statement on Form S-4 (Form S-8 No. 333-151577 as filed on July 18, 2012) pertaining to the NYMEX Holdings, Inc.’s 2006 Omnibus Long-Term Incentive Plan,</w:t>
      </w:r>
    </w:p>
    <w:p>
      <w:pPr>
        <w:spacing w:after="0" w:line="23" w:lineRule="exact"/>
        <w:rPr>
          <w:rFonts w:ascii="Arial" w:cs="Arial" w:eastAsia="Arial" w:hAnsi="Arial"/>
          <w:sz w:val="22"/>
          <w:szCs w:val="22"/>
          <w:color w:val="auto"/>
        </w:rPr>
      </w:pPr>
    </w:p>
    <w:p>
      <w:pPr>
        <w:ind w:left="760" w:hanging="311"/>
        <w:spacing w:after="0"/>
        <w:tabs>
          <w:tab w:leader="none" w:pos="7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Registration Statement (Form S-8 No. 333-182741 as filed on July 18, 2012) pertaining to the Employee Stock Purchase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39" w:lineRule="exact"/>
        <w:rPr>
          <w:rFonts w:ascii="Arial" w:cs="Arial" w:eastAsia="Arial" w:hAnsi="Arial"/>
          <w:sz w:val="19"/>
          <w:szCs w:val="19"/>
          <w:color w:val="auto"/>
        </w:rPr>
      </w:pPr>
    </w:p>
    <w:p>
      <w:pPr>
        <w:ind w:right="20" w:firstLine="449"/>
        <w:spacing w:after="0" w:line="263" w:lineRule="auto"/>
        <w:tabs>
          <w:tab w:leader="none" w:pos="756"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Registration Statement (Form S-3ASR No. 333-163473 as filed on December 3, 2009) Shelf Registration Statement for the offering of debt securities, Class A Common Stock, Preferred Stock and Warrants,</w:t>
      </w:r>
    </w:p>
    <w:p>
      <w:pPr>
        <w:spacing w:after="0" w:line="12" w:lineRule="exact"/>
        <w:rPr>
          <w:rFonts w:ascii="Arial" w:cs="Arial" w:eastAsia="Arial" w:hAnsi="Arial"/>
          <w:sz w:val="22"/>
          <w:szCs w:val="22"/>
          <w:color w:val="auto"/>
        </w:rPr>
      </w:pPr>
    </w:p>
    <w:p>
      <w:pPr>
        <w:ind w:firstLine="449"/>
        <w:spacing w:after="0" w:line="263" w:lineRule="auto"/>
        <w:tabs>
          <w:tab w:leader="none" w:pos="757"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Registration Statement (Form S-3ASR No. 333-185311 as filed on December 6, 2012) Shelf Registration Statement for the offering of debt securities, Class A Common Stock, Preferred Stock and Warrants.</w:t>
      </w:r>
    </w:p>
    <w:p>
      <w:pPr>
        <w:spacing w:after="0" w:line="12" w:lineRule="exact"/>
        <w:rPr>
          <w:rFonts w:ascii="Arial" w:cs="Arial" w:eastAsia="Arial" w:hAnsi="Arial"/>
          <w:sz w:val="22"/>
          <w:szCs w:val="22"/>
          <w:color w:val="auto"/>
        </w:rPr>
      </w:pPr>
    </w:p>
    <w:p>
      <w:pPr>
        <w:ind w:right="20" w:firstLine="449"/>
        <w:spacing w:after="0" w:line="263" w:lineRule="auto"/>
        <w:tabs>
          <w:tab w:leader="none" w:pos="857"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Registration Statement (Form S-3ASR No. 333-208334 as filed on December 4, 2015) Shelf Registration Statement for the offering of debt securities, Class A Common Stock, Preferred Stock and Warrants.</w:t>
      </w:r>
    </w:p>
    <w:p>
      <w:pPr>
        <w:spacing w:after="0" w:line="12" w:lineRule="exact"/>
        <w:rPr>
          <w:rFonts w:ascii="Arial" w:cs="Arial" w:eastAsia="Arial" w:hAnsi="Arial"/>
          <w:sz w:val="22"/>
          <w:szCs w:val="22"/>
          <w:color w:val="auto"/>
        </w:rPr>
      </w:pPr>
    </w:p>
    <w:p>
      <w:pPr>
        <w:ind w:firstLine="449"/>
        <w:spacing w:after="0" w:line="263" w:lineRule="auto"/>
        <w:tabs>
          <w:tab w:leader="none" w:pos="847"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Registration Statement (Form S-3ASR No. 333-232982 as filed on August 2, 2019) Shelf Registration Statement for the offering of debt securities, Class A Common Stock, Preferred Stock and Warrants.</w:t>
      </w:r>
    </w:p>
    <w:p>
      <w:pPr>
        <w:spacing w:after="0" w:line="1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of our reports dated February 25, 2022, with respect to the consolidated financial statements and schedule of CME Group Inc., and the effectiveness of internal control over financial reporting of CME Group Inc., included in this Annual Report (Form 10-K) of CME Group Inc. for the year ended December 31, 2021.</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February 25, 2022</w:t>
      </w:r>
    </w:p>
    <w:p>
      <w:pPr>
        <w:sectPr>
          <w:pgSz w:w="11900" w:h="16838" w:orient="portrait"/>
          <w:cols w:equalWidth="0" w:num="1">
            <w:col w:w="11240"/>
          </w:cols>
          <w:pgMar w:left="320" w:top="1440"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71" w:lineRule="exact"/>
        <w:rPr>
          <w:sz w:val="20"/>
          <w:szCs w:val="20"/>
          <w:color w:val="auto"/>
        </w:rPr>
      </w:pPr>
    </w:p>
    <w:p>
      <w:pPr>
        <w:ind w:left="640" w:hanging="187"/>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53"/>
        <w:spacing w:after="0" w:line="263" w:lineRule="auto"/>
        <w:tabs>
          <w:tab w:leader="none" w:pos="6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ind w:right="400" w:firstLine="453"/>
        <w:spacing w:after="0" w:line="263" w:lineRule="auto"/>
        <w:tabs>
          <w:tab w:leader="none" w:pos="6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right="40" w:firstLine="453"/>
        <w:spacing w:after="0" w:line="263"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900" w:firstLine="453"/>
        <w:spacing w:after="0" w:line="342" w:lineRule="auto"/>
        <w:tabs>
          <w:tab w:leader="none" w:pos="63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40" w:firstLine="453"/>
        <w:spacing w:after="0" w:line="263"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20" w:firstLine="453"/>
        <w:spacing w:after="0" w:line="308" w:lineRule="auto"/>
        <w:tabs>
          <w:tab w:leader="none" w:pos="62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sz w:val="20"/>
          <w:szCs w:val="20"/>
          <w:color w:val="auto"/>
        </w:rPr>
      </w:pPr>
    </w:p>
    <w:p>
      <w:pPr>
        <w:ind w:right="300" w:firstLine="453"/>
        <w:spacing w:after="0" w:line="277" w:lineRule="auto"/>
        <w:tabs>
          <w:tab w:leader="none" w:pos="6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40" w:firstLine="453"/>
        <w:spacing w:after="0" w:line="277"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432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80" w:val="left"/>
        </w:tabs>
        <w:rPr>
          <w:sz w:val="20"/>
          <w:szCs w:val="20"/>
          <w:color w:val="auto"/>
        </w:rPr>
      </w:pPr>
      <w:r>
        <w:rPr>
          <w:rFonts w:ascii="Arial" w:cs="Arial" w:eastAsia="Arial" w:hAnsi="Arial"/>
          <w:sz w:val="18"/>
          <w:szCs w:val="18"/>
          <w:color w:val="auto"/>
        </w:rPr>
        <w:t>Name:</w:t>
        <w:tab/>
        <w:t>Terrence A. Duffy</w:t>
      </w:r>
    </w:p>
    <w:p>
      <w:pPr>
        <w:spacing w:after="0" w:line="23" w:lineRule="exact"/>
        <w:rPr>
          <w:sz w:val="20"/>
          <w:szCs w:val="20"/>
          <w:color w:val="auto"/>
        </w:rPr>
      </w:pPr>
    </w:p>
    <w:p>
      <w:pPr>
        <w:ind w:left="596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640" w:hanging="187"/>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53"/>
        <w:spacing w:after="0" w:line="263" w:lineRule="auto"/>
        <w:tabs>
          <w:tab w:leader="none" w:pos="62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ind w:right="400" w:firstLine="453"/>
        <w:spacing w:after="0" w:line="263" w:lineRule="auto"/>
        <w:tabs>
          <w:tab w:leader="none" w:pos="6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right="40" w:firstLine="453"/>
        <w:spacing w:after="0" w:line="263"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900" w:firstLine="453"/>
        <w:spacing w:after="0" w:line="342" w:lineRule="auto"/>
        <w:tabs>
          <w:tab w:leader="none" w:pos="63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40" w:firstLine="453"/>
        <w:spacing w:after="0" w:line="263"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20" w:firstLine="453"/>
        <w:spacing w:after="0" w:line="308" w:lineRule="auto"/>
        <w:tabs>
          <w:tab w:leader="none" w:pos="62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sz w:val="20"/>
          <w:szCs w:val="20"/>
          <w:color w:val="auto"/>
        </w:rPr>
      </w:pPr>
    </w:p>
    <w:p>
      <w:pPr>
        <w:ind w:right="300" w:firstLine="453"/>
        <w:spacing w:after="0" w:line="277" w:lineRule="auto"/>
        <w:tabs>
          <w:tab w:leader="none" w:pos="63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40" w:firstLine="453"/>
        <w:spacing w:after="0" w:line="277"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432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W. Pietrowicz</w:t>
      </w:r>
    </w:p>
    <w:p>
      <w:pPr>
        <w:spacing w:after="0" w:line="23" w:lineRule="exact"/>
        <w:rPr>
          <w:sz w:val="20"/>
          <w:szCs w:val="20"/>
          <w:color w:val="auto"/>
        </w:rPr>
      </w:pPr>
    </w:p>
    <w:p>
      <w:pPr>
        <w:ind w:left="596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89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In connection with the Annual Report on Form 10-K of CME Group Inc. (Company) for the year ended December 31, 2021 as filed with the Securities and Exchange Commission on the date hereof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65" w:lineRule="exact"/>
        <w:rPr>
          <w:sz w:val="20"/>
          <w:szCs w:val="20"/>
          <w:color w:val="auto"/>
        </w:rPr>
      </w:pPr>
    </w:p>
    <w:p>
      <w:pPr>
        <w:ind w:left="1160" w:hanging="261"/>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61"/>
        <w:spacing w:after="0"/>
        <w:tabs>
          <w:tab w:leader="none" w:pos="11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Terrence A. Duffy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05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Terrence A. Duffy</w:t>
            </w:r>
          </w:p>
        </w:tc>
      </w:tr>
      <w:tr>
        <w:trPr>
          <w:trHeight w:val="230"/>
        </w:trPr>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1056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486"/>
        </w:trPr>
        <w:tc>
          <w:tcPr>
            <w:tcW w:w="11200" w:type="dxa"/>
            <w:vAlign w:val="bottom"/>
            <w:gridSpan w:val="2"/>
          </w:tcPr>
          <w:p>
            <w:pPr>
              <w:ind w:left="20"/>
              <w:spacing w:after="0"/>
              <w:rPr>
                <w:sz w:val="20"/>
                <w:szCs w:val="20"/>
                <w:color w:val="auto"/>
              </w:rPr>
            </w:pPr>
            <w:r>
              <w:rPr>
                <w:rFonts w:ascii="Arial" w:cs="Arial" w:eastAsia="Arial" w:hAnsi="Arial"/>
                <w:sz w:val="18"/>
                <w:szCs w:val="18"/>
                <w:color w:val="auto"/>
              </w:rPr>
              <w:t>Date: February 25, 2022</w:t>
            </w:r>
          </w:p>
        </w:tc>
      </w:tr>
      <w:tr>
        <w:trPr>
          <w:trHeight w:val="486"/>
        </w:trPr>
        <w:tc>
          <w:tcPr>
            <w:tcW w:w="11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John W. Pietrowicz</w:t>
            </w:r>
          </w:p>
        </w:tc>
      </w:tr>
      <w:tr>
        <w:trPr>
          <w:trHeight w:val="222"/>
        </w:trPr>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10560" w:type="dxa"/>
            <w:vAlign w:val="bottom"/>
          </w:tcPr>
          <w:p>
            <w:pPr>
              <w:ind w:left="120"/>
              <w:spacing w:after="0"/>
              <w:rPr>
                <w:sz w:val="20"/>
                <w:szCs w:val="20"/>
                <w:color w:val="auto"/>
              </w:rPr>
            </w:pPr>
            <w:r>
              <w:rPr>
                <w:rFonts w:ascii="Arial" w:cs="Arial" w:eastAsia="Arial" w:hAnsi="Arial"/>
                <w:sz w:val="18"/>
                <w:szCs w:val="18"/>
                <w:color w:val="auto"/>
              </w:rPr>
              <w:t>John W. Pietrowicz</w:t>
            </w:r>
          </w:p>
        </w:tc>
      </w:tr>
      <w:tr>
        <w:trPr>
          <w:trHeight w:val="230"/>
        </w:trPr>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1056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25, 2022</w:t>
      </w:r>
    </w:p>
    <w:p>
      <w:pPr>
        <w:spacing w:after="0" w:line="117" w:lineRule="exact"/>
        <w:rPr>
          <w:sz w:val="20"/>
          <w:szCs w:val="20"/>
          <w:color w:val="auto"/>
        </w:rPr>
      </w:pPr>
    </w:p>
    <w:p>
      <w:pPr>
        <w:ind w:right="320" w:firstLine="445"/>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2"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3"/>
    </w:lvl>
  </w:abstractNum>
  <w:abstractNum w:abstractNumId="45">
    <w:nsid w:val="1CF10FD8"/>
    <w:multiLevelType w:val="hybridMultilevel"/>
    <w:lvl w:ilvl="0">
      <w:lvlJc w:val="left"/>
      <w:lvlText w:val="%1."/>
      <w:numFmt w:val="decimal"/>
      <w:start w:val="3"/>
    </w:lvl>
  </w:abstractNum>
  <w:abstractNum w:abstractNumId="46">
    <w:nsid w:val="180115BE"/>
    <w:multiLevelType w:val="hybridMultilevel"/>
    <w:lvl w:ilvl="0">
      <w:lvlJc w:val="left"/>
      <w:lvlText w:val="%1."/>
      <w:numFmt w:val="decimal"/>
      <w:start w:val="4"/>
    </w:lvl>
  </w:abstractNum>
  <w:abstractNum w:abstractNumId="47">
    <w:nsid w:val="235BA861"/>
    <w:multiLevelType w:val="hybridMultilevel"/>
    <w:lvl w:ilvl="0">
      <w:lvlJc w:val="left"/>
      <w:lvlText w:val="%1."/>
      <w:numFmt w:val="decimal"/>
      <w:start w:val="10"/>
    </w:lvl>
  </w:abstractNum>
  <w:abstractNum w:abstractNumId="48">
    <w:nsid w:val="47398C89"/>
    <w:multiLevelType w:val="hybridMultilevel"/>
    <w:lvl w:ilvl="0">
      <w:lvlJc w:val="left"/>
      <w:lvlText w:val="%1"/>
      <w:numFmt w:val="decimal"/>
      <w:start w:val="101"/>
    </w:lvl>
  </w:abstractNum>
  <w:abstractNum w:abstractNumId="49">
    <w:nsid w:val="354FE9F9"/>
    <w:multiLevelType w:val="hybridMultilevel"/>
    <w:lvl w:ilvl="0">
      <w:lvlJc w:val="left"/>
      <w:lvlText w:val="%1"/>
      <w:numFmt w:val="decimal"/>
      <w:start w:val="104"/>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decimal"/>
      <w:start w:val="5"/>
    </w:lvl>
  </w:abstractNum>
  <w:abstractNum w:abstractNumId="62">
    <w:nsid w:val="25A70BF7"/>
    <w:multiLevelType w:val="hybridMultilevel"/>
    <w:lvl w:ilvl="0">
      <w:lvlJc w:val="left"/>
      <w:lvlText w:val="%1)"/>
      <w:numFmt w:val="lowerLetter"/>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lowerLetter"/>
      <w:start w:val="1"/>
    </w:lvl>
  </w:abstractNum>
  <w:abstractNum w:abstractNumId="65">
    <w:nsid w:val="1F48EAA1"/>
    <w:multiLevelType w:val="hybridMultilevel"/>
    <w:lvl w:ilvl="0">
      <w:lvlJc w:val="left"/>
      <w:lvlText w:val="%1."/>
      <w:numFmt w:val="decimal"/>
      <w:start w:val="5"/>
    </w:lvl>
  </w:abstractNum>
  <w:abstractNum w:abstractNumId="66">
    <w:nsid w:val="1381823A"/>
    <w:multiLevelType w:val="hybridMultilevel"/>
    <w:lvl w:ilvl="0">
      <w:lvlJc w:val="left"/>
      <w:lvlText w:val="%1)"/>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19" Type="http://schemas.openxmlformats.org/officeDocument/2006/relationships/hyperlink" Target="http://www.sec.gov/Archives/edgar/data/1156375/000119312521319504/d204323dex32.htm" TargetMode="External"/><Relationship Id="rId120" Type="http://schemas.openxmlformats.org/officeDocument/2006/relationships/hyperlink" Target="http://www.sec.gov/Archives/edgar/data/1156375/000115637521000093/cme-202163010qex31.htm" TargetMode="External"/><Relationship Id="rId121" Type="http://schemas.openxmlformats.org/officeDocument/2006/relationships/hyperlink" Target="http://www.sec.gov/Archives/edgar/data/1156375/000119312521319504/d204323dex31.htm" TargetMode="External"/><Relationship Id="rId122" Type="http://schemas.openxmlformats.org/officeDocument/2006/relationships/hyperlink" Target="http://www.sec.gov/Archives/edgar/data/1156375/000115637515000014/cme-2014123110kex41.htm" TargetMode="External"/><Relationship Id="rId123" Type="http://schemas.openxmlformats.org/officeDocument/2006/relationships/hyperlink" Target="http://www.sec.gov/Archives/edgar/data/1156375/000115637515000014/cme-2014123110kex42.htm" TargetMode="External"/><Relationship Id="rId124" Type="http://schemas.openxmlformats.org/officeDocument/2006/relationships/hyperlink" Target="http://www.sec.gov/Archives/edgar/data/1156375/000115637515000014/cme-2014123110kex43.htm" TargetMode="External"/><Relationship Id="rId125" Type="http://schemas.openxmlformats.org/officeDocument/2006/relationships/hyperlink" Target="http://www.sec.gov/Archives/edgar/data/1156375/000115637515000014/cme-2014123110kex44.htm" TargetMode="External"/><Relationship Id="rId126" Type="http://schemas.openxmlformats.org/officeDocument/2006/relationships/hyperlink" Target="http://www.sec.gov/Archives/edgar/data/1156375/000119312508176550/dex41.htm" TargetMode="External"/><Relationship Id="rId127" Type="http://schemas.openxmlformats.org/officeDocument/2006/relationships/hyperlink" Target="http://www.sec.gov/Archives/edgar/data/1156375/000119312512386203/d405801dex42.htm" TargetMode="External"/><Relationship Id="rId128" Type="http://schemas.openxmlformats.org/officeDocument/2006/relationships/hyperlink" Target="http://www.sec.gov/Archives/edgar/data/1156375/000119312513360978/d594525dex42.htm" TargetMode="External"/><Relationship Id="rId129" Type="http://schemas.openxmlformats.org/officeDocument/2006/relationships/hyperlink" Target="http://www.sec.gov/Archives/edgar/data/1156375/000119312515082491/d887316dex42.htm" TargetMode="External"/><Relationship Id="rId130" Type="http://schemas.openxmlformats.org/officeDocument/2006/relationships/hyperlink" Target="http://www.sec.gov/Archives/edgar/data/1156375/000119312518199544/d771010dex42.htm" TargetMode="External"/><Relationship Id="rId131" Type="http://schemas.openxmlformats.org/officeDocument/2006/relationships/hyperlink" Target="http://www.sec.gov/Archives/edgar/data/1156375/000119312518199544/d771010dex43.htm" TargetMode="External"/><Relationship Id="rId132" Type="http://schemas.openxmlformats.org/officeDocument/2006/relationships/hyperlink" Target="http://www.sec.gov/Archives/edgar/data/1156375/000119312517186768/d594804dex102.htm" TargetMode="External"/><Relationship Id="rId133" Type="http://schemas.openxmlformats.org/officeDocument/2006/relationships/hyperlink" Target="http://www.sec.gov/Archives/edgar/data/1156375/000119312514214151/d733968dex101.htm" TargetMode="External"/><Relationship Id="rId136" Type="http://schemas.openxmlformats.org/officeDocument/2006/relationships/hyperlink" Target="http://www.sec.gov/Archives/edgar/data/1156375/000115637518000026/cme-2017123110kex105.htm" TargetMode="External"/><Relationship Id="rId137" Type="http://schemas.openxmlformats.org/officeDocument/2006/relationships/hyperlink" Target="http://www.sec.gov/Archives/edgar/data/1156375/000119312512251430/d359429dex102.htm" TargetMode="External"/><Relationship Id="rId138" Type="http://schemas.openxmlformats.org/officeDocument/2006/relationships/hyperlink" Target="http://www.sec.gov/Archives/edgar/data/1156375/000115637513000007/cme-2012123110kex107.htm" TargetMode="External"/><Relationship Id="rId139" Type="http://schemas.openxmlformats.org/officeDocument/2006/relationships/hyperlink" Target="http://www.sec.gov/Archives/edgar/data/1156375/000115637517000080/cme-201763010qex101.htm" TargetMode="External"/><Relationship Id="rId140" Type="http://schemas.openxmlformats.org/officeDocument/2006/relationships/hyperlink" Target="http://www.sec.gov/Archives/edgar/data/1156375/000119312509042361/dex109.htm" TargetMode="External"/><Relationship Id="rId141" Type="http://schemas.openxmlformats.org/officeDocument/2006/relationships/hyperlink" Target="http://www.sec.gov/Archives/edgar/data/1156375/000119312508040449/dex109.htm" TargetMode="External"/><Relationship Id="rId142" Type="http://schemas.openxmlformats.org/officeDocument/2006/relationships/hyperlink" Target="http://www.sec.gov/Archives/edgar/data/1103945/000095013100001428/0000950131-00-001428.txt" TargetMode="External"/><Relationship Id="rId143" Type="http://schemas.openxmlformats.org/officeDocument/2006/relationships/hyperlink" Target="http://www.sec.gov/Archives/edgar/data/1105018/000095012301002844/y46628ex10-11.txt" TargetMode="External"/><Relationship Id="rId144" Type="http://schemas.openxmlformats.org/officeDocument/2006/relationships/hyperlink" Target="http://www.sec.gov/Archives/edgar/data/1156375/000115637515000108/cme-201593010qex101.htm" TargetMode="External"/><Relationship Id="rId145" Type="http://schemas.openxmlformats.org/officeDocument/2006/relationships/hyperlink" Target="http://www.sec.gov/Archives/edgar/data/1156375/000119312517186768/d594804dex101.htm" TargetMode="External"/><Relationship Id="rId146" Type="http://schemas.openxmlformats.org/officeDocument/2006/relationships/hyperlink" Target="http://www.sec.gov/Archives/edgar/data/1156375/000115637514000012/cme-2013123110kex1017.htm" TargetMode="External"/><Relationship Id="rId147" Type="http://schemas.openxmlformats.org/officeDocument/2006/relationships/hyperlink" Target="http://www.sec.gov/Archives/edgar/data/1156375/000115637515000014/cme-2014123110kex1016.htm" TargetMode="External"/><Relationship Id="rId148" Type="http://schemas.openxmlformats.org/officeDocument/2006/relationships/hyperlink" Target="http://www.sec.gov/Archives/edgar/data/1156375/000115637514000012/cme-2013123110kex1018.htm" TargetMode="External"/><Relationship Id="rId149" Type="http://schemas.openxmlformats.org/officeDocument/2006/relationships/hyperlink" Target="http://www.sec.gov/Archives/edgar/data/1156375/000115637515000014/cme-2014123110kex1017.htm" TargetMode="External"/><Relationship Id="rId150" Type="http://schemas.openxmlformats.org/officeDocument/2006/relationships/hyperlink" Target="http://www.sec.gov/Archives/edgar/data/1156375/000115637512000093/cme-201263010qex106.htm" TargetMode="External"/><Relationship Id="rId153" Type="http://schemas.openxmlformats.org/officeDocument/2006/relationships/hyperlink" Target="http://www.sec.gov/Archives/edgar/data/1156375/000119312521139919/d185277dex101.htm" TargetMode="External"/><Relationship Id="rId154" Type="http://schemas.openxmlformats.org/officeDocument/2006/relationships/hyperlink" Target="http://www.sec.gov/Archives/edgar/data/1156375/000115637521000167/equitygrantletterrestricte.htm" TargetMode="External"/><Relationship Id="rId155" Type="http://schemas.openxmlformats.org/officeDocument/2006/relationships/hyperlink" Target="http://www.sec.gov/Archives/edgar/data/1156375/000115637521000167/equitygrantletterperforman.htm" TargetMode="External"/><Relationship Id="rId156" Type="http://schemas.openxmlformats.org/officeDocument/2006/relationships/hyperlink" Target="http://www.sec.gov/Archives/edgar/data/1156375/000119312521330866/d260121dex101.htm" TargetMode="External"/><Relationship Id="rId157" Type="http://schemas.openxmlformats.org/officeDocument/2006/relationships/hyperlink" Target="http://www.sec.gov/Archives/edgar/data/1156375/000119312522027045/d30719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2022-02-25T14:07:59Z</dcterms:created>
  <dcterms:modified xsi:type="dcterms:W3CDTF">2022-02-25T14:07:59Z</dcterms:modified>
</cp:coreProperties>
</file>