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Free Writing Prospectus</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Filed pursuant to Rule 433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333-263130</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Pricing Term Sheet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(To preliminary prospectus supplement, dated March 1, 2022,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and prospectus, dated March 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2466340</wp:posOffset>
            </wp:positionH>
            <wp:positionV relativeFrom="paragraph">
              <wp:posOffset>160020</wp:posOffset>
            </wp:positionV>
            <wp:extent cx="2065655" cy="360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65655" cy="360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520" w:type="dxa"/>
            <w:vAlign w:val="bottom"/>
          </w:tcPr>
          <w:p>
            <w:pPr>
              <w:spacing w:after="0"/>
              <w:rPr>
                <w:sz w:val="20"/>
                <w:szCs w:val="20"/>
                <w:color w:val="auto"/>
              </w:rPr>
            </w:pPr>
          </w:p>
        </w:tc>
        <w:tc>
          <w:tcPr>
            <w:tcW w:w="8500" w:type="dxa"/>
            <w:vAlign w:val="bottom"/>
          </w:tcPr>
          <w:p>
            <w:pPr>
              <w:ind w:left="2480"/>
              <w:spacing w:after="0"/>
              <w:rPr>
                <w:sz w:val="20"/>
                <w:szCs w:val="20"/>
                <w:color w:val="auto"/>
              </w:rPr>
            </w:pPr>
            <w:r>
              <w:rPr>
                <w:rFonts w:ascii="Arial" w:cs="Arial" w:eastAsia="Arial" w:hAnsi="Arial"/>
                <w:sz w:val="18"/>
                <w:szCs w:val="18"/>
                <w:color w:val="auto"/>
              </w:rPr>
              <w:t>$750,000,000</w:t>
            </w:r>
          </w:p>
        </w:tc>
      </w:tr>
      <w:tr>
        <w:trPr>
          <w:trHeight w:val="324"/>
        </w:trPr>
        <w:tc>
          <w:tcPr>
            <w:tcW w:w="2520" w:type="dxa"/>
            <w:vAlign w:val="bottom"/>
          </w:tcPr>
          <w:p>
            <w:pPr>
              <w:spacing w:after="0"/>
              <w:rPr>
                <w:sz w:val="24"/>
                <w:szCs w:val="24"/>
                <w:color w:val="auto"/>
              </w:rPr>
            </w:pPr>
          </w:p>
        </w:tc>
        <w:tc>
          <w:tcPr>
            <w:tcW w:w="8500" w:type="dxa"/>
            <w:vAlign w:val="bottom"/>
          </w:tcPr>
          <w:p>
            <w:pPr>
              <w:ind w:left="2120"/>
              <w:spacing w:after="0"/>
              <w:rPr>
                <w:sz w:val="20"/>
                <w:szCs w:val="20"/>
                <w:color w:val="auto"/>
              </w:rPr>
            </w:pPr>
            <w:r>
              <w:rPr>
                <w:rFonts w:ascii="Arial" w:cs="Arial" w:eastAsia="Arial" w:hAnsi="Arial"/>
                <w:sz w:val="18"/>
                <w:szCs w:val="18"/>
                <w:color w:val="auto"/>
              </w:rPr>
              <w:t>2.650% Notes due 2032</w:t>
            </w:r>
          </w:p>
        </w:tc>
      </w:tr>
      <w:tr>
        <w:trPr>
          <w:trHeight w:val="243"/>
        </w:trPr>
        <w:tc>
          <w:tcPr>
            <w:tcW w:w="2520" w:type="dxa"/>
            <w:vAlign w:val="bottom"/>
          </w:tcPr>
          <w:p>
            <w:pPr>
              <w:spacing w:after="0"/>
              <w:rPr>
                <w:sz w:val="21"/>
                <w:szCs w:val="21"/>
                <w:color w:val="auto"/>
              </w:rPr>
            </w:pPr>
          </w:p>
        </w:tc>
        <w:tc>
          <w:tcPr>
            <w:tcW w:w="8500" w:type="dxa"/>
            <w:vAlign w:val="bottom"/>
          </w:tcPr>
          <w:p>
            <w:pPr>
              <w:spacing w:after="0"/>
              <w:rPr>
                <w:sz w:val="21"/>
                <w:szCs w:val="2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Issuer:</w:t>
            </w:r>
          </w:p>
        </w:tc>
        <w:tc>
          <w:tcPr>
            <w:tcW w:w="8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CME Group Inc.</w:t>
            </w:r>
          </w:p>
        </w:tc>
      </w:tr>
      <w:tr>
        <w:trPr>
          <w:trHeight w:val="432"/>
        </w:trPr>
        <w:tc>
          <w:tcPr>
            <w:tcW w:w="2520" w:type="dxa"/>
            <w:vAlign w:val="bottom"/>
          </w:tcPr>
          <w:p>
            <w:pPr>
              <w:spacing w:after="0"/>
              <w:rPr>
                <w:sz w:val="20"/>
                <w:szCs w:val="20"/>
                <w:color w:val="auto"/>
              </w:rPr>
            </w:pPr>
            <w:r>
              <w:rPr>
                <w:rFonts w:ascii="Arial" w:cs="Arial" w:eastAsia="Arial" w:hAnsi="Arial"/>
                <w:sz w:val="18"/>
                <w:szCs w:val="18"/>
                <w:color w:val="auto"/>
              </w:rPr>
              <w:t>Security Type:</w:t>
            </w:r>
          </w:p>
        </w:tc>
        <w:tc>
          <w:tcPr>
            <w:tcW w:w="8500" w:type="dxa"/>
            <w:vAlign w:val="bottom"/>
          </w:tcPr>
          <w:p>
            <w:pPr>
              <w:ind w:left="160"/>
              <w:spacing w:after="0"/>
              <w:rPr>
                <w:sz w:val="20"/>
                <w:szCs w:val="20"/>
                <w:color w:val="auto"/>
              </w:rPr>
            </w:pPr>
            <w:r>
              <w:rPr>
                <w:rFonts w:ascii="Arial" w:cs="Arial" w:eastAsia="Arial" w:hAnsi="Arial"/>
                <w:sz w:val="18"/>
                <w:szCs w:val="18"/>
                <w:color w:val="auto"/>
              </w:rPr>
              <w:t>SEC Registered Senior Unsecured Notes</w:t>
            </w:r>
          </w:p>
        </w:tc>
      </w:tr>
      <w:tr>
        <w:trPr>
          <w:trHeight w:val="216"/>
        </w:trPr>
        <w:tc>
          <w:tcPr>
            <w:tcW w:w="2520" w:type="dxa"/>
            <w:vAlign w:val="bottom"/>
          </w:tcPr>
          <w:p>
            <w:pPr>
              <w:spacing w:after="0"/>
              <w:rPr>
                <w:sz w:val="18"/>
                <w:szCs w:val="18"/>
                <w:color w:val="auto"/>
              </w:rPr>
            </w:pPr>
          </w:p>
        </w:tc>
        <w:tc>
          <w:tcPr>
            <w:tcW w:w="8500" w:type="dxa"/>
            <w:vAlign w:val="bottom"/>
          </w:tcPr>
          <w:p>
            <w:pPr>
              <w:spacing w:after="0"/>
              <w:rPr>
                <w:sz w:val="18"/>
                <w:szCs w:val="18"/>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Trade Date:</w:t>
            </w:r>
          </w:p>
        </w:tc>
        <w:tc>
          <w:tcPr>
            <w:tcW w:w="8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March 1, 2022</w:t>
            </w:r>
          </w:p>
        </w:tc>
      </w:tr>
      <w:tr>
        <w:trPr>
          <w:trHeight w:val="432"/>
        </w:trPr>
        <w:tc>
          <w:tcPr>
            <w:tcW w:w="2520" w:type="dxa"/>
            <w:vAlign w:val="bottom"/>
          </w:tcPr>
          <w:p>
            <w:pPr>
              <w:spacing w:after="0"/>
              <w:rPr>
                <w:sz w:val="20"/>
                <w:szCs w:val="20"/>
                <w:color w:val="auto"/>
              </w:rPr>
            </w:pPr>
            <w:r>
              <w:rPr>
                <w:rFonts w:ascii="Arial" w:cs="Arial" w:eastAsia="Arial" w:hAnsi="Arial"/>
                <w:sz w:val="18"/>
                <w:szCs w:val="18"/>
                <w:color w:val="auto"/>
              </w:rPr>
              <w:t>Settlement Date:</w:t>
            </w:r>
          </w:p>
        </w:tc>
        <w:tc>
          <w:tcPr>
            <w:tcW w:w="8500" w:type="dxa"/>
            <w:vAlign w:val="bottom"/>
          </w:tcPr>
          <w:p>
            <w:pPr>
              <w:ind w:left="160"/>
              <w:spacing w:after="0"/>
              <w:rPr>
                <w:sz w:val="20"/>
                <w:szCs w:val="20"/>
                <w:color w:val="auto"/>
              </w:rPr>
            </w:pPr>
            <w:r>
              <w:rPr>
                <w:rFonts w:ascii="Arial" w:cs="Arial" w:eastAsia="Arial" w:hAnsi="Arial"/>
                <w:sz w:val="18"/>
                <w:szCs w:val="18"/>
                <w:color w:val="auto"/>
              </w:rPr>
              <w:t>March 8, 2022 (T+5)</w:t>
            </w:r>
          </w:p>
        </w:tc>
      </w:tr>
      <w:tr>
        <w:trPr>
          <w:trHeight w:val="216"/>
        </w:trPr>
        <w:tc>
          <w:tcPr>
            <w:tcW w:w="2520" w:type="dxa"/>
            <w:vAlign w:val="bottom"/>
          </w:tcPr>
          <w:p>
            <w:pPr>
              <w:spacing w:after="0"/>
              <w:rPr>
                <w:sz w:val="18"/>
                <w:szCs w:val="18"/>
                <w:color w:val="auto"/>
              </w:rPr>
            </w:pPr>
          </w:p>
        </w:tc>
        <w:tc>
          <w:tcPr>
            <w:tcW w:w="8500" w:type="dxa"/>
            <w:vAlign w:val="bottom"/>
          </w:tcPr>
          <w:p>
            <w:pPr>
              <w:spacing w:after="0"/>
              <w:rPr>
                <w:sz w:val="18"/>
                <w:szCs w:val="18"/>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Principal Amount:</w:t>
            </w:r>
          </w:p>
        </w:tc>
        <w:tc>
          <w:tcPr>
            <w:tcW w:w="8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$750,000,000</w:t>
            </w:r>
          </w:p>
        </w:tc>
      </w:tr>
      <w:tr>
        <w:trPr>
          <w:trHeight w:val="432"/>
        </w:trPr>
        <w:tc>
          <w:tcPr>
            <w:tcW w:w="2520" w:type="dxa"/>
            <w:vAlign w:val="bottom"/>
          </w:tcPr>
          <w:p>
            <w:pPr>
              <w:spacing w:after="0"/>
              <w:rPr>
                <w:sz w:val="20"/>
                <w:szCs w:val="20"/>
                <w:color w:val="auto"/>
              </w:rPr>
            </w:pPr>
            <w:r>
              <w:rPr>
                <w:rFonts w:ascii="Arial" w:cs="Arial" w:eastAsia="Arial" w:hAnsi="Arial"/>
                <w:sz w:val="18"/>
                <w:szCs w:val="18"/>
                <w:color w:val="auto"/>
              </w:rPr>
              <w:t>Maturity Date:</w:t>
            </w:r>
          </w:p>
        </w:tc>
        <w:tc>
          <w:tcPr>
            <w:tcW w:w="8500" w:type="dxa"/>
            <w:vAlign w:val="bottom"/>
          </w:tcPr>
          <w:p>
            <w:pPr>
              <w:ind w:left="160"/>
              <w:spacing w:after="0"/>
              <w:rPr>
                <w:sz w:val="20"/>
                <w:szCs w:val="20"/>
                <w:color w:val="auto"/>
              </w:rPr>
            </w:pPr>
            <w:r>
              <w:rPr>
                <w:rFonts w:ascii="Arial" w:cs="Arial" w:eastAsia="Arial" w:hAnsi="Arial"/>
                <w:sz w:val="18"/>
                <w:szCs w:val="18"/>
                <w:color w:val="auto"/>
              </w:rPr>
              <w:t>March 15, 2032</w:t>
            </w:r>
          </w:p>
        </w:tc>
      </w:tr>
      <w:tr>
        <w:trPr>
          <w:trHeight w:val="216"/>
        </w:trPr>
        <w:tc>
          <w:tcPr>
            <w:tcW w:w="2520" w:type="dxa"/>
            <w:vAlign w:val="bottom"/>
          </w:tcPr>
          <w:p>
            <w:pPr>
              <w:spacing w:after="0"/>
              <w:rPr>
                <w:sz w:val="18"/>
                <w:szCs w:val="18"/>
                <w:color w:val="auto"/>
              </w:rPr>
            </w:pPr>
          </w:p>
        </w:tc>
        <w:tc>
          <w:tcPr>
            <w:tcW w:w="8500" w:type="dxa"/>
            <w:vAlign w:val="bottom"/>
          </w:tcPr>
          <w:p>
            <w:pPr>
              <w:spacing w:after="0"/>
              <w:rPr>
                <w:sz w:val="18"/>
                <w:szCs w:val="18"/>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Per Annum:</w:t>
            </w:r>
          </w:p>
        </w:tc>
        <w:tc>
          <w:tcPr>
            <w:tcW w:w="8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2.650%</w:t>
            </w:r>
          </w:p>
        </w:tc>
      </w:tr>
      <w:tr>
        <w:trPr>
          <w:trHeight w:val="432"/>
        </w:trPr>
        <w:tc>
          <w:tcPr>
            <w:tcW w:w="2520" w:type="dxa"/>
            <w:vAlign w:val="bottom"/>
          </w:tcPr>
          <w:p>
            <w:pPr>
              <w:spacing w:after="0"/>
              <w:rPr>
                <w:sz w:val="20"/>
                <w:szCs w:val="20"/>
                <w:color w:val="auto"/>
              </w:rPr>
            </w:pPr>
            <w:r>
              <w:rPr>
                <w:rFonts w:ascii="Arial" w:cs="Arial" w:eastAsia="Arial" w:hAnsi="Arial"/>
                <w:sz w:val="18"/>
                <w:szCs w:val="18"/>
                <w:color w:val="auto"/>
              </w:rPr>
              <w:t>Interest Payment Dates:</w:t>
            </w:r>
          </w:p>
        </w:tc>
        <w:tc>
          <w:tcPr>
            <w:tcW w:w="8500" w:type="dxa"/>
            <w:vAlign w:val="bottom"/>
          </w:tcPr>
          <w:p>
            <w:pPr>
              <w:ind w:left="160"/>
              <w:spacing w:after="0"/>
              <w:rPr>
                <w:sz w:val="20"/>
                <w:szCs w:val="20"/>
                <w:color w:val="auto"/>
              </w:rPr>
            </w:pPr>
            <w:r>
              <w:rPr>
                <w:rFonts w:ascii="Arial" w:cs="Arial" w:eastAsia="Arial" w:hAnsi="Arial"/>
                <w:sz w:val="18"/>
                <w:szCs w:val="18"/>
                <w:color w:val="auto"/>
              </w:rPr>
              <w:t>Semiannually, on March 15 and September 15 of each year</w:t>
            </w:r>
          </w:p>
        </w:tc>
      </w:tr>
      <w:tr>
        <w:trPr>
          <w:trHeight w:val="216"/>
        </w:trPr>
        <w:tc>
          <w:tcPr>
            <w:tcW w:w="2520" w:type="dxa"/>
            <w:vAlign w:val="bottom"/>
          </w:tcPr>
          <w:p>
            <w:pPr>
              <w:spacing w:after="0"/>
              <w:rPr>
                <w:sz w:val="18"/>
                <w:szCs w:val="18"/>
                <w:color w:val="auto"/>
              </w:rPr>
            </w:pPr>
          </w:p>
        </w:tc>
        <w:tc>
          <w:tcPr>
            <w:tcW w:w="8500" w:type="dxa"/>
            <w:vAlign w:val="bottom"/>
          </w:tcPr>
          <w:p>
            <w:pPr>
              <w:spacing w:after="0"/>
              <w:rPr>
                <w:sz w:val="18"/>
                <w:szCs w:val="18"/>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First Interest Payment Date:</w:t>
            </w:r>
          </w:p>
        </w:tc>
        <w:tc>
          <w:tcPr>
            <w:tcW w:w="8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September 15, 2022 (long first coupon)</w:t>
            </w:r>
          </w:p>
        </w:tc>
      </w:tr>
      <w:tr>
        <w:trPr>
          <w:trHeight w:val="418"/>
        </w:trPr>
        <w:tc>
          <w:tcPr>
            <w:tcW w:w="2520" w:type="dxa"/>
            <w:vAlign w:val="bottom"/>
          </w:tcPr>
          <w:p>
            <w:pPr>
              <w:spacing w:after="0"/>
              <w:rPr>
                <w:sz w:val="20"/>
                <w:szCs w:val="20"/>
                <w:color w:val="auto"/>
              </w:rPr>
            </w:pPr>
            <w:r>
              <w:rPr>
                <w:rFonts w:ascii="Arial" w:cs="Arial" w:eastAsia="Arial" w:hAnsi="Arial"/>
                <w:sz w:val="18"/>
                <w:szCs w:val="18"/>
                <w:color w:val="auto"/>
              </w:rPr>
              <w:t>Optional Redemption:</w:t>
            </w:r>
          </w:p>
        </w:tc>
        <w:tc>
          <w:tcPr>
            <w:tcW w:w="8500" w:type="dxa"/>
            <w:vAlign w:val="bottom"/>
          </w:tcPr>
          <w:p>
            <w:pPr>
              <w:ind w:left="160"/>
              <w:spacing w:after="0"/>
              <w:rPr>
                <w:sz w:val="20"/>
                <w:szCs w:val="20"/>
                <w:color w:val="auto"/>
              </w:rPr>
            </w:pPr>
            <w:r>
              <w:rPr>
                <w:rFonts w:ascii="Arial" w:cs="Arial" w:eastAsia="Arial" w:hAnsi="Arial"/>
                <w:sz w:val="18"/>
                <w:szCs w:val="18"/>
                <w:color w:val="auto"/>
                <w:w w:val="95"/>
              </w:rPr>
              <w:t>Make-whole redemption at any time prior to December 15, 2031 (three months prior to the maturity date of the</w:t>
            </w:r>
          </w:p>
        </w:tc>
      </w:tr>
      <w:tr>
        <w:trPr>
          <w:trHeight w:val="216"/>
        </w:trPr>
        <w:tc>
          <w:tcPr>
            <w:tcW w:w="2520" w:type="dxa"/>
            <w:vAlign w:val="bottom"/>
          </w:tcPr>
          <w:p>
            <w:pPr>
              <w:spacing w:after="0"/>
              <w:rPr>
                <w:sz w:val="18"/>
                <w:szCs w:val="18"/>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w w:val="91"/>
              </w:rPr>
              <w:t>notes) at a discount rate equal to the Treasury Rate (as defined in the preliminary prospectus supplement) plus 15</w:t>
            </w:r>
          </w:p>
        </w:tc>
      </w:tr>
      <w:tr>
        <w:trPr>
          <w:trHeight w:val="230"/>
        </w:trPr>
        <w:tc>
          <w:tcPr>
            <w:tcW w:w="2520" w:type="dxa"/>
            <w:vAlign w:val="bottom"/>
          </w:tcPr>
          <w:p>
            <w:pPr>
              <w:spacing w:after="0"/>
              <w:rPr>
                <w:sz w:val="20"/>
                <w:szCs w:val="20"/>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bps. Redemption at par at any time commencing on December 15, 2031.</w:t>
            </w:r>
          </w:p>
        </w:tc>
      </w:tr>
      <w:tr>
        <w:trPr>
          <w:trHeight w:val="216"/>
        </w:trPr>
        <w:tc>
          <w:tcPr>
            <w:tcW w:w="2520" w:type="dxa"/>
            <w:vAlign w:val="bottom"/>
          </w:tcPr>
          <w:p>
            <w:pPr>
              <w:spacing w:after="0"/>
              <w:rPr>
                <w:sz w:val="18"/>
                <w:szCs w:val="18"/>
                <w:color w:val="auto"/>
              </w:rPr>
            </w:pPr>
          </w:p>
        </w:tc>
        <w:tc>
          <w:tcPr>
            <w:tcW w:w="8500" w:type="dxa"/>
            <w:vAlign w:val="bottom"/>
          </w:tcPr>
          <w:p>
            <w:pPr>
              <w:spacing w:after="0"/>
              <w:rPr>
                <w:sz w:val="18"/>
                <w:szCs w:val="18"/>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8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99.677%</w:t>
            </w:r>
          </w:p>
        </w:tc>
      </w:tr>
      <w:tr>
        <w:trPr>
          <w:trHeight w:val="418"/>
        </w:trPr>
        <w:tc>
          <w:tcPr>
            <w:tcW w:w="2520" w:type="dxa"/>
            <w:vAlign w:val="bottom"/>
          </w:tcPr>
          <w:p>
            <w:pPr>
              <w:spacing w:after="0"/>
              <w:rPr>
                <w:sz w:val="20"/>
                <w:szCs w:val="20"/>
                <w:color w:val="auto"/>
              </w:rPr>
            </w:pPr>
            <w:r>
              <w:rPr>
                <w:rFonts w:ascii="Arial" w:cs="Arial" w:eastAsia="Arial" w:hAnsi="Arial"/>
                <w:sz w:val="18"/>
                <w:szCs w:val="18"/>
                <w:color w:val="auto"/>
              </w:rPr>
              <w:t>Proceeds to CME Group Inc.</w:t>
            </w:r>
          </w:p>
        </w:tc>
        <w:tc>
          <w:tcPr>
            <w:tcW w:w="8500" w:type="dxa"/>
            <w:vAlign w:val="bottom"/>
          </w:tcPr>
          <w:p>
            <w:pPr>
              <w:ind w:left="160"/>
              <w:spacing w:after="0"/>
              <w:rPr>
                <w:sz w:val="20"/>
                <w:szCs w:val="20"/>
                <w:color w:val="auto"/>
              </w:rPr>
            </w:pPr>
            <w:r>
              <w:rPr>
                <w:rFonts w:ascii="Arial" w:cs="Arial" w:eastAsia="Arial" w:hAnsi="Arial"/>
                <w:sz w:val="18"/>
                <w:szCs w:val="18"/>
                <w:color w:val="auto"/>
              </w:rPr>
              <w:t>$742,702,500</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w w:val="93"/>
              </w:rPr>
              <w:t>(before estimated expenses, after</w:t>
            </w:r>
          </w:p>
        </w:tc>
        <w:tc>
          <w:tcPr>
            <w:tcW w:w="850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underwriting discount):</w:t>
            </w:r>
          </w:p>
        </w:tc>
        <w:tc>
          <w:tcPr>
            <w:tcW w:w="8500" w:type="dxa"/>
            <w:vAlign w:val="bottom"/>
          </w:tcPr>
          <w:p>
            <w:pPr>
              <w:spacing w:after="0"/>
              <w:rPr>
                <w:sz w:val="20"/>
                <w:szCs w:val="20"/>
                <w:color w:val="auto"/>
              </w:rPr>
            </w:pPr>
          </w:p>
        </w:tc>
      </w:tr>
      <w:tr>
        <w:trPr>
          <w:trHeight w:val="216"/>
        </w:trPr>
        <w:tc>
          <w:tcPr>
            <w:tcW w:w="2520" w:type="dxa"/>
            <w:vAlign w:val="bottom"/>
          </w:tcPr>
          <w:p>
            <w:pPr>
              <w:spacing w:after="0"/>
              <w:rPr>
                <w:sz w:val="18"/>
                <w:szCs w:val="18"/>
                <w:color w:val="auto"/>
              </w:rPr>
            </w:pPr>
          </w:p>
        </w:tc>
        <w:tc>
          <w:tcPr>
            <w:tcW w:w="8500" w:type="dxa"/>
            <w:vAlign w:val="bottom"/>
          </w:tcPr>
          <w:p>
            <w:pPr>
              <w:spacing w:after="0"/>
              <w:rPr>
                <w:sz w:val="18"/>
                <w:szCs w:val="18"/>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Treasury Benchmark:</w:t>
            </w:r>
          </w:p>
        </w:tc>
        <w:tc>
          <w:tcPr>
            <w:tcW w:w="8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UST 1.875% due February 15, 2032</w:t>
            </w:r>
          </w:p>
        </w:tc>
      </w:tr>
      <w:tr>
        <w:trPr>
          <w:trHeight w:val="418"/>
        </w:trPr>
        <w:tc>
          <w:tcPr>
            <w:tcW w:w="2520" w:type="dxa"/>
            <w:vAlign w:val="bottom"/>
          </w:tcPr>
          <w:p>
            <w:pPr>
              <w:spacing w:after="0"/>
              <w:rPr>
                <w:sz w:val="20"/>
                <w:szCs w:val="20"/>
                <w:color w:val="auto"/>
              </w:rPr>
            </w:pPr>
            <w:r>
              <w:rPr>
                <w:rFonts w:ascii="Arial" w:cs="Arial" w:eastAsia="Arial" w:hAnsi="Arial"/>
                <w:sz w:val="18"/>
                <w:szCs w:val="18"/>
                <w:color w:val="auto"/>
              </w:rPr>
              <w:t>Treasury Benchmark Price and</w:t>
            </w:r>
          </w:p>
        </w:tc>
        <w:tc>
          <w:tcPr>
            <w:tcW w:w="8500" w:type="dxa"/>
            <w:vAlign w:val="bottom"/>
          </w:tcPr>
          <w:p>
            <w:pPr>
              <w:ind w:left="160"/>
              <w:spacing w:after="0"/>
              <w:rPr>
                <w:sz w:val="20"/>
                <w:szCs w:val="20"/>
                <w:color w:val="auto"/>
              </w:rPr>
            </w:pPr>
            <w:r>
              <w:rPr>
                <w:rFonts w:ascii="Arial" w:cs="Arial" w:eastAsia="Arial" w:hAnsi="Arial"/>
                <w:sz w:val="18"/>
                <w:szCs w:val="18"/>
                <w:color w:val="auto"/>
              </w:rPr>
              <w:t>101-17 / 1.707%</w:t>
            </w:r>
          </w:p>
        </w:tc>
      </w:t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Yield:</w:t>
            </w:r>
          </w:p>
        </w:tc>
        <w:tc>
          <w:tcPr>
            <w:tcW w:w="8500" w:type="dxa"/>
            <w:vAlign w:val="bottom"/>
          </w:tcPr>
          <w:p>
            <w:pPr>
              <w:spacing w:after="0"/>
              <w:rPr>
                <w:sz w:val="20"/>
                <w:szCs w:val="20"/>
                <w:color w:val="auto"/>
              </w:rPr>
            </w:pPr>
          </w:p>
        </w:tc>
      </w:tr>
      <w:tr>
        <w:trPr>
          <w:trHeight w:val="216"/>
        </w:trPr>
        <w:tc>
          <w:tcPr>
            <w:tcW w:w="2520" w:type="dxa"/>
            <w:vAlign w:val="bottom"/>
          </w:tcPr>
          <w:p>
            <w:pPr>
              <w:spacing w:after="0"/>
              <w:rPr>
                <w:sz w:val="18"/>
                <w:szCs w:val="18"/>
                <w:color w:val="auto"/>
              </w:rPr>
            </w:pPr>
          </w:p>
        </w:tc>
        <w:tc>
          <w:tcPr>
            <w:tcW w:w="8500" w:type="dxa"/>
            <w:vAlign w:val="bottom"/>
          </w:tcPr>
          <w:p>
            <w:pPr>
              <w:spacing w:after="0"/>
              <w:rPr>
                <w:sz w:val="18"/>
                <w:szCs w:val="18"/>
                <w:color w:val="auto"/>
              </w:rPr>
            </w:pPr>
          </w:p>
        </w:tc>
      </w:tr>
      <w:tr>
        <w:trPr>
          <w:trHeight w:val="202"/>
        </w:trPr>
        <w:tc>
          <w:tcPr>
            <w:tcW w:w="2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Re-offer Spread vs. Treasury</w:t>
            </w:r>
          </w:p>
        </w:tc>
        <w:tc>
          <w:tcPr>
            <w:tcW w:w="85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98 bps</w:t>
            </w:r>
          </w:p>
        </w:tc>
      </w:tr>
      <w:tr>
        <w:trPr>
          <w:trHeight w:val="230"/>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Benchmark:</w:t>
            </w:r>
          </w:p>
        </w:tc>
        <w:tc>
          <w:tcPr>
            <w:tcW w:w="8500" w:type="dxa"/>
            <w:vAlign w:val="bottom"/>
            <w:shd w:val="clear" w:color="auto" w:fill="CCEEFF"/>
          </w:tcPr>
          <w:p>
            <w:pPr>
              <w:spacing w:after="0"/>
              <w:rPr>
                <w:sz w:val="20"/>
                <w:szCs w:val="20"/>
                <w:color w:val="auto"/>
              </w:rPr>
            </w:pPr>
          </w:p>
        </w:tc>
      </w:tr>
      <w:tr>
        <w:trPr>
          <w:trHeight w:val="432"/>
        </w:trPr>
        <w:tc>
          <w:tcPr>
            <w:tcW w:w="2520" w:type="dxa"/>
            <w:vAlign w:val="bottom"/>
          </w:tcPr>
          <w:p>
            <w:pPr>
              <w:spacing w:after="0"/>
              <w:rPr>
                <w:sz w:val="20"/>
                <w:szCs w:val="20"/>
                <w:color w:val="auto"/>
              </w:rPr>
            </w:pPr>
            <w:r>
              <w:rPr>
                <w:rFonts w:ascii="Arial" w:cs="Arial" w:eastAsia="Arial" w:hAnsi="Arial"/>
                <w:sz w:val="18"/>
                <w:szCs w:val="18"/>
                <w:color w:val="auto"/>
              </w:rPr>
              <w:t>Yield to Maturity:</w:t>
            </w:r>
          </w:p>
        </w:tc>
        <w:tc>
          <w:tcPr>
            <w:tcW w:w="8500" w:type="dxa"/>
            <w:vAlign w:val="bottom"/>
          </w:tcPr>
          <w:p>
            <w:pPr>
              <w:ind w:left="160"/>
              <w:spacing w:after="0"/>
              <w:rPr>
                <w:sz w:val="20"/>
                <w:szCs w:val="20"/>
                <w:color w:val="auto"/>
              </w:rPr>
            </w:pPr>
            <w:r>
              <w:rPr>
                <w:rFonts w:ascii="Arial" w:cs="Arial" w:eastAsia="Arial" w:hAnsi="Arial"/>
                <w:sz w:val="18"/>
                <w:szCs w:val="18"/>
                <w:color w:val="auto"/>
              </w:rPr>
              <w:t>2.687%</w:t>
            </w:r>
          </w:p>
        </w:tc>
      </w:tr>
      <w:tr>
        <w:trPr>
          <w:trHeight w:val="216"/>
        </w:trPr>
        <w:tc>
          <w:tcPr>
            <w:tcW w:w="2520" w:type="dxa"/>
            <w:vAlign w:val="bottom"/>
          </w:tcPr>
          <w:p>
            <w:pPr>
              <w:spacing w:after="0"/>
              <w:rPr>
                <w:sz w:val="18"/>
                <w:szCs w:val="18"/>
                <w:color w:val="auto"/>
              </w:rPr>
            </w:pPr>
          </w:p>
        </w:tc>
        <w:tc>
          <w:tcPr>
            <w:tcW w:w="8500" w:type="dxa"/>
            <w:vAlign w:val="bottom"/>
          </w:tcPr>
          <w:p>
            <w:pPr>
              <w:spacing w:after="0"/>
              <w:rPr>
                <w:sz w:val="18"/>
                <w:szCs w:val="18"/>
                <w:color w:val="auto"/>
              </w:rPr>
            </w:pPr>
          </w:p>
        </w:tc>
      </w:tr>
      <w:tr>
        <w:trPr>
          <w:trHeight w:val="202"/>
        </w:trPr>
        <w:tc>
          <w:tcPr>
            <w:tcW w:w="2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Mandatory Offer to Repurchase</w:t>
            </w:r>
          </w:p>
        </w:tc>
        <w:tc>
          <w:tcPr>
            <w:tcW w:w="85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In the event of a “Change of Control Triggering Event” (as defined in the preliminary prospectus supplement) at</w:t>
            </w:r>
          </w:p>
        </w:tc>
      </w:tr>
      <w:tr>
        <w:trPr>
          <w:trHeight w:val="230"/>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Notes:</w:t>
            </w:r>
          </w:p>
        </w:tc>
        <w:tc>
          <w:tcPr>
            <w:tcW w:w="8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101% of the principal amount, plus accrued and unpaid interest.</w:t>
            </w:r>
          </w:p>
        </w:tc>
      </w:tr>
      <w:tr>
        <w:trPr>
          <w:trHeight w:val="432"/>
        </w:trPr>
        <w:tc>
          <w:tcPr>
            <w:tcW w:w="2520" w:type="dxa"/>
            <w:vAlign w:val="bottom"/>
          </w:tcPr>
          <w:p>
            <w:pPr>
              <w:spacing w:after="0"/>
              <w:rPr>
                <w:sz w:val="20"/>
                <w:szCs w:val="20"/>
                <w:color w:val="auto"/>
              </w:rPr>
            </w:pPr>
            <w:r>
              <w:rPr>
                <w:rFonts w:ascii="Arial" w:cs="Arial" w:eastAsia="Arial" w:hAnsi="Arial"/>
                <w:sz w:val="18"/>
                <w:szCs w:val="18"/>
                <w:color w:val="auto"/>
              </w:rPr>
              <w:t>Day Count:</w:t>
            </w:r>
          </w:p>
        </w:tc>
        <w:tc>
          <w:tcPr>
            <w:tcW w:w="8500" w:type="dxa"/>
            <w:vAlign w:val="bottom"/>
          </w:tcPr>
          <w:p>
            <w:pPr>
              <w:ind w:left="160"/>
              <w:spacing w:after="0"/>
              <w:rPr>
                <w:sz w:val="20"/>
                <w:szCs w:val="20"/>
                <w:color w:val="auto"/>
              </w:rPr>
            </w:pPr>
            <w:r>
              <w:rPr>
                <w:rFonts w:ascii="Arial" w:cs="Arial" w:eastAsia="Arial" w:hAnsi="Arial"/>
                <w:sz w:val="18"/>
                <w:szCs w:val="18"/>
                <w:color w:val="auto"/>
              </w:rPr>
              <w:t>30/360</w:t>
            </w:r>
          </w:p>
        </w:tc>
      </w:tr>
      <w:tr>
        <w:trPr>
          <w:trHeight w:val="216"/>
        </w:trPr>
        <w:tc>
          <w:tcPr>
            <w:tcW w:w="2520" w:type="dxa"/>
            <w:vAlign w:val="bottom"/>
          </w:tcPr>
          <w:p>
            <w:pPr>
              <w:spacing w:after="0"/>
              <w:rPr>
                <w:sz w:val="18"/>
                <w:szCs w:val="18"/>
                <w:color w:val="auto"/>
              </w:rPr>
            </w:pPr>
          </w:p>
        </w:tc>
        <w:tc>
          <w:tcPr>
            <w:tcW w:w="8500" w:type="dxa"/>
            <w:vAlign w:val="bottom"/>
          </w:tcPr>
          <w:p>
            <w:pPr>
              <w:spacing w:after="0"/>
              <w:rPr>
                <w:sz w:val="18"/>
                <w:szCs w:val="18"/>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Payment Business Days:</w:t>
            </w:r>
          </w:p>
        </w:tc>
        <w:tc>
          <w:tcPr>
            <w:tcW w:w="8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New York</w:t>
            </w:r>
          </w:p>
        </w:tc>
      </w:tr>
      <w:tr>
        <w:trPr>
          <w:trHeight w:val="432"/>
        </w:trPr>
        <w:tc>
          <w:tcPr>
            <w:tcW w:w="2520" w:type="dxa"/>
            <w:vAlign w:val="bottom"/>
          </w:tcPr>
          <w:p>
            <w:pPr>
              <w:spacing w:after="0"/>
              <w:rPr>
                <w:sz w:val="20"/>
                <w:szCs w:val="20"/>
                <w:color w:val="auto"/>
              </w:rPr>
            </w:pPr>
            <w:r>
              <w:rPr>
                <w:rFonts w:ascii="Arial" w:cs="Arial" w:eastAsia="Arial" w:hAnsi="Arial"/>
                <w:sz w:val="18"/>
                <w:szCs w:val="18"/>
                <w:color w:val="auto"/>
              </w:rPr>
              <w:t>Payment Convention:</w:t>
            </w:r>
          </w:p>
        </w:tc>
        <w:tc>
          <w:tcPr>
            <w:tcW w:w="8500" w:type="dxa"/>
            <w:vAlign w:val="bottom"/>
          </w:tcPr>
          <w:p>
            <w:pPr>
              <w:ind w:left="160"/>
              <w:spacing w:after="0"/>
              <w:rPr>
                <w:sz w:val="20"/>
                <w:szCs w:val="20"/>
                <w:color w:val="auto"/>
              </w:rPr>
            </w:pPr>
            <w:r>
              <w:rPr>
                <w:rFonts w:ascii="Arial" w:cs="Arial" w:eastAsia="Arial" w:hAnsi="Arial"/>
                <w:sz w:val="18"/>
                <w:szCs w:val="18"/>
                <w:color w:val="auto"/>
              </w:rPr>
              <w:t>Following, Unadjusted</w:t>
            </w:r>
          </w:p>
        </w:tc>
      </w:tr>
      <w:tr>
        <w:trPr>
          <w:trHeight w:val="216"/>
        </w:trPr>
        <w:tc>
          <w:tcPr>
            <w:tcW w:w="2520" w:type="dxa"/>
            <w:vAlign w:val="bottom"/>
          </w:tcPr>
          <w:p>
            <w:pPr>
              <w:spacing w:after="0"/>
              <w:rPr>
                <w:sz w:val="18"/>
                <w:szCs w:val="18"/>
                <w:color w:val="auto"/>
              </w:rPr>
            </w:pPr>
          </w:p>
        </w:tc>
        <w:tc>
          <w:tcPr>
            <w:tcW w:w="8500" w:type="dxa"/>
            <w:vAlign w:val="bottom"/>
          </w:tcPr>
          <w:p>
            <w:pPr>
              <w:spacing w:after="0"/>
              <w:rPr>
                <w:sz w:val="18"/>
                <w:szCs w:val="18"/>
                <w:color w:val="auto"/>
              </w:rPr>
            </w:pPr>
          </w:p>
        </w:tc>
      </w:tr>
      <w:tr>
        <w:trPr>
          <w:trHeight w:val="202"/>
        </w:trPr>
        <w:tc>
          <w:tcPr>
            <w:tcW w:w="2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Minimum Denomination /</w:t>
            </w:r>
          </w:p>
        </w:tc>
        <w:tc>
          <w:tcPr>
            <w:tcW w:w="85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$2,000 / $1,000</w:t>
            </w:r>
          </w:p>
        </w:tc>
      </w:tr>
      <w:tr>
        <w:trPr>
          <w:trHeight w:val="230"/>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Multiples:</w:t>
            </w:r>
          </w:p>
        </w:tc>
        <w:tc>
          <w:tcPr>
            <w:tcW w:w="8500" w:type="dxa"/>
            <w:vAlign w:val="bottom"/>
            <w:shd w:val="clear" w:color="auto" w:fill="CCEEFF"/>
          </w:tcPr>
          <w:p>
            <w:pPr>
              <w:spacing w:after="0"/>
              <w:rPr>
                <w:sz w:val="20"/>
                <w:szCs w:val="20"/>
                <w:color w:val="auto"/>
              </w:rPr>
            </w:pPr>
          </w:p>
        </w:tc>
      </w:tr>
      <w:tr>
        <w:trPr>
          <w:trHeight w:val="432"/>
        </w:trPr>
        <w:tc>
          <w:tcPr>
            <w:tcW w:w="2520" w:type="dxa"/>
            <w:vAlign w:val="bottom"/>
          </w:tcPr>
          <w:p>
            <w:pPr>
              <w:spacing w:after="0"/>
              <w:rPr>
                <w:sz w:val="20"/>
                <w:szCs w:val="20"/>
                <w:color w:val="auto"/>
              </w:rPr>
            </w:pPr>
            <w:r>
              <w:rPr>
                <w:rFonts w:ascii="Arial" w:cs="Arial" w:eastAsia="Arial" w:hAnsi="Arial"/>
                <w:sz w:val="18"/>
                <w:szCs w:val="18"/>
                <w:color w:val="auto"/>
              </w:rPr>
              <w:t>CUSIP / ISIN:</w:t>
            </w:r>
          </w:p>
        </w:tc>
        <w:tc>
          <w:tcPr>
            <w:tcW w:w="8500" w:type="dxa"/>
            <w:vAlign w:val="bottom"/>
          </w:tcPr>
          <w:p>
            <w:pPr>
              <w:ind w:left="160"/>
              <w:spacing w:after="0"/>
              <w:rPr>
                <w:sz w:val="20"/>
                <w:szCs w:val="20"/>
                <w:color w:val="auto"/>
              </w:rPr>
            </w:pPr>
            <w:r>
              <w:rPr>
                <w:rFonts w:ascii="Arial" w:cs="Arial" w:eastAsia="Arial" w:hAnsi="Arial"/>
                <w:sz w:val="18"/>
                <w:szCs w:val="18"/>
                <w:color w:val="auto"/>
              </w:rPr>
              <w:t>12572QAK1 / US12572QAK13</w:t>
            </w:r>
          </w:p>
        </w:tc>
      </w:tr>
      <w:tr>
        <w:trPr>
          <w:trHeight w:val="216"/>
        </w:trPr>
        <w:tc>
          <w:tcPr>
            <w:tcW w:w="2520" w:type="dxa"/>
            <w:vAlign w:val="bottom"/>
          </w:tcPr>
          <w:p>
            <w:pPr>
              <w:spacing w:after="0"/>
              <w:rPr>
                <w:sz w:val="18"/>
                <w:szCs w:val="18"/>
                <w:color w:val="auto"/>
              </w:rPr>
            </w:pPr>
          </w:p>
        </w:tc>
        <w:tc>
          <w:tcPr>
            <w:tcW w:w="8500" w:type="dxa"/>
            <w:vAlign w:val="bottom"/>
          </w:tcPr>
          <w:p>
            <w:pPr>
              <w:spacing w:after="0"/>
              <w:rPr>
                <w:sz w:val="18"/>
                <w:szCs w:val="18"/>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Ratings*:</w:t>
            </w:r>
          </w:p>
        </w:tc>
        <w:tc>
          <w:tcPr>
            <w:tcW w:w="8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Aa3 / AA-</w:t>
            </w:r>
          </w:p>
        </w:tc>
      </w:tr>
    </w:tbl>
    <w:p>
      <w:pPr>
        <w:sectPr>
          <w:pgSz w:w="11900" w:h="16838" w:orient="portrait"/>
          <w:cols w:equalWidth="0" w:num="1">
            <w:col w:w="11020"/>
          </w:cols>
          <w:pgMar w:left="440" w:top="233" w:right="439" w:bottom="1440" w:gutter="0" w:footer="0" w:header="0"/>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07"/>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w w:val="99"/>
              </w:rPr>
              <w:t>Joint Book-Running Managers:</w:t>
            </w:r>
          </w:p>
        </w:tc>
        <w:tc>
          <w:tcPr>
            <w:tcW w:w="8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Barclays Capital Inc.</w:t>
            </w:r>
          </w:p>
        </w:tc>
      </w:tr>
      <w:tr>
        <w:trPr>
          <w:trHeight w:val="216"/>
        </w:trPr>
        <w:tc>
          <w:tcPr>
            <w:tcW w:w="2480" w:type="dxa"/>
            <w:vAlign w:val="bottom"/>
            <w:shd w:val="clear" w:color="auto" w:fill="CCEEFF"/>
          </w:tcPr>
          <w:p>
            <w:pPr>
              <w:spacing w:after="0"/>
              <w:rPr>
                <w:sz w:val="18"/>
                <w:szCs w:val="18"/>
                <w:color w:val="auto"/>
              </w:rPr>
            </w:pPr>
          </w:p>
        </w:tc>
        <w:tc>
          <w:tcPr>
            <w:tcW w:w="8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BofA Securities, Inc.</w:t>
            </w:r>
          </w:p>
        </w:tc>
      </w:tr>
      <w:tr>
        <w:trPr>
          <w:trHeight w:val="216"/>
        </w:trPr>
        <w:tc>
          <w:tcPr>
            <w:tcW w:w="2480" w:type="dxa"/>
            <w:vAlign w:val="bottom"/>
            <w:shd w:val="clear" w:color="auto" w:fill="CCEEFF"/>
          </w:tcPr>
          <w:p>
            <w:pPr>
              <w:spacing w:after="0"/>
              <w:rPr>
                <w:sz w:val="18"/>
                <w:szCs w:val="18"/>
                <w:color w:val="auto"/>
              </w:rPr>
            </w:pPr>
          </w:p>
        </w:tc>
        <w:tc>
          <w:tcPr>
            <w:tcW w:w="8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BMO Capital Markets Corp.</w:t>
            </w:r>
          </w:p>
        </w:tc>
      </w:tr>
      <w:tr>
        <w:trPr>
          <w:trHeight w:val="216"/>
        </w:trPr>
        <w:tc>
          <w:tcPr>
            <w:tcW w:w="2480" w:type="dxa"/>
            <w:vAlign w:val="bottom"/>
            <w:shd w:val="clear" w:color="auto" w:fill="CCEEFF"/>
          </w:tcPr>
          <w:p>
            <w:pPr>
              <w:spacing w:after="0"/>
              <w:rPr>
                <w:sz w:val="18"/>
                <w:szCs w:val="18"/>
                <w:color w:val="auto"/>
              </w:rPr>
            </w:pPr>
          </w:p>
        </w:tc>
        <w:tc>
          <w:tcPr>
            <w:tcW w:w="8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Citigroup Global Markets Inc.</w:t>
            </w:r>
          </w:p>
        </w:tc>
      </w:tr>
      <w:tr>
        <w:trPr>
          <w:trHeight w:val="216"/>
        </w:trPr>
        <w:tc>
          <w:tcPr>
            <w:tcW w:w="2480" w:type="dxa"/>
            <w:vAlign w:val="bottom"/>
            <w:shd w:val="clear" w:color="auto" w:fill="CCEEFF"/>
          </w:tcPr>
          <w:p>
            <w:pPr>
              <w:spacing w:after="0"/>
              <w:rPr>
                <w:sz w:val="18"/>
                <w:szCs w:val="18"/>
                <w:color w:val="auto"/>
              </w:rPr>
            </w:pPr>
          </w:p>
        </w:tc>
        <w:tc>
          <w:tcPr>
            <w:tcW w:w="8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J.P. Morgan Securities LLC</w:t>
            </w:r>
          </w:p>
        </w:tc>
      </w:tr>
      <w:tr>
        <w:trPr>
          <w:trHeight w:val="216"/>
        </w:trPr>
        <w:tc>
          <w:tcPr>
            <w:tcW w:w="2480" w:type="dxa"/>
            <w:vAlign w:val="bottom"/>
            <w:shd w:val="clear" w:color="auto" w:fill="CCEEFF"/>
          </w:tcPr>
          <w:p>
            <w:pPr>
              <w:spacing w:after="0"/>
              <w:rPr>
                <w:sz w:val="18"/>
                <w:szCs w:val="18"/>
                <w:color w:val="auto"/>
              </w:rPr>
            </w:pPr>
          </w:p>
        </w:tc>
        <w:tc>
          <w:tcPr>
            <w:tcW w:w="8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Lloyds Securities Inc.</w:t>
            </w:r>
          </w:p>
        </w:tc>
      </w:tr>
      <w:tr>
        <w:trPr>
          <w:trHeight w:val="216"/>
        </w:trPr>
        <w:tc>
          <w:tcPr>
            <w:tcW w:w="2480" w:type="dxa"/>
            <w:vAlign w:val="bottom"/>
            <w:shd w:val="clear" w:color="auto" w:fill="CCEEFF"/>
          </w:tcPr>
          <w:p>
            <w:pPr>
              <w:spacing w:after="0"/>
              <w:rPr>
                <w:sz w:val="18"/>
                <w:szCs w:val="18"/>
                <w:color w:val="auto"/>
              </w:rPr>
            </w:pPr>
          </w:p>
        </w:tc>
        <w:tc>
          <w:tcPr>
            <w:tcW w:w="8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MUFG Securities Americas Inc.</w:t>
            </w:r>
          </w:p>
        </w:tc>
      </w:tr>
      <w:tr>
        <w:trPr>
          <w:trHeight w:val="216"/>
        </w:trPr>
        <w:tc>
          <w:tcPr>
            <w:tcW w:w="2480" w:type="dxa"/>
            <w:vAlign w:val="bottom"/>
            <w:shd w:val="clear" w:color="auto" w:fill="CCEEFF"/>
          </w:tcPr>
          <w:p>
            <w:pPr>
              <w:spacing w:after="0"/>
              <w:rPr>
                <w:sz w:val="18"/>
                <w:szCs w:val="18"/>
                <w:color w:val="auto"/>
              </w:rPr>
            </w:pPr>
          </w:p>
        </w:tc>
        <w:tc>
          <w:tcPr>
            <w:tcW w:w="8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TD Securities (USA) LLC</w:t>
            </w:r>
          </w:p>
        </w:tc>
      </w:tr>
      <w:tr>
        <w:trPr>
          <w:trHeight w:val="244"/>
        </w:trPr>
        <w:tc>
          <w:tcPr>
            <w:tcW w:w="2480" w:type="dxa"/>
            <w:vAlign w:val="bottom"/>
            <w:shd w:val="clear" w:color="auto" w:fill="CCEEFF"/>
          </w:tcPr>
          <w:p>
            <w:pPr>
              <w:spacing w:after="0"/>
              <w:rPr>
                <w:sz w:val="21"/>
                <w:szCs w:val="21"/>
                <w:color w:val="auto"/>
              </w:rPr>
            </w:pPr>
          </w:p>
        </w:tc>
        <w:tc>
          <w:tcPr>
            <w:tcW w:w="8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Wells Fargo Securities, LLC</w:t>
            </w:r>
          </w:p>
        </w:tc>
      </w:tr>
      <w:tr>
        <w:trPr>
          <w:trHeight w:val="418"/>
        </w:trPr>
        <w:tc>
          <w:tcPr>
            <w:tcW w:w="2480" w:type="dxa"/>
            <w:vAlign w:val="bottom"/>
          </w:tcPr>
          <w:p>
            <w:pPr>
              <w:spacing w:after="0"/>
              <w:rPr>
                <w:sz w:val="20"/>
                <w:szCs w:val="20"/>
                <w:color w:val="auto"/>
              </w:rPr>
            </w:pPr>
            <w:r>
              <w:rPr>
                <w:rFonts w:ascii="Arial" w:cs="Arial" w:eastAsia="Arial" w:hAnsi="Arial"/>
                <w:sz w:val="18"/>
                <w:szCs w:val="18"/>
                <w:color w:val="auto"/>
              </w:rPr>
              <w:t>Co-Managers:</w:t>
            </w:r>
          </w:p>
        </w:tc>
        <w:tc>
          <w:tcPr>
            <w:tcW w:w="8540" w:type="dxa"/>
            <w:vAlign w:val="bottom"/>
          </w:tcPr>
          <w:p>
            <w:pPr>
              <w:ind w:left="200"/>
              <w:spacing w:after="0"/>
              <w:rPr>
                <w:sz w:val="20"/>
                <w:szCs w:val="20"/>
                <w:color w:val="auto"/>
              </w:rPr>
            </w:pPr>
            <w:r>
              <w:rPr>
                <w:rFonts w:ascii="Arial" w:cs="Arial" w:eastAsia="Arial" w:hAnsi="Arial"/>
                <w:sz w:val="18"/>
                <w:szCs w:val="18"/>
                <w:color w:val="auto"/>
              </w:rPr>
              <w:t>Loop Capital Markets LLC</w:t>
            </w:r>
          </w:p>
        </w:tc>
      </w:tr>
      <w:tr>
        <w:trPr>
          <w:trHeight w:val="216"/>
        </w:trPr>
        <w:tc>
          <w:tcPr>
            <w:tcW w:w="248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U.S. Bancorp Investments, Inc.</w:t>
            </w:r>
          </w:p>
        </w:tc>
      </w:tr>
      <w:tr>
        <w:trPr>
          <w:trHeight w:val="216"/>
        </w:trPr>
        <w:tc>
          <w:tcPr>
            <w:tcW w:w="248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Credit Suisse Securities (USA) LLC</w:t>
            </w:r>
          </w:p>
        </w:tc>
      </w:tr>
      <w:tr>
        <w:trPr>
          <w:trHeight w:val="216"/>
        </w:trPr>
        <w:tc>
          <w:tcPr>
            <w:tcW w:w="248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Deutsche Bank Securities Inc.</w:t>
            </w:r>
          </w:p>
        </w:tc>
      </w:tr>
      <w:tr>
        <w:trPr>
          <w:trHeight w:val="216"/>
        </w:trPr>
        <w:tc>
          <w:tcPr>
            <w:tcW w:w="248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Goldman Sachs &amp; Co. LLC</w:t>
            </w:r>
          </w:p>
        </w:tc>
      </w:tr>
      <w:tr>
        <w:trPr>
          <w:trHeight w:val="216"/>
        </w:trPr>
        <w:tc>
          <w:tcPr>
            <w:tcW w:w="248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BNP Paribas Securities Corp.</w:t>
            </w:r>
          </w:p>
        </w:tc>
      </w:tr>
      <w:tr>
        <w:trPr>
          <w:trHeight w:val="216"/>
        </w:trPr>
        <w:tc>
          <w:tcPr>
            <w:tcW w:w="248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Siebert Williams Shank &amp; Co., LLC</w:t>
            </w:r>
          </w:p>
        </w:tc>
      </w:tr>
      <w:tr>
        <w:trPr>
          <w:trHeight w:val="230"/>
        </w:trPr>
        <w:tc>
          <w:tcPr>
            <w:tcW w:w="2480" w:type="dxa"/>
            <w:vAlign w:val="bottom"/>
          </w:tcPr>
          <w:p>
            <w:pPr>
              <w:spacing w:after="0"/>
              <w:rPr>
                <w:sz w:val="20"/>
                <w:szCs w:val="20"/>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Academy Securities, Inc.</w:t>
            </w:r>
          </w:p>
        </w:tc>
      </w:tr>
    </w:tbl>
    <w:p>
      <w:pPr>
        <w:spacing w:after="0" w:line="21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Note: A securities rating is not a recommendation to buy, sell, or hold securities and may be subject to revision or withdrawal at any time.</w:t>
      </w:r>
    </w:p>
    <w:p>
      <w:pPr>
        <w:spacing w:after="0" w:line="252" w:lineRule="exact"/>
        <w:rPr>
          <w:sz w:val="20"/>
          <w:szCs w:val="20"/>
          <w:color w:val="auto"/>
        </w:rPr>
      </w:pPr>
    </w:p>
    <w:p>
      <w:pPr>
        <w:ind w:left="4" w:right="220" w:hanging="4"/>
        <w:spacing w:after="0" w:line="273" w:lineRule="auto"/>
        <w:tabs>
          <w:tab w:leader="none" w:pos="229" w:val="left"/>
        </w:tabs>
        <w:numPr>
          <w:ilvl w:val="0"/>
          <w:numId w:val="1"/>
        </w:numPr>
        <w:rPr>
          <w:rFonts w:ascii="Arial" w:cs="Arial" w:eastAsia="Arial" w:hAnsi="Arial"/>
          <w:sz w:val="17"/>
          <w:szCs w:val="17"/>
          <w:color w:val="auto"/>
        </w:rPr>
      </w:pPr>
      <w:r>
        <w:rPr>
          <w:rFonts w:ascii="Arial" w:cs="Arial" w:eastAsia="Arial" w:hAnsi="Arial"/>
          <w:sz w:val="17"/>
          <w:szCs w:val="17"/>
          <w:color w:val="auto"/>
        </w:rPr>
        <w:t>It is expected that delivery of the notes will be made against payment therefor on or about March 8, 2022, which is the fifth business day following the date hereof (such settlement cycle being referred to as “T+5”). Under Rule 15c6-1 under the Exchange Act of 1934, as amended, trades in the secondary market are generally required to settle in two business days, unless the parties to any such trade expressly agree otherwise. Accordingly, purchasers who wish to trade such notes more than two business days prior to the scheduled settlement date will be required, by virtue of the fact that the notes initially will settle in T+5, to specify an alternative settlement arrangement at the time of any such trade to prevent failed settlement. Purchasers of such notes who wish to trade notes prior to the date of delivery should consult their advisors.</w:t>
      </w:r>
    </w:p>
    <w:p>
      <w:pPr>
        <w:spacing w:after="0" w:line="174" w:lineRule="exact"/>
        <w:rPr>
          <w:sz w:val="20"/>
          <w:szCs w:val="20"/>
          <w:color w:val="auto"/>
        </w:rPr>
      </w:pPr>
    </w:p>
    <w:p>
      <w:pPr>
        <w:ind w:left="4" w:right="40"/>
        <w:spacing w:after="0" w:line="294" w:lineRule="auto"/>
        <w:rPr>
          <w:sz w:val="20"/>
          <w:szCs w:val="20"/>
          <w:color w:val="auto"/>
        </w:rPr>
      </w:pPr>
      <w:r>
        <w:rPr>
          <w:rFonts w:ascii="Arial" w:cs="Arial" w:eastAsia="Arial" w:hAnsi="Arial"/>
          <w:sz w:val="16"/>
          <w:szCs w:val="16"/>
          <w:b w:val="1"/>
          <w:bCs w:val="1"/>
          <w:color w:val="auto"/>
        </w:rPr>
        <w:t xml:space="preserve">The issuer has filed a registration statement (including a prospectus) with the Securities and Exchange Commission for the offering to which this communication relates. Before you invest, you should read the prospectus in that registration statement and other documents the issuer has filed with the Securities and Exchange Commission for more complete information about the issuer and this offering. You may get these documents for free by visiting EDGAR on the Securities and Exchange Commission’s website at </w:t>
      </w:r>
      <w:r>
        <w:rPr>
          <w:rFonts w:ascii="Arial" w:cs="Arial" w:eastAsia="Arial" w:hAnsi="Arial"/>
          <w:sz w:val="16"/>
          <w:szCs w:val="16"/>
          <w:b w:val="1"/>
          <w:bCs w:val="1"/>
          <w:u w:val="single" w:color="auto"/>
          <w:color w:val="auto"/>
        </w:rPr>
        <w:t>www.sec.gov</w:t>
      </w:r>
      <w:r>
        <w:rPr>
          <w:rFonts w:ascii="Arial" w:cs="Arial" w:eastAsia="Arial" w:hAnsi="Arial"/>
          <w:sz w:val="16"/>
          <w:szCs w:val="16"/>
          <w:b w:val="1"/>
          <w:bCs w:val="1"/>
          <w:color w:val="auto"/>
        </w:rPr>
        <w:t>. Alternatively, the issuer or any underwriter participating in this offering can arrange to send you the prospectus supplement and accompanying prospectus if you request it by calling Barclays Capital Inc. toll free at 1-888-603-5847 or by calling BofA Securities, Inc. toll free at 1-800-294-1322.</w:t>
      </w:r>
    </w:p>
    <w:sectPr>
      <w:pgSz w:w="11900" w:h="16838" w:orient="portrait"/>
      <w:cols w:equalWidth="0" w:num="1">
        <w:col w:w="11024"/>
      </w:cols>
      <w:pgMar w:left="436" w:top="28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2022-03-01T16:23:25Z</dcterms:created>
  <dcterms:modified xsi:type="dcterms:W3CDTF">2022-03-01T16:23:25Z</dcterms:modified>
</cp:coreProperties>
</file>