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4"/>
          <w:szCs w:val="24"/>
          <w:color w:val="auto"/>
        </w:rPr>
      </w:pPr>
    </w:p>
    <w:p>
      <w:pPr>
        <w:spacing w:after="0" w:line="363"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UNITED STATES</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3820"/>
        <w:spacing w:after="0"/>
        <w:rPr>
          <w:sz w:val="20"/>
          <w:szCs w:val="20"/>
          <w:color w:val="auto"/>
        </w:rPr>
      </w:pPr>
      <w:r>
        <w:rPr>
          <w:rFonts w:ascii="Arial" w:cs="Arial" w:eastAsia="Arial" w:hAnsi="Arial"/>
          <w:sz w:val="13"/>
          <w:szCs w:val="13"/>
          <w:color w:val="auto"/>
        </w:rPr>
        <w:t>_________________________________________________________</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32"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_________________________________________________________</w:t>
      </w:r>
    </w:p>
    <w:p>
      <w:pPr>
        <w:spacing w:after="0" w:line="7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46" w:lineRule="exact"/>
        <w:rPr>
          <w:sz w:val="24"/>
          <w:szCs w:val="24"/>
          <w:color w:val="auto"/>
        </w:rPr>
      </w:pPr>
    </w:p>
    <w:p>
      <w:pPr>
        <w:ind w:left="620" w:hanging="40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2020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31" w:lineRule="exact"/>
        <w:rPr>
          <w:sz w:val="24"/>
          <w:szCs w:val="24"/>
          <w:color w:val="auto"/>
        </w:rPr>
      </w:pPr>
    </w:p>
    <w:p>
      <w:pPr>
        <w:ind w:left="620" w:hanging="403"/>
        <w:spacing w:after="0"/>
        <w:tabs>
          <w:tab w:leader="none" w:pos="6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31" w:lineRule="exact"/>
        <w:rPr>
          <w:sz w:val="24"/>
          <w:szCs w:val="24"/>
          <w:color w:val="auto"/>
        </w:rPr>
      </w:pPr>
    </w:p>
    <w:p>
      <w:pPr>
        <w:ind w:left="366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001-31553</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CME GROUP INC.</w:t>
      </w:r>
    </w:p>
    <w:p>
      <w:pPr>
        <w:spacing w:after="0" w:line="7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50" w:lineRule="exact"/>
        <w:rPr>
          <w:sz w:val="24"/>
          <w:szCs w:val="24"/>
          <w:color w:val="auto"/>
        </w:rPr>
      </w:pPr>
    </w:p>
    <w:p>
      <w:pPr>
        <w:ind w:left="1720"/>
        <w:spacing w:after="0"/>
        <w:tabs>
          <w:tab w:leader="none" w:pos="798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36-4459170</w:t>
      </w:r>
    </w:p>
    <w:p>
      <w:pPr>
        <w:spacing w:after="0" w:line="8" w:lineRule="exact"/>
        <w:rPr>
          <w:sz w:val="24"/>
          <w:szCs w:val="24"/>
          <w:color w:val="auto"/>
        </w:rPr>
      </w:pPr>
    </w:p>
    <w:p>
      <w:pPr>
        <w:ind w:left="1180"/>
        <w:spacing w:after="0"/>
        <w:tabs>
          <w:tab w:leader="none" w:pos="7900" w:val="left"/>
        </w:tabs>
        <w:rPr>
          <w:sz w:val="20"/>
          <w:szCs w:val="20"/>
          <w:color w:val="auto"/>
        </w:rPr>
      </w:pPr>
      <w:r>
        <w:rPr>
          <w:rFonts w:ascii="Arial" w:cs="Arial" w:eastAsia="Arial" w:hAnsi="Arial"/>
          <w:sz w:val="14"/>
          <w:szCs w:val="14"/>
          <w:b w:val="1"/>
          <w:bCs w:val="1"/>
          <w:color w:val="auto"/>
        </w:rPr>
        <w:t>(State or other jurisdiction of</w:t>
      </w:r>
      <w:r>
        <w:rPr>
          <w:sz w:val="20"/>
          <w:szCs w:val="20"/>
          <w:color w:val="auto"/>
        </w:rPr>
        <w:tab/>
      </w:r>
      <w:r>
        <w:rPr>
          <w:rFonts w:ascii="Arial" w:cs="Arial" w:eastAsia="Arial" w:hAnsi="Arial"/>
          <w:sz w:val="13"/>
          <w:szCs w:val="13"/>
          <w:b w:val="1"/>
          <w:bCs w:val="1"/>
          <w:color w:val="auto"/>
        </w:rPr>
        <w:t>(I.R.S. Employer</w:t>
      </w:r>
    </w:p>
    <w:p>
      <w:pPr>
        <w:ind w:left="1140"/>
        <w:spacing w:after="0"/>
        <w:tabs>
          <w:tab w:leader="none" w:pos="7860" w:val="left"/>
        </w:tabs>
        <w:rPr>
          <w:sz w:val="20"/>
          <w:szCs w:val="20"/>
          <w:color w:val="auto"/>
        </w:rPr>
      </w:pPr>
      <w:r>
        <w:rPr>
          <w:rFonts w:ascii="Arial" w:cs="Arial" w:eastAsia="Arial" w:hAnsi="Arial"/>
          <w:sz w:val="14"/>
          <w:szCs w:val="14"/>
          <w:b w:val="1"/>
          <w:bCs w:val="1"/>
          <w:color w:val="auto"/>
        </w:rPr>
        <w:t>incorporation or organization)</w:t>
      </w:r>
      <w:r>
        <w:rPr>
          <w:sz w:val="20"/>
          <w:szCs w:val="20"/>
          <w:color w:val="auto"/>
        </w:rPr>
        <w:tab/>
      </w:r>
      <w:r>
        <w:rPr>
          <w:rFonts w:ascii="Arial" w:cs="Arial" w:eastAsia="Arial" w:hAnsi="Arial"/>
          <w:sz w:val="13"/>
          <w:szCs w:val="13"/>
          <w:b w:val="1"/>
          <w:bCs w:val="1"/>
          <w:color w:val="auto"/>
        </w:rPr>
        <w:t>Identification No.)</w:t>
      </w:r>
    </w:p>
    <w:p>
      <w:pPr>
        <w:spacing w:after="0" w:line="70" w:lineRule="exact"/>
        <w:rPr>
          <w:sz w:val="24"/>
          <w:szCs w:val="24"/>
          <w:color w:val="auto"/>
        </w:rPr>
      </w:pPr>
    </w:p>
    <w:p>
      <w:pPr>
        <w:ind w:left="1180"/>
        <w:spacing w:after="0"/>
        <w:tabs>
          <w:tab w:leader="none" w:pos="4140" w:val="left"/>
          <w:tab w:leader="none" w:pos="5180" w:val="left"/>
          <w:tab w:leader="none" w:pos="8200" w:val="left"/>
        </w:tabs>
        <w:rPr>
          <w:sz w:val="20"/>
          <w:szCs w:val="20"/>
          <w:color w:val="auto"/>
        </w:rPr>
      </w:pPr>
      <w:r>
        <w:rPr>
          <w:rFonts w:ascii="Arial" w:cs="Arial" w:eastAsia="Arial" w:hAnsi="Arial"/>
          <w:sz w:val="18"/>
          <w:szCs w:val="18"/>
          <w:b w:val="1"/>
          <w:bCs w:val="1"/>
          <w:color w:val="auto"/>
        </w:rPr>
        <w:t>20 South Wacker Drive</w:t>
      </w:r>
      <w:r>
        <w:rPr>
          <w:sz w:val="20"/>
          <w:szCs w:val="20"/>
          <w:color w:val="auto"/>
        </w:rPr>
        <w:tab/>
      </w:r>
      <w:r>
        <w:rPr>
          <w:rFonts w:ascii="Arial" w:cs="Arial" w:eastAsia="Arial" w:hAnsi="Arial"/>
          <w:sz w:val="18"/>
          <w:szCs w:val="18"/>
          <w:b w:val="1"/>
          <w:bCs w:val="1"/>
          <w:color w:val="auto"/>
        </w:rPr>
        <w:t>Chicago</w:t>
      </w:r>
      <w:r>
        <w:rPr>
          <w:sz w:val="20"/>
          <w:szCs w:val="20"/>
          <w:color w:val="auto"/>
        </w:rPr>
        <w:tab/>
      </w:r>
      <w:r>
        <w:rPr>
          <w:rFonts w:ascii="Arial" w:cs="Arial" w:eastAsia="Arial" w:hAnsi="Arial"/>
          <w:sz w:val="18"/>
          <w:szCs w:val="18"/>
          <w:b w:val="1"/>
          <w:bCs w:val="1"/>
          <w:color w:val="auto"/>
        </w:rPr>
        <w:t>Illinois</w:t>
      </w:r>
      <w:r>
        <w:rPr>
          <w:sz w:val="20"/>
          <w:szCs w:val="20"/>
          <w:color w:val="auto"/>
        </w:rPr>
        <w:tab/>
      </w:r>
      <w:r>
        <w:rPr>
          <w:rFonts w:ascii="Arial" w:cs="Arial" w:eastAsia="Arial" w:hAnsi="Arial"/>
          <w:sz w:val="15"/>
          <w:szCs w:val="15"/>
          <w:b w:val="1"/>
          <w:bCs w:val="1"/>
          <w:color w:val="auto"/>
        </w:rPr>
        <w:t>60606</w:t>
      </w:r>
    </w:p>
    <w:p>
      <w:pPr>
        <w:spacing w:after="0" w:line="27" w:lineRule="exact"/>
        <w:rPr>
          <w:sz w:val="24"/>
          <w:szCs w:val="24"/>
          <w:color w:val="auto"/>
        </w:rPr>
      </w:pPr>
    </w:p>
    <w:p>
      <w:pPr>
        <w:ind w:left="1860"/>
        <w:spacing w:after="0"/>
        <w:tabs>
          <w:tab w:leader="none" w:pos="8080" w:val="left"/>
        </w:tabs>
        <w:rPr>
          <w:sz w:val="20"/>
          <w:szCs w:val="20"/>
          <w:color w:val="auto"/>
        </w:rPr>
      </w:pPr>
      <w:r>
        <w:rPr>
          <w:rFonts w:ascii="Arial" w:cs="Arial" w:eastAsia="Arial" w:hAnsi="Arial"/>
          <w:sz w:val="14"/>
          <w:szCs w:val="14"/>
          <w:b w:val="1"/>
          <w:bCs w:val="1"/>
          <w:color w:val="auto"/>
        </w:rPr>
        <w:t>(Address of principal executive offices)</w:t>
      </w:r>
      <w:r>
        <w:rPr>
          <w:sz w:val="20"/>
          <w:szCs w:val="20"/>
          <w:color w:val="auto"/>
        </w:rPr>
        <w:tab/>
      </w:r>
      <w:r>
        <w:rPr>
          <w:rFonts w:ascii="Arial" w:cs="Arial" w:eastAsia="Arial" w:hAnsi="Arial"/>
          <w:sz w:val="13"/>
          <w:szCs w:val="13"/>
          <w:b w:val="1"/>
          <w:bCs w:val="1"/>
          <w:color w:val="auto"/>
        </w:rPr>
        <w:t>(Zip Code)</w:t>
      </w:r>
    </w:p>
    <w:p>
      <w:pPr>
        <w:spacing w:after="0" w:line="1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(312) 930-1000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5" w:lineRule="exact"/>
        <w:rPr>
          <w:sz w:val="24"/>
          <w:szCs w:val="24"/>
          <w:color w:val="auto"/>
        </w:rPr>
      </w:pPr>
    </w:p>
    <w:p>
      <w:pPr>
        <w:ind w:left="3080"/>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84" w:lineRule="exact"/>
        <w:rPr>
          <w:sz w:val="24"/>
          <w:szCs w:val="24"/>
          <w:color w:val="auto"/>
        </w:rPr>
      </w:pPr>
    </w:p>
    <w:tbl>
      <w:tblPr>
        <w:tblLayout w:type="fixed"/>
        <w:tblInd w:w="800" w:type="dxa"/>
        <w:tblCellMar>
          <w:top w:w="0" w:type="dxa"/>
          <w:left w:w="0" w:type="dxa"/>
          <w:bottom w:w="0" w:type="dxa"/>
          <w:right w:w="0" w:type="dxa"/>
        </w:tblCellMar>
      </w:tblPr>
      <w:tr>
        <w:trPr>
          <w:trHeight w:val="207"/>
        </w:trPr>
        <w:tc>
          <w:tcPr>
            <w:tcW w:w="2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Title of each class</w:t>
            </w: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Trading symbol</w:t>
            </w: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0" w:type="dxa"/>
            <w:vAlign w:val="bottom"/>
            <w:gridSpan w:val="2"/>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2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20" w:type="dxa"/>
            <w:vAlign w:val="bottom"/>
            <w:gridSpan w:val="3"/>
          </w:tcPr>
          <w:p>
            <w:pPr>
              <w:jc w:val="center"/>
              <w:ind w:right="680"/>
              <w:spacing w:after="0"/>
              <w:rPr>
                <w:sz w:val="20"/>
                <w:szCs w:val="20"/>
                <w:color w:val="auto"/>
              </w:rPr>
            </w:pPr>
            <w:r>
              <w:rPr>
                <w:rFonts w:ascii="Arial" w:cs="Arial" w:eastAsia="Arial" w:hAnsi="Arial"/>
                <w:sz w:val="18"/>
                <w:szCs w:val="18"/>
                <w:color w:val="auto"/>
                <w:w w:val="91"/>
              </w:rPr>
              <w:t>Class A Common Stock</w:t>
            </w:r>
          </w:p>
        </w:tc>
        <w:tc>
          <w:tcPr>
            <w:tcW w:w="680" w:type="dxa"/>
            <w:vAlign w:val="bottom"/>
          </w:tcPr>
          <w:p>
            <w:pPr>
              <w:spacing w:after="0"/>
              <w:rPr>
                <w:sz w:val="21"/>
                <w:szCs w:val="21"/>
                <w:color w:val="auto"/>
              </w:rPr>
            </w:pPr>
          </w:p>
        </w:tc>
        <w:tc>
          <w:tcPr>
            <w:tcW w:w="1680" w:type="dxa"/>
            <w:vAlign w:val="bottom"/>
            <w:gridSpan w:val="2"/>
          </w:tcPr>
          <w:p>
            <w:pPr>
              <w:jc w:val="center"/>
              <w:ind w:right="540"/>
              <w:spacing w:after="0"/>
              <w:rPr>
                <w:sz w:val="20"/>
                <w:szCs w:val="20"/>
                <w:color w:val="auto"/>
              </w:rPr>
            </w:pPr>
            <w:r>
              <w:rPr>
                <w:rFonts w:ascii="Arial" w:cs="Arial" w:eastAsia="Arial" w:hAnsi="Arial"/>
                <w:sz w:val="18"/>
                <w:szCs w:val="18"/>
                <w:color w:val="auto"/>
                <w:w w:val="94"/>
              </w:rPr>
              <w:t>CME</w:t>
            </w:r>
          </w:p>
        </w:tc>
        <w:tc>
          <w:tcPr>
            <w:tcW w:w="540" w:type="dxa"/>
            <w:vAlign w:val="bottom"/>
          </w:tcPr>
          <w:p>
            <w:pPr>
              <w:spacing w:after="0"/>
              <w:rPr>
                <w:sz w:val="21"/>
                <w:szCs w:val="21"/>
                <w:color w:val="auto"/>
              </w:rPr>
            </w:pPr>
          </w:p>
        </w:tc>
        <w:tc>
          <w:tcPr>
            <w:tcW w:w="3200" w:type="dxa"/>
            <w:vAlign w:val="bottom"/>
            <w:gridSpan w:val="2"/>
          </w:tcPr>
          <w:p>
            <w:pPr>
              <w:jc w:val="center"/>
              <w:ind w:right="20"/>
              <w:spacing w:after="0"/>
              <w:rPr>
                <w:sz w:val="20"/>
                <w:szCs w:val="20"/>
                <w:color w:val="auto"/>
              </w:rPr>
            </w:pPr>
            <w:r>
              <w:rPr>
                <w:rFonts w:ascii="Arial" w:cs="Arial" w:eastAsia="Arial" w:hAnsi="Arial"/>
                <w:sz w:val="18"/>
                <w:szCs w:val="18"/>
                <w:color w:val="auto"/>
                <w:w w:val="86"/>
              </w:rPr>
              <w:t>Nasdaq</w:t>
            </w:r>
          </w:p>
        </w:tc>
      </w:tr>
    </w:tbl>
    <w:p>
      <w:pPr>
        <w:spacing w:after="0" w:line="148" w:lineRule="exact"/>
        <w:rPr>
          <w:sz w:val="24"/>
          <w:szCs w:val="24"/>
          <w:color w:val="auto"/>
        </w:rPr>
      </w:pPr>
    </w:p>
    <w:p>
      <w:pPr>
        <w:ind w:right="120" w:firstLine="180"/>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07" w:lineRule="exact"/>
        <w:tabs>
          <w:tab w:leader="none" w:pos="2960" w:val="left"/>
          <w:tab w:leader="none" w:pos="3660" w:val="left"/>
        </w:tabs>
        <w:rPr>
          <w:sz w:val="20"/>
          <w:szCs w:val="20"/>
          <w:color w:val="auto"/>
        </w:rPr>
      </w:pPr>
      <w:r>
        <w:rPr>
          <w:rFonts w:ascii="Arial" w:cs="Arial" w:eastAsia="Arial" w:hAnsi="Arial"/>
          <w:sz w:val="18"/>
          <w:szCs w:val="18"/>
          <w:color w:val="auto"/>
        </w:rPr>
        <w:t>requirements for the past 90 days.</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54" w:lineRule="exact"/>
        <w:rPr>
          <w:sz w:val="24"/>
          <w:szCs w:val="24"/>
          <w:color w:val="auto"/>
        </w:rPr>
      </w:pPr>
    </w:p>
    <w:p>
      <w:pPr>
        <w:ind w:right="180" w:firstLine="180"/>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1" w:lineRule="exact"/>
        <w:rPr>
          <w:sz w:val="24"/>
          <w:szCs w:val="24"/>
          <w:color w:val="auto"/>
        </w:rPr>
      </w:pPr>
    </w:p>
    <w:p>
      <w:pPr>
        <w:spacing w:after="0" w:line="207" w:lineRule="exact"/>
        <w:tabs>
          <w:tab w:leader="none" w:pos="1440" w:val="left"/>
          <w:tab w:leader="none" w:pos="2120" w:val="left"/>
        </w:tabs>
        <w:rPr>
          <w:sz w:val="20"/>
          <w:szCs w:val="20"/>
          <w:color w:val="auto"/>
        </w:rPr>
      </w:pPr>
      <w:r>
        <w:rPr>
          <w:rFonts w:ascii="Arial" w:cs="Arial" w:eastAsia="Arial" w:hAnsi="Arial"/>
          <w:sz w:val="18"/>
          <w:szCs w:val="18"/>
          <w:color w:val="auto"/>
        </w:rPr>
        <w:t>files).</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54" w:lineRule="exact"/>
        <w:rPr>
          <w:sz w:val="24"/>
          <w:szCs w:val="24"/>
          <w:color w:val="auto"/>
        </w:rPr>
      </w:pPr>
    </w:p>
    <w:p>
      <w:pPr>
        <w:ind w:right="140" w:firstLine="18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7" w:lineRule="exact"/>
        <w:rPr>
          <w:sz w:val="24"/>
          <w:szCs w:val="24"/>
          <w:color w:val="auto"/>
        </w:rPr>
      </w:pPr>
    </w:p>
    <w:tbl>
      <w:tblPr>
        <w:tblLayout w:type="fixed"/>
        <w:tblInd w:w="20" w:type="dxa"/>
        <w:tblCellMar>
          <w:top w:w="0" w:type="dxa"/>
          <w:left w:w="0" w:type="dxa"/>
          <w:bottom w:w="0" w:type="dxa"/>
          <w:right w:w="0" w:type="dxa"/>
        </w:tblCellMar>
      </w:tblPr>
      <w:tr>
        <w:trPr>
          <w:trHeight w:val="229"/>
        </w:trPr>
        <w:tc>
          <w:tcPr>
            <w:tcW w:w="2040" w:type="dxa"/>
            <w:vAlign w:val="bottom"/>
          </w:tcPr>
          <w:p>
            <w:pPr>
              <w:jc w:val="center"/>
              <w:ind w:right="499"/>
              <w:spacing w:after="0"/>
              <w:rPr>
                <w:sz w:val="20"/>
                <w:szCs w:val="20"/>
                <w:color w:val="auto"/>
              </w:rPr>
            </w:pPr>
            <w:r>
              <w:rPr>
                <w:rFonts w:ascii="Arial" w:cs="Arial" w:eastAsia="Arial" w:hAnsi="Arial"/>
                <w:sz w:val="16"/>
                <w:szCs w:val="16"/>
                <w:color w:val="auto"/>
                <w:w w:val="92"/>
              </w:rPr>
              <w:t>Large accelerated filer</w:t>
            </w:r>
          </w:p>
        </w:tc>
        <w:tc>
          <w:tcPr>
            <w:tcW w:w="2900" w:type="dxa"/>
            <w:vAlign w:val="bottom"/>
          </w:tcPr>
          <w:p>
            <w:pPr>
              <w:ind w:left="64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ind w:left="2120"/>
              <w:spacing w:after="0"/>
              <w:rPr>
                <w:sz w:val="20"/>
                <w:szCs w:val="20"/>
                <w:color w:val="auto"/>
              </w:rPr>
            </w:pPr>
            <w:r>
              <w:rPr>
                <w:rFonts w:ascii="Arial" w:cs="Arial" w:eastAsia="Arial" w:hAnsi="Arial"/>
                <w:sz w:val="16"/>
                <w:szCs w:val="16"/>
                <w:color w:val="auto"/>
              </w:rPr>
              <w:t>Accelerated filer</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30"/>
        </w:trPr>
        <w:tc>
          <w:tcPr>
            <w:tcW w:w="2040" w:type="dxa"/>
            <w:vAlign w:val="bottom"/>
          </w:tcPr>
          <w:p>
            <w:pPr>
              <w:jc w:val="center"/>
              <w:ind w:right="499"/>
              <w:spacing w:after="0"/>
              <w:rPr>
                <w:sz w:val="20"/>
                <w:szCs w:val="20"/>
                <w:color w:val="auto"/>
              </w:rPr>
            </w:pPr>
            <w:r>
              <w:rPr>
                <w:rFonts w:ascii="Arial" w:cs="Arial" w:eastAsia="Arial" w:hAnsi="Arial"/>
                <w:sz w:val="16"/>
                <w:szCs w:val="16"/>
                <w:color w:val="auto"/>
                <w:w w:val="93"/>
              </w:rPr>
              <w:t>Non-accelerated filer</w:t>
            </w:r>
          </w:p>
        </w:tc>
        <w:tc>
          <w:tcPr>
            <w:tcW w:w="2900" w:type="dxa"/>
            <w:vAlign w:val="bottom"/>
          </w:tcPr>
          <w:p>
            <w:pPr>
              <w:ind w:left="60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ind w:left="2120"/>
              <w:spacing w:after="0"/>
              <w:rPr>
                <w:sz w:val="20"/>
                <w:szCs w:val="20"/>
                <w:color w:val="auto"/>
              </w:rPr>
            </w:pPr>
            <w:r>
              <w:rPr>
                <w:rFonts w:ascii="Arial" w:cs="Arial" w:eastAsia="Arial" w:hAnsi="Arial"/>
                <w:sz w:val="16"/>
                <w:szCs w:val="16"/>
                <w:color w:val="auto"/>
              </w:rPr>
              <w:t>Smaller reporting company</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4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4580" w:type="dxa"/>
            <w:vAlign w:val="bottom"/>
          </w:tcPr>
          <w:p>
            <w:pPr>
              <w:ind w:left="2120"/>
              <w:spacing w:after="0"/>
              <w:rPr>
                <w:sz w:val="20"/>
                <w:szCs w:val="20"/>
                <w:color w:val="auto"/>
              </w:rPr>
            </w:pPr>
            <w:r>
              <w:rPr>
                <w:rFonts w:ascii="Arial" w:cs="Arial" w:eastAsia="Arial" w:hAnsi="Arial"/>
                <w:sz w:val="16"/>
                <w:szCs w:val="16"/>
                <w:color w:val="auto"/>
              </w:rPr>
              <w:t>Emerging growth company</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49" w:lineRule="exact"/>
        <w:rPr>
          <w:sz w:val="24"/>
          <w:szCs w:val="24"/>
          <w:color w:val="auto"/>
        </w:rPr>
      </w:pPr>
    </w:p>
    <w:p>
      <w:pPr>
        <w:ind w:firstLine="162"/>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4" w:lineRule="exact"/>
        <w:rPr>
          <w:sz w:val="24"/>
          <w:szCs w:val="24"/>
          <w:color w:val="auto"/>
        </w:rPr>
      </w:pPr>
    </w:p>
    <w:p>
      <w:pPr>
        <w:ind w:left="18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30" w:lineRule="exact"/>
        <w:rPr>
          <w:sz w:val="24"/>
          <w:szCs w:val="24"/>
          <w:color w:val="auto"/>
        </w:rPr>
      </w:pPr>
    </w:p>
    <w:p>
      <w:pPr>
        <w:ind w:left="2220"/>
        <w:spacing w:after="0" w:line="207" w:lineRule="exact"/>
        <w:tabs>
          <w:tab w:leader="none" w:pos="29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58" w:lineRule="exact"/>
        <w:rPr>
          <w:sz w:val="24"/>
          <w:szCs w:val="24"/>
          <w:color w:val="auto"/>
        </w:rPr>
      </w:pPr>
    </w:p>
    <w:p>
      <w:pPr>
        <w:spacing w:after="0"/>
        <w:rPr>
          <w:sz w:val="20"/>
          <w:szCs w:val="20"/>
          <w:color w:val="auto"/>
        </w:rPr>
      </w:pPr>
      <w:r>
        <w:rPr>
          <w:rFonts w:ascii="Arial" w:cs="Arial" w:eastAsia="Arial" w:hAnsi="Arial"/>
          <w:sz w:val="17"/>
          <w:szCs w:val="17"/>
          <w:color w:val="auto"/>
        </w:rPr>
        <w:t>The number of shares outstanding of each of the registrant’s classes of common stock as of October 14, 2020 was as follows: 358,987,459 shares of</w:t>
      </w:r>
    </w:p>
    <w:p>
      <w:pPr>
        <w:spacing w:after="0" w:line="19" w:lineRule="exact"/>
        <w:rPr>
          <w:sz w:val="24"/>
          <w:szCs w:val="24"/>
          <w:color w:val="auto"/>
        </w:rPr>
      </w:pPr>
    </w:p>
    <w:p>
      <w:pPr>
        <w:ind w:right="100"/>
        <w:spacing w:after="0" w:line="260" w:lineRule="auto"/>
        <w:rPr>
          <w:sz w:val="20"/>
          <w:szCs w:val="20"/>
          <w:color w:val="auto"/>
        </w:rPr>
      </w:pPr>
      <w:r>
        <w:rPr>
          <w:rFonts w:ascii="Arial" w:cs="Arial" w:eastAsia="Arial" w:hAnsi="Arial"/>
          <w:sz w:val="18"/>
          <w:szCs w:val="18"/>
          <w:color w:val="auto"/>
        </w:rPr>
        <w:t>Class A common stock, $0.01 par value; 625 shares of Class B-1 common stock, $0.01 par value; 813 shares of Class B-2 common stock, $0.01 par value; 1,287 shares of Class B-3 common stock, $0.01 par value; and 413 shares of Class B-4 common stock, $0.01 par value.</w:t>
      </w:r>
    </w:p>
    <w:p>
      <w:pPr>
        <w:sectPr>
          <w:pgSz w:w="11900" w:h="16838" w:orient="portrait"/>
          <w:cols w:equalWidth="0" w:num="1">
            <w:col w:w="11240"/>
          </w:cols>
          <w:pgMar w:left="320" w:top="233" w:right="339" w:bottom="1440" w:gutter="0" w:footer="0" w:header="0"/>
        </w:sectPr>
      </w:pPr>
    </w:p>
    <w:p>
      <w:pPr>
        <w:spacing w:after="0" w:line="200" w:lineRule="exact"/>
        <w:rPr>
          <w:sz w:val="24"/>
          <w:szCs w:val="24"/>
          <w:color w:val="auto"/>
        </w:rPr>
      </w:pPr>
    </w:p>
    <w:p>
      <w:pPr>
        <w:spacing w:after="0" w:line="323"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CME GROUP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00" w:type="dxa"/>
            <w:vAlign w:val="bottom"/>
            <w:gridSpan w:val="2"/>
          </w:tcPr>
          <w:p>
            <w:pPr>
              <w:ind w:left="1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486"/>
        </w:trPr>
        <w:tc>
          <w:tcPr>
            <w:tcW w:w="10540" w:type="dxa"/>
            <w:vAlign w:val="bottom"/>
            <w:gridSpan w:val="8"/>
          </w:tcPr>
          <w:p>
            <w:pPr>
              <w:ind w:left="20"/>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PART I. FINANCIAL INFORMATION</w:t>
              </w:r>
            </w:hyperlink>
          </w:p>
        </w:tc>
        <w:tc>
          <w:tcPr>
            <w:tcW w:w="660" w:type="dxa"/>
            <w:vAlign w:val="bottom"/>
            <w:tcBorders>
              <w:top w:val="single" w:sz="8" w:color="auto"/>
            </w:tcBorders>
          </w:tcPr>
          <w:p>
            <w:pPr>
              <w:jc w:val="right"/>
              <w:spacing w:after="0"/>
              <w:rPr>
                <w:rFonts w:ascii="Arial" w:cs="Arial" w:eastAsia="Arial" w:hAnsi="Arial"/>
                <w:sz w:val="18"/>
                <w:szCs w:val="18"/>
                <w:color w:val="auto"/>
              </w:rPr>
            </w:pPr>
            <w:hyperlink w:anchor="page2">
              <w:r>
                <w:rPr>
                  <w:rFonts w:ascii="Arial" w:cs="Arial" w:eastAsia="Arial" w:hAnsi="Arial"/>
                  <w:sz w:val="18"/>
                  <w:szCs w:val="18"/>
                  <w:color w:val="auto"/>
                </w:rPr>
                <w:t>3</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960" w:type="dxa"/>
            <w:vAlign w:val="bottom"/>
          </w:tcPr>
          <w:p>
            <w:pPr>
              <w:ind w:left="20"/>
              <w:spacing w:after="0"/>
              <w:rPr>
                <w:sz w:val="20"/>
                <w:szCs w:val="20"/>
                <w:color w:val="auto"/>
              </w:rPr>
            </w:pPr>
            <w:r>
              <w:rPr>
                <w:rFonts w:ascii="Arial" w:cs="Arial" w:eastAsia="Arial" w:hAnsi="Arial"/>
                <w:sz w:val="16"/>
                <w:szCs w:val="16"/>
                <w:b w:val="1"/>
                <w:bCs w:val="1"/>
                <w:color w:val="auto"/>
              </w:rPr>
              <w:t>Item 1.</w:t>
            </w:r>
          </w:p>
        </w:tc>
        <w:tc>
          <w:tcPr>
            <w:tcW w:w="9580" w:type="dxa"/>
            <w:vAlign w:val="bottom"/>
            <w:gridSpan w:val="7"/>
          </w:tcPr>
          <w:p>
            <w:pPr>
              <w:spacing w:after="0"/>
              <w:rPr>
                <w:rFonts w:ascii="Arial" w:cs="Arial" w:eastAsia="Arial" w:hAnsi="Arial"/>
                <w:sz w:val="16"/>
                <w:szCs w:val="16"/>
                <w:b w:val="1"/>
                <w:bCs w:val="1"/>
                <w:u w:val="single" w:color="auto"/>
                <w:color w:val="0000FF"/>
              </w:rPr>
            </w:pPr>
            <w:hyperlink w:anchor="page4">
              <w:r>
                <w:rPr>
                  <w:rFonts w:ascii="Arial" w:cs="Arial" w:eastAsia="Arial" w:hAnsi="Arial"/>
                  <w:sz w:val="16"/>
                  <w:szCs w:val="16"/>
                  <w:b w:val="1"/>
                  <w:bCs w:val="1"/>
                  <w:u w:val="single" w:color="auto"/>
                  <w:color w:val="0000FF"/>
                </w:rPr>
                <w:t>Financial Statements</w:t>
              </w:r>
            </w:hyperlink>
          </w:p>
        </w:tc>
        <w:tc>
          <w:tcPr>
            <w:tcW w:w="66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5</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960" w:type="dxa"/>
            <w:vAlign w:val="bottom"/>
          </w:tcPr>
          <w:p>
            <w:pPr>
              <w:spacing w:after="0"/>
              <w:rPr>
                <w:sz w:val="24"/>
                <w:szCs w:val="24"/>
                <w:color w:val="auto"/>
              </w:rPr>
            </w:pPr>
          </w:p>
        </w:tc>
        <w:tc>
          <w:tcPr>
            <w:tcW w:w="9580" w:type="dxa"/>
            <w:vAlign w:val="bottom"/>
            <w:gridSpan w:val="7"/>
          </w:tcPr>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Consolidated Balance Sheets at September 30, 2020 and December 31, 2019</w:t>
              </w:r>
            </w:hyperlink>
          </w:p>
        </w:tc>
        <w:tc>
          <w:tcPr>
            <w:tcW w:w="66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60" w:type="dxa"/>
            <w:vAlign w:val="bottom"/>
          </w:tcPr>
          <w:p>
            <w:pPr>
              <w:spacing w:after="0"/>
              <w:rPr>
                <w:sz w:val="21"/>
                <w:szCs w:val="21"/>
                <w:color w:val="auto"/>
              </w:rPr>
            </w:pPr>
          </w:p>
        </w:tc>
        <w:tc>
          <w:tcPr>
            <w:tcW w:w="9580" w:type="dxa"/>
            <w:vAlign w:val="bottom"/>
            <w:gridSpan w:val="7"/>
          </w:tcPr>
          <w:p>
            <w:pPr>
              <w:spacing w:after="0"/>
              <w:rPr>
                <w:rFonts w:ascii="Arial" w:cs="Arial" w:eastAsia="Arial" w:hAnsi="Arial"/>
                <w:sz w:val="16"/>
                <w:szCs w:val="16"/>
                <w:color w:val="0000FF"/>
              </w:rPr>
            </w:pPr>
            <w:hyperlink w:anchor="page5">
              <w:r>
                <w:rPr>
                  <w:rFonts w:ascii="Arial" w:cs="Arial" w:eastAsia="Arial" w:hAnsi="Arial"/>
                  <w:sz w:val="16"/>
                  <w:szCs w:val="16"/>
                  <w:u w:val="single" w:color="auto"/>
                  <w:color w:val="0000FF"/>
                </w:rPr>
                <w:t>Consolidated Statements of Income for the Quarters and</w:t>
              </w:r>
              <w:r>
                <w:rPr>
                  <w:rFonts w:ascii="Arial" w:cs="Arial" w:eastAsia="Arial" w:hAnsi="Arial"/>
                  <w:sz w:val="16"/>
                  <w:szCs w:val="16"/>
                  <w:color w:val="0000FF"/>
                </w:rPr>
                <w:t xml:space="preserve"> Nine Months Ended </w:t>
              </w:r>
              <w:r>
                <w:rPr>
                  <w:rFonts w:ascii="Arial" w:cs="Arial" w:eastAsia="Arial" w:hAnsi="Arial"/>
                  <w:sz w:val="16"/>
                  <w:szCs w:val="16"/>
                  <w:u w:val="single" w:color="auto"/>
                  <w:color w:val="0000FF"/>
                </w:rPr>
                <w:t>September 30, 2020 and 2019</w:t>
              </w:r>
            </w:hyperlink>
          </w:p>
        </w:tc>
        <w:tc>
          <w:tcPr>
            <w:tcW w:w="66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6</w:t>
              </w:r>
            </w:hyperlink>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00" w:type="dxa"/>
            <w:vAlign w:val="bottom"/>
            <w:tcBorders>
              <w:left w:val="single" w:sz="8" w:color="0000FF"/>
            </w:tcBorders>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660" w:type="dxa"/>
            <w:vAlign w:val="bottom"/>
            <w:vMerge w:val="restart"/>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7</w:t>
              </w:r>
            </w:hyperlink>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60" w:type="dxa"/>
            <w:vAlign w:val="bottom"/>
          </w:tcPr>
          <w:p>
            <w:pPr>
              <w:spacing w:after="0"/>
              <w:rPr>
                <w:sz w:val="22"/>
                <w:szCs w:val="22"/>
                <w:color w:val="auto"/>
              </w:rPr>
            </w:pPr>
          </w:p>
        </w:tc>
        <w:tc>
          <w:tcPr>
            <w:tcW w:w="9580" w:type="dxa"/>
            <w:vAlign w:val="bottom"/>
            <w:gridSpan w:val="7"/>
          </w:tcPr>
          <w:p>
            <w:pPr>
              <w:spacing w:after="0"/>
              <w:rPr>
                <w:rFonts w:ascii="Arial" w:cs="Arial" w:eastAsia="Arial" w:hAnsi="Arial"/>
                <w:sz w:val="16"/>
                <w:szCs w:val="16"/>
                <w:color w:val="0000FF"/>
              </w:rPr>
            </w:pPr>
            <w:hyperlink w:anchor="page6">
              <w:r>
                <w:rPr>
                  <w:rFonts w:ascii="Arial" w:cs="Arial" w:eastAsia="Arial" w:hAnsi="Arial"/>
                  <w:sz w:val="16"/>
                  <w:szCs w:val="16"/>
                  <w:u w:val="single" w:color="auto"/>
                  <w:color w:val="0000FF"/>
                </w:rPr>
                <w:t>Consolidated Statements of Comprehensive Income for the Quarters and</w:t>
              </w:r>
              <w:r>
                <w:rPr>
                  <w:rFonts w:ascii="Arial" w:cs="Arial" w:eastAsia="Arial" w:hAnsi="Arial"/>
                  <w:sz w:val="16"/>
                  <w:szCs w:val="16"/>
                  <w:color w:val="0000FF"/>
                </w:rPr>
                <w:t xml:space="preserve"> Nine Months Ended </w:t>
              </w:r>
              <w:r>
                <w:rPr>
                  <w:rFonts w:ascii="Arial" w:cs="Arial" w:eastAsia="Arial" w:hAnsi="Arial"/>
                  <w:sz w:val="16"/>
                  <w:szCs w:val="16"/>
                  <w:u w:val="single" w:color="auto"/>
                  <w:color w:val="0000FF"/>
                </w:rPr>
                <w:t>September 30, 2020 and 2019</w:t>
              </w:r>
            </w:hyperlink>
          </w:p>
        </w:tc>
        <w:tc>
          <w:tcPr>
            <w:tcW w:w="660" w:type="dxa"/>
            <w:vAlign w:val="bottom"/>
            <w:vMerge w:val="continue"/>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00" w:type="dxa"/>
            <w:vAlign w:val="bottom"/>
            <w:tcBorders>
              <w:left w:val="single" w:sz="8" w:color="0000FF"/>
            </w:tcBorders>
            <w:shd w:val="clear" w:color="auto" w:fill="0000FF"/>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660" w:type="dxa"/>
            <w:vAlign w:val="bottom"/>
            <w:vMerge w:val="restart"/>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8</w:t>
              </w:r>
            </w:hyperlink>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60" w:type="dxa"/>
            <w:vAlign w:val="bottom"/>
          </w:tcPr>
          <w:p>
            <w:pPr>
              <w:spacing w:after="0"/>
              <w:rPr>
                <w:sz w:val="22"/>
                <w:szCs w:val="22"/>
                <w:color w:val="auto"/>
              </w:rPr>
            </w:pPr>
          </w:p>
        </w:tc>
        <w:tc>
          <w:tcPr>
            <w:tcW w:w="9580" w:type="dxa"/>
            <w:vAlign w:val="bottom"/>
            <w:gridSpan w:val="7"/>
          </w:tcPr>
          <w:p>
            <w:pPr>
              <w:spacing w:after="0"/>
              <w:rPr>
                <w:rFonts w:ascii="Arial" w:cs="Arial" w:eastAsia="Arial" w:hAnsi="Arial"/>
                <w:sz w:val="16"/>
                <w:szCs w:val="16"/>
                <w:color w:val="0000FF"/>
              </w:rPr>
            </w:pPr>
            <w:hyperlink w:anchor="page7">
              <w:r>
                <w:rPr>
                  <w:rFonts w:ascii="Arial" w:cs="Arial" w:eastAsia="Arial" w:hAnsi="Arial"/>
                  <w:sz w:val="16"/>
                  <w:szCs w:val="16"/>
                  <w:u w:val="single" w:color="auto"/>
                  <w:color w:val="0000FF"/>
                </w:rPr>
                <w:t>Consolidated Statements of Equity for the Quarters and</w:t>
              </w:r>
              <w:r>
                <w:rPr>
                  <w:rFonts w:ascii="Arial" w:cs="Arial" w:eastAsia="Arial" w:hAnsi="Arial"/>
                  <w:sz w:val="16"/>
                  <w:szCs w:val="16"/>
                  <w:color w:val="0000FF"/>
                </w:rPr>
                <w:t xml:space="preserve"> Nine Months Ended </w:t>
              </w:r>
            </w:hyperlink>
            <w:r>
              <w:rPr>
                <w:rFonts w:ascii="Arial" w:cs="Arial" w:eastAsia="Arial" w:hAnsi="Arial"/>
                <w:sz w:val="16"/>
                <w:szCs w:val="16"/>
                <w:u w:val="single" w:color="auto"/>
                <w:color w:val="0000FF"/>
              </w:rPr>
              <w:t>September</w:t>
            </w:r>
            <w:r>
              <w:rPr>
                <w:rFonts w:ascii="Arial" w:cs="Arial" w:eastAsia="Arial" w:hAnsi="Arial"/>
                <w:sz w:val="16"/>
                <w:szCs w:val="16"/>
                <w:color w:val="0000FF"/>
              </w:rPr>
              <w:t xml:space="preserve"> </w:t>
            </w:r>
            <w:hyperlink w:anchor="page7">
              <w:r>
                <w:rPr>
                  <w:rFonts w:ascii="Arial" w:cs="Arial" w:eastAsia="Arial" w:hAnsi="Arial"/>
                  <w:sz w:val="16"/>
                  <w:szCs w:val="16"/>
                  <w:u w:val="single" w:color="auto"/>
                  <w:color w:val="0000FF"/>
                </w:rPr>
                <w:t>30, 2020 and 2019</w:t>
              </w:r>
            </w:hyperlink>
          </w:p>
        </w:tc>
        <w:tc>
          <w:tcPr>
            <w:tcW w:w="660" w:type="dxa"/>
            <w:vAlign w:val="bottom"/>
            <w:vMerge w:val="continue"/>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600" w:type="dxa"/>
            <w:vAlign w:val="bottom"/>
            <w:gridSpan w:val="2"/>
          </w:tcPr>
          <w:p>
            <w:pPr>
              <w:spacing w:after="0" w:line="20" w:lineRule="exact"/>
              <w:rPr>
                <w:sz w:val="1"/>
                <w:szCs w:val="1"/>
                <w:color w:val="auto"/>
              </w:rPr>
            </w:pPr>
          </w:p>
        </w:tc>
        <w:tc>
          <w:tcPr>
            <w:tcW w:w="660" w:type="dxa"/>
            <w:vAlign w:val="bottom"/>
            <w:vMerge w:val="restart"/>
          </w:tcPr>
          <w:p>
            <w:pPr>
              <w:jc w:val="right"/>
              <w:spacing w:after="0"/>
              <w:rPr>
                <w:rFonts w:ascii="Arial" w:cs="Arial" w:eastAsia="Arial" w:hAnsi="Arial"/>
                <w:sz w:val="18"/>
                <w:szCs w:val="18"/>
                <w:color w:val="auto"/>
              </w:rPr>
            </w:pPr>
            <w:hyperlink w:anchor="page11">
              <w:r>
                <w:rPr>
                  <w:rFonts w:ascii="Arial" w:cs="Arial" w:eastAsia="Arial" w:hAnsi="Arial"/>
                  <w:sz w:val="18"/>
                  <w:szCs w:val="18"/>
                  <w:color w:val="auto"/>
                </w:rPr>
                <w:t>12</w:t>
              </w:r>
            </w:hyperlink>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60" w:type="dxa"/>
            <w:vAlign w:val="bottom"/>
          </w:tcPr>
          <w:p>
            <w:pPr>
              <w:spacing w:after="0"/>
              <w:rPr>
                <w:sz w:val="22"/>
                <w:szCs w:val="22"/>
                <w:color w:val="auto"/>
              </w:rPr>
            </w:pPr>
          </w:p>
        </w:tc>
        <w:tc>
          <w:tcPr>
            <w:tcW w:w="9580" w:type="dxa"/>
            <w:vAlign w:val="bottom"/>
            <w:gridSpan w:val="7"/>
          </w:tcPr>
          <w:p>
            <w:pPr>
              <w:spacing w:after="0"/>
              <w:rPr>
                <w:rFonts w:ascii="Arial" w:cs="Arial" w:eastAsia="Arial" w:hAnsi="Arial"/>
                <w:sz w:val="16"/>
                <w:szCs w:val="16"/>
                <w:color w:val="0000FF"/>
              </w:rPr>
            </w:pPr>
            <w:hyperlink w:anchor="page11">
              <w:r>
                <w:rPr>
                  <w:rFonts w:ascii="Arial" w:cs="Arial" w:eastAsia="Arial" w:hAnsi="Arial"/>
                  <w:sz w:val="16"/>
                  <w:szCs w:val="16"/>
                  <w:color w:val="0000FF"/>
                </w:rPr>
                <w:t xml:space="preserve">Consolidated Statements of Cash Flows for the Nine Months Ended </w:t>
              </w:r>
            </w:hyperlink>
            <w:r>
              <w:rPr>
                <w:rFonts w:ascii="Arial" w:cs="Arial" w:eastAsia="Arial" w:hAnsi="Arial"/>
                <w:sz w:val="16"/>
                <w:szCs w:val="16"/>
                <w:u w:val="single" w:color="auto"/>
                <w:color w:val="0000FF"/>
              </w:rPr>
              <w:t>September</w:t>
            </w:r>
            <w:r>
              <w:rPr>
                <w:rFonts w:ascii="Arial" w:cs="Arial" w:eastAsia="Arial" w:hAnsi="Arial"/>
                <w:sz w:val="16"/>
                <w:szCs w:val="16"/>
                <w:color w:val="0000FF"/>
              </w:rPr>
              <w:t xml:space="preserve"> </w:t>
            </w:r>
            <w:hyperlink w:anchor="page11">
              <w:r>
                <w:rPr>
                  <w:rFonts w:ascii="Arial" w:cs="Arial" w:eastAsia="Arial" w:hAnsi="Arial"/>
                  <w:sz w:val="16"/>
                  <w:szCs w:val="16"/>
                  <w:u w:val="single" w:color="auto"/>
                  <w:color w:val="0000FF"/>
                </w:rPr>
                <w:t>30, 2020 and 2019</w:t>
              </w:r>
            </w:hyperlink>
          </w:p>
        </w:tc>
        <w:tc>
          <w:tcPr>
            <w:tcW w:w="660" w:type="dxa"/>
            <w:vAlign w:val="bottom"/>
            <w:vMerge w:val="continue"/>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960" w:type="dxa"/>
            <w:vAlign w:val="bottom"/>
          </w:tcPr>
          <w:p>
            <w:pPr>
              <w:spacing w:after="0"/>
              <w:rPr>
                <w:sz w:val="24"/>
                <w:szCs w:val="24"/>
                <w:color w:val="auto"/>
              </w:rPr>
            </w:pPr>
          </w:p>
        </w:tc>
        <w:tc>
          <w:tcPr>
            <w:tcW w:w="4440" w:type="dxa"/>
            <w:vAlign w:val="bottom"/>
            <w:tcBorders>
              <w:top w:val="single" w:sz="8" w:color="0000FF"/>
            </w:tcBorders>
            <w:gridSpan w:val="3"/>
          </w:tcPr>
          <w:p>
            <w:pPr>
              <w:spacing w:after="0"/>
              <w:rPr>
                <w:rFonts w:ascii="Arial" w:cs="Arial" w:eastAsia="Arial" w:hAnsi="Arial"/>
                <w:sz w:val="16"/>
                <w:szCs w:val="16"/>
                <w:u w:val="single" w:color="auto"/>
                <w:color w:val="0000FF"/>
              </w:rPr>
            </w:pPr>
            <w:hyperlink w:anchor="page13">
              <w:r>
                <w:rPr>
                  <w:rFonts w:ascii="Arial" w:cs="Arial" w:eastAsia="Arial" w:hAnsi="Arial"/>
                  <w:sz w:val="16"/>
                  <w:szCs w:val="16"/>
                  <w:u w:val="single" w:color="auto"/>
                  <w:color w:val="0000FF"/>
                </w:rPr>
                <w:t>Notes to Unaudited Consolidated Financial Statements</w:t>
              </w:r>
            </w:hyperlink>
          </w:p>
        </w:tc>
        <w:tc>
          <w:tcPr>
            <w:tcW w:w="5140" w:type="dxa"/>
            <w:vAlign w:val="bottom"/>
            <w:gridSpan w:val="4"/>
          </w:tcPr>
          <w:p>
            <w:pPr>
              <w:spacing w:after="0"/>
              <w:rPr>
                <w:sz w:val="24"/>
                <w:szCs w:val="24"/>
                <w:color w:val="auto"/>
              </w:rPr>
            </w:pPr>
          </w:p>
        </w:tc>
        <w:tc>
          <w:tcPr>
            <w:tcW w:w="660" w:type="dxa"/>
            <w:vAlign w:val="bottom"/>
          </w:tcPr>
          <w:p>
            <w:pPr>
              <w:jc w:val="right"/>
              <w:spacing w:after="0"/>
              <w:rPr>
                <w:rFonts w:ascii="Arial" w:cs="Arial" w:eastAsia="Arial" w:hAnsi="Arial"/>
                <w:sz w:val="18"/>
                <w:szCs w:val="18"/>
                <w:color w:val="auto"/>
              </w:rPr>
            </w:pPr>
            <w:hyperlink w:anchor="page13">
              <w:r>
                <w:rPr>
                  <w:rFonts w:ascii="Arial" w:cs="Arial" w:eastAsia="Arial" w:hAnsi="Arial"/>
                  <w:sz w:val="18"/>
                  <w:szCs w:val="18"/>
                  <w:color w:val="auto"/>
                </w:rPr>
                <w:t>14</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960" w:type="dxa"/>
            <w:vAlign w:val="bottom"/>
          </w:tcPr>
          <w:p>
            <w:pPr>
              <w:ind w:left="20"/>
              <w:spacing w:after="0"/>
              <w:rPr>
                <w:sz w:val="20"/>
                <w:szCs w:val="20"/>
                <w:color w:val="auto"/>
              </w:rPr>
            </w:pPr>
            <w:r>
              <w:rPr>
                <w:rFonts w:ascii="Arial" w:cs="Arial" w:eastAsia="Arial" w:hAnsi="Arial"/>
                <w:sz w:val="16"/>
                <w:szCs w:val="16"/>
                <w:b w:val="1"/>
                <w:bCs w:val="1"/>
                <w:color w:val="auto"/>
              </w:rPr>
              <w:t>Item 2.</w:t>
            </w:r>
          </w:p>
        </w:tc>
        <w:tc>
          <w:tcPr>
            <w:tcW w:w="9580" w:type="dxa"/>
            <w:vAlign w:val="bottom"/>
            <w:gridSpan w:val="7"/>
          </w:tcPr>
          <w:p>
            <w:pPr>
              <w:spacing w:after="0"/>
              <w:rPr>
                <w:rFonts w:ascii="Arial" w:cs="Arial" w:eastAsia="Arial" w:hAnsi="Arial"/>
                <w:sz w:val="16"/>
                <w:szCs w:val="16"/>
                <w:b w:val="1"/>
                <w:bCs w:val="1"/>
                <w:u w:val="single" w:color="auto"/>
                <w:color w:val="0000FF"/>
              </w:rPr>
            </w:pPr>
            <w:hyperlink w:anchor="page24">
              <w:r>
                <w:rPr>
                  <w:rFonts w:ascii="Arial" w:cs="Arial" w:eastAsia="Arial" w:hAnsi="Arial"/>
                  <w:sz w:val="16"/>
                  <w:szCs w:val="16"/>
                  <w:b w:val="1"/>
                  <w:bCs w:val="1"/>
                  <w:u w:val="single" w:color="auto"/>
                  <w:color w:val="0000FF"/>
                </w:rPr>
                <w:t>Management’s Discussion and Analysis of Financial Condition and Results of Operations</w:t>
              </w:r>
            </w:hyperlink>
          </w:p>
        </w:tc>
        <w:tc>
          <w:tcPr>
            <w:tcW w:w="660" w:type="dxa"/>
            <w:vAlign w:val="bottom"/>
          </w:tcPr>
          <w:p>
            <w:pPr>
              <w:jc w:val="right"/>
              <w:spacing w:after="0"/>
              <w:rPr>
                <w:rFonts w:ascii="Arial" w:cs="Arial" w:eastAsia="Arial" w:hAnsi="Arial"/>
                <w:sz w:val="18"/>
                <w:szCs w:val="18"/>
                <w:color w:val="auto"/>
              </w:rPr>
            </w:pPr>
            <w:hyperlink w:anchor="page24">
              <w:r>
                <w:rPr>
                  <w:rFonts w:ascii="Arial" w:cs="Arial" w:eastAsia="Arial" w:hAnsi="Arial"/>
                  <w:sz w:val="18"/>
                  <w:szCs w:val="18"/>
                  <w:color w:val="auto"/>
                </w:rPr>
                <w:t>25</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960" w:type="dxa"/>
            <w:vAlign w:val="bottom"/>
          </w:tcPr>
          <w:p>
            <w:pPr>
              <w:ind w:left="20"/>
              <w:spacing w:after="0"/>
              <w:rPr>
                <w:sz w:val="20"/>
                <w:szCs w:val="20"/>
                <w:color w:val="auto"/>
              </w:rPr>
            </w:pPr>
            <w:r>
              <w:rPr>
                <w:rFonts w:ascii="Arial" w:cs="Arial" w:eastAsia="Arial" w:hAnsi="Arial"/>
                <w:sz w:val="16"/>
                <w:szCs w:val="16"/>
                <w:b w:val="1"/>
                <w:bCs w:val="1"/>
                <w:color w:val="auto"/>
              </w:rPr>
              <w:t>Item 3.</w:t>
            </w:r>
          </w:p>
        </w:tc>
        <w:tc>
          <w:tcPr>
            <w:tcW w:w="9580" w:type="dxa"/>
            <w:vAlign w:val="bottom"/>
            <w:gridSpan w:val="7"/>
          </w:tcPr>
          <w:p>
            <w:pPr>
              <w:spacing w:after="0"/>
              <w:rPr>
                <w:rFonts w:ascii="Arial" w:cs="Arial" w:eastAsia="Arial" w:hAnsi="Arial"/>
                <w:sz w:val="16"/>
                <w:szCs w:val="16"/>
                <w:b w:val="1"/>
                <w:bCs w:val="1"/>
                <w:u w:val="single" w:color="auto"/>
                <w:color w:val="0000FF"/>
              </w:rPr>
            </w:pPr>
            <w:hyperlink w:anchor="page33">
              <w:r>
                <w:rPr>
                  <w:rFonts w:ascii="Arial" w:cs="Arial" w:eastAsia="Arial" w:hAnsi="Arial"/>
                  <w:sz w:val="16"/>
                  <w:szCs w:val="16"/>
                  <w:b w:val="1"/>
                  <w:bCs w:val="1"/>
                  <w:u w:val="single" w:color="auto"/>
                  <w:color w:val="0000FF"/>
                </w:rPr>
                <w:t>Quantitative and Qualitative Disclosures About Market Risk</w:t>
              </w:r>
            </w:hyperlink>
          </w:p>
        </w:tc>
        <w:tc>
          <w:tcPr>
            <w:tcW w:w="660" w:type="dxa"/>
            <w:vAlign w:val="bottom"/>
          </w:tcPr>
          <w:p>
            <w:pPr>
              <w:jc w:val="right"/>
              <w:spacing w:after="0"/>
              <w:rPr>
                <w:rFonts w:ascii="Arial" w:cs="Arial" w:eastAsia="Arial" w:hAnsi="Arial"/>
                <w:sz w:val="18"/>
                <w:szCs w:val="18"/>
                <w:color w:val="auto"/>
              </w:rPr>
            </w:pPr>
            <w:hyperlink w:anchor="page33">
              <w:r>
                <w:rPr>
                  <w:rFonts w:ascii="Arial" w:cs="Arial" w:eastAsia="Arial" w:hAnsi="Arial"/>
                  <w:sz w:val="18"/>
                  <w:szCs w:val="18"/>
                  <w:color w:val="auto"/>
                </w:rPr>
                <w:t>33</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960" w:type="dxa"/>
            <w:vAlign w:val="bottom"/>
          </w:tcPr>
          <w:p>
            <w:pPr>
              <w:ind w:left="20"/>
              <w:spacing w:after="0"/>
              <w:rPr>
                <w:sz w:val="20"/>
                <w:szCs w:val="20"/>
                <w:color w:val="auto"/>
              </w:rPr>
            </w:pPr>
            <w:r>
              <w:rPr>
                <w:rFonts w:ascii="Arial" w:cs="Arial" w:eastAsia="Arial" w:hAnsi="Arial"/>
                <w:sz w:val="16"/>
                <w:szCs w:val="16"/>
                <w:b w:val="1"/>
                <w:bCs w:val="1"/>
                <w:color w:val="auto"/>
              </w:rPr>
              <w:t>Item 4.</w:t>
            </w:r>
          </w:p>
        </w:tc>
        <w:tc>
          <w:tcPr>
            <w:tcW w:w="9580" w:type="dxa"/>
            <w:vAlign w:val="bottom"/>
            <w:gridSpan w:val="7"/>
          </w:tcPr>
          <w:p>
            <w:pPr>
              <w:spacing w:after="0"/>
              <w:rPr>
                <w:rFonts w:ascii="Arial" w:cs="Arial" w:eastAsia="Arial" w:hAnsi="Arial"/>
                <w:sz w:val="16"/>
                <w:szCs w:val="16"/>
                <w:b w:val="1"/>
                <w:bCs w:val="1"/>
                <w:u w:val="single" w:color="auto"/>
                <w:color w:val="0000FF"/>
              </w:rPr>
            </w:pPr>
            <w:hyperlink w:anchor="page33">
              <w:r>
                <w:rPr>
                  <w:rFonts w:ascii="Arial" w:cs="Arial" w:eastAsia="Arial" w:hAnsi="Arial"/>
                  <w:sz w:val="16"/>
                  <w:szCs w:val="16"/>
                  <w:b w:val="1"/>
                  <w:bCs w:val="1"/>
                  <w:u w:val="single" w:color="auto"/>
                  <w:color w:val="0000FF"/>
                </w:rPr>
                <w:t>Controls and Procedures</w:t>
              </w:r>
            </w:hyperlink>
          </w:p>
        </w:tc>
        <w:tc>
          <w:tcPr>
            <w:tcW w:w="660" w:type="dxa"/>
            <w:vAlign w:val="bottom"/>
          </w:tcPr>
          <w:p>
            <w:pPr>
              <w:jc w:val="right"/>
              <w:spacing w:after="0"/>
              <w:rPr>
                <w:rFonts w:ascii="Arial" w:cs="Arial" w:eastAsia="Arial" w:hAnsi="Arial"/>
                <w:sz w:val="18"/>
                <w:szCs w:val="18"/>
                <w:color w:val="auto"/>
              </w:rPr>
            </w:pPr>
            <w:hyperlink w:anchor="page33">
              <w:r>
                <w:rPr>
                  <w:rFonts w:ascii="Arial" w:cs="Arial" w:eastAsia="Arial" w:hAnsi="Arial"/>
                  <w:sz w:val="18"/>
                  <w:szCs w:val="18"/>
                  <w:color w:val="auto"/>
                </w:rPr>
                <w:t>34</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0540" w:type="dxa"/>
            <w:vAlign w:val="bottom"/>
            <w:gridSpan w:val="8"/>
          </w:tcPr>
          <w:p>
            <w:pPr>
              <w:ind w:left="20"/>
              <w:spacing w:after="0"/>
              <w:rPr>
                <w:rFonts w:ascii="Arial" w:cs="Arial" w:eastAsia="Arial" w:hAnsi="Arial"/>
                <w:sz w:val="16"/>
                <w:szCs w:val="16"/>
                <w:b w:val="1"/>
                <w:bCs w:val="1"/>
                <w:u w:val="single" w:color="auto"/>
                <w:color w:val="0000FF"/>
              </w:rPr>
            </w:pPr>
            <w:hyperlink w:anchor="page34">
              <w:r>
                <w:rPr>
                  <w:rFonts w:ascii="Arial" w:cs="Arial" w:eastAsia="Arial" w:hAnsi="Arial"/>
                  <w:sz w:val="16"/>
                  <w:szCs w:val="16"/>
                  <w:b w:val="1"/>
                  <w:bCs w:val="1"/>
                  <w:u w:val="single" w:color="auto"/>
                  <w:color w:val="0000FF"/>
                </w:rPr>
                <w:t>PART II. OTHER INFORMATION</w:t>
              </w:r>
            </w:hyperlink>
          </w:p>
        </w:tc>
        <w:tc>
          <w:tcPr>
            <w:tcW w:w="660" w:type="dxa"/>
            <w:vAlign w:val="bottom"/>
          </w:tcPr>
          <w:p>
            <w:pPr>
              <w:jc w:val="right"/>
              <w:spacing w:after="0"/>
              <w:rPr>
                <w:rFonts w:ascii="Arial" w:cs="Arial" w:eastAsia="Arial" w:hAnsi="Arial"/>
                <w:sz w:val="18"/>
                <w:szCs w:val="18"/>
                <w:color w:val="auto"/>
              </w:rPr>
            </w:pPr>
            <w:hyperlink w:anchor="page34">
              <w:r>
                <w:rPr>
                  <w:rFonts w:ascii="Arial" w:cs="Arial" w:eastAsia="Arial" w:hAnsi="Arial"/>
                  <w:sz w:val="18"/>
                  <w:szCs w:val="18"/>
                  <w:color w:val="auto"/>
                </w:rPr>
                <w:t>34</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960" w:type="dxa"/>
            <w:vAlign w:val="bottom"/>
          </w:tcPr>
          <w:p>
            <w:pPr>
              <w:ind w:left="20"/>
              <w:spacing w:after="0"/>
              <w:rPr>
                <w:sz w:val="20"/>
                <w:szCs w:val="20"/>
                <w:color w:val="auto"/>
              </w:rPr>
            </w:pPr>
            <w:r>
              <w:rPr>
                <w:rFonts w:ascii="Arial" w:cs="Arial" w:eastAsia="Arial" w:hAnsi="Arial"/>
                <w:sz w:val="16"/>
                <w:szCs w:val="16"/>
                <w:b w:val="1"/>
                <w:bCs w:val="1"/>
                <w:color w:val="auto"/>
              </w:rPr>
              <w:t>Item 1.</w:t>
            </w:r>
          </w:p>
        </w:tc>
        <w:tc>
          <w:tcPr>
            <w:tcW w:w="9580" w:type="dxa"/>
            <w:vAlign w:val="bottom"/>
            <w:gridSpan w:val="7"/>
          </w:tcPr>
          <w:p>
            <w:pPr>
              <w:spacing w:after="0"/>
              <w:rPr>
                <w:rFonts w:ascii="Arial" w:cs="Arial" w:eastAsia="Arial" w:hAnsi="Arial"/>
                <w:sz w:val="16"/>
                <w:szCs w:val="16"/>
                <w:b w:val="1"/>
                <w:bCs w:val="1"/>
                <w:u w:val="single" w:color="auto"/>
                <w:color w:val="0000FF"/>
              </w:rPr>
            </w:pPr>
            <w:hyperlink w:anchor="page34">
              <w:r>
                <w:rPr>
                  <w:rFonts w:ascii="Arial" w:cs="Arial" w:eastAsia="Arial" w:hAnsi="Arial"/>
                  <w:sz w:val="16"/>
                  <w:szCs w:val="16"/>
                  <w:b w:val="1"/>
                  <w:bCs w:val="1"/>
                  <w:u w:val="single" w:color="auto"/>
                  <w:color w:val="0000FF"/>
                </w:rPr>
                <w:t>Legal Proceedings</w:t>
              </w:r>
            </w:hyperlink>
          </w:p>
        </w:tc>
        <w:tc>
          <w:tcPr>
            <w:tcW w:w="660" w:type="dxa"/>
            <w:vAlign w:val="bottom"/>
          </w:tcPr>
          <w:p>
            <w:pPr>
              <w:jc w:val="right"/>
              <w:spacing w:after="0"/>
              <w:rPr>
                <w:rFonts w:ascii="Arial" w:cs="Arial" w:eastAsia="Arial" w:hAnsi="Arial"/>
                <w:sz w:val="18"/>
                <w:szCs w:val="18"/>
                <w:color w:val="auto"/>
              </w:rPr>
            </w:pPr>
            <w:hyperlink w:anchor="page34">
              <w:r>
                <w:rPr>
                  <w:rFonts w:ascii="Arial" w:cs="Arial" w:eastAsia="Arial" w:hAnsi="Arial"/>
                  <w:sz w:val="18"/>
                  <w:szCs w:val="18"/>
                  <w:color w:val="auto"/>
                </w:rPr>
                <w:t>34</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960" w:type="dxa"/>
            <w:vAlign w:val="bottom"/>
          </w:tcPr>
          <w:p>
            <w:pPr>
              <w:ind w:left="20"/>
              <w:spacing w:after="0"/>
              <w:rPr>
                <w:sz w:val="20"/>
                <w:szCs w:val="20"/>
                <w:color w:val="auto"/>
              </w:rPr>
            </w:pPr>
            <w:r>
              <w:rPr>
                <w:rFonts w:ascii="Arial" w:cs="Arial" w:eastAsia="Arial" w:hAnsi="Arial"/>
                <w:sz w:val="16"/>
                <w:szCs w:val="16"/>
                <w:b w:val="1"/>
                <w:bCs w:val="1"/>
                <w:color w:val="auto"/>
              </w:rPr>
              <w:t>Item 1A.</w:t>
            </w:r>
          </w:p>
        </w:tc>
        <w:tc>
          <w:tcPr>
            <w:tcW w:w="9580" w:type="dxa"/>
            <w:vAlign w:val="bottom"/>
            <w:gridSpan w:val="7"/>
          </w:tcPr>
          <w:p>
            <w:pPr>
              <w:spacing w:after="0"/>
              <w:rPr>
                <w:rFonts w:ascii="Arial" w:cs="Arial" w:eastAsia="Arial" w:hAnsi="Arial"/>
                <w:sz w:val="16"/>
                <w:szCs w:val="16"/>
                <w:b w:val="1"/>
                <w:bCs w:val="1"/>
                <w:u w:val="single" w:color="auto"/>
                <w:color w:val="0000FF"/>
              </w:rPr>
            </w:pPr>
            <w:hyperlink w:anchor="page34">
              <w:r>
                <w:rPr>
                  <w:rFonts w:ascii="Arial" w:cs="Arial" w:eastAsia="Arial" w:hAnsi="Arial"/>
                  <w:sz w:val="16"/>
                  <w:szCs w:val="16"/>
                  <w:b w:val="1"/>
                  <w:bCs w:val="1"/>
                  <w:u w:val="single" w:color="auto"/>
                  <w:color w:val="0000FF"/>
                </w:rPr>
                <w:t>Risk Factors</w:t>
              </w:r>
            </w:hyperlink>
          </w:p>
        </w:tc>
        <w:tc>
          <w:tcPr>
            <w:tcW w:w="660" w:type="dxa"/>
            <w:vAlign w:val="bottom"/>
          </w:tcPr>
          <w:p>
            <w:pPr>
              <w:jc w:val="right"/>
              <w:spacing w:after="0"/>
              <w:rPr>
                <w:rFonts w:ascii="Arial" w:cs="Arial" w:eastAsia="Arial" w:hAnsi="Arial"/>
                <w:sz w:val="18"/>
                <w:szCs w:val="18"/>
                <w:color w:val="auto"/>
              </w:rPr>
            </w:pPr>
            <w:hyperlink w:anchor="page34">
              <w:r>
                <w:rPr>
                  <w:rFonts w:ascii="Arial" w:cs="Arial" w:eastAsia="Arial" w:hAnsi="Arial"/>
                  <w:sz w:val="18"/>
                  <w:szCs w:val="18"/>
                  <w:color w:val="auto"/>
                </w:rPr>
                <w:t>34</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960" w:type="dxa"/>
            <w:vAlign w:val="bottom"/>
          </w:tcPr>
          <w:p>
            <w:pPr>
              <w:ind w:left="20"/>
              <w:spacing w:after="0"/>
              <w:rPr>
                <w:sz w:val="20"/>
                <w:szCs w:val="20"/>
                <w:color w:val="auto"/>
              </w:rPr>
            </w:pPr>
            <w:r>
              <w:rPr>
                <w:rFonts w:ascii="Arial" w:cs="Arial" w:eastAsia="Arial" w:hAnsi="Arial"/>
                <w:sz w:val="16"/>
                <w:szCs w:val="16"/>
                <w:b w:val="1"/>
                <w:bCs w:val="1"/>
                <w:color w:val="auto"/>
              </w:rPr>
              <w:t>Item 2.</w:t>
            </w:r>
          </w:p>
        </w:tc>
        <w:tc>
          <w:tcPr>
            <w:tcW w:w="9580" w:type="dxa"/>
            <w:vAlign w:val="bottom"/>
            <w:gridSpan w:val="7"/>
          </w:tcPr>
          <w:p>
            <w:pPr>
              <w:spacing w:after="0"/>
              <w:rPr>
                <w:rFonts w:ascii="Arial" w:cs="Arial" w:eastAsia="Arial" w:hAnsi="Arial"/>
                <w:sz w:val="16"/>
                <w:szCs w:val="16"/>
                <w:b w:val="1"/>
                <w:bCs w:val="1"/>
                <w:u w:val="single" w:color="auto"/>
                <w:color w:val="0000FF"/>
              </w:rPr>
            </w:pPr>
            <w:hyperlink w:anchor="page34">
              <w:r>
                <w:rPr>
                  <w:rFonts w:ascii="Arial" w:cs="Arial" w:eastAsia="Arial" w:hAnsi="Arial"/>
                  <w:sz w:val="16"/>
                  <w:szCs w:val="16"/>
                  <w:b w:val="1"/>
                  <w:bCs w:val="1"/>
                  <w:u w:val="single" w:color="auto"/>
                  <w:color w:val="0000FF"/>
                </w:rPr>
                <w:t>Unregistered Sales of Equity Securities and Use of Proceeds</w:t>
              </w:r>
            </w:hyperlink>
          </w:p>
        </w:tc>
        <w:tc>
          <w:tcPr>
            <w:tcW w:w="660" w:type="dxa"/>
            <w:vAlign w:val="bottom"/>
          </w:tcPr>
          <w:p>
            <w:pPr>
              <w:jc w:val="right"/>
              <w:spacing w:after="0"/>
              <w:rPr>
                <w:rFonts w:ascii="Arial" w:cs="Arial" w:eastAsia="Arial" w:hAnsi="Arial"/>
                <w:sz w:val="18"/>
                <w:szCs w:val="18"/>
                <w:color w:val="auto"/>
              </w:rPr>
            </w:pPr>
            <w:hyperlink w:anchor="page34">
              <w:r>
                <w:rPr>
                  <w:rFonts w:ascii="Arial" w:cs="Arial" w:eastAsia="Arial" w:hAnsi="Arial"/>
                  <w:sz w:val="18"/>
                  <w:szCs w:val="18"/>
                  <w:color w:val="auto"/>
                </w:rPr>
                <w:t>34</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960" w:type="dxa"/>
            <w:vAlign w:val="bottom"/>
          </w:tcPr>
          <w:p>
            <w:pPr>
              <w:ind w:left="20"/>
              <w:spacing w:after="0"/>
              <w:rPr>
                <w:sz w:val="20"/>
                <w:szCs w:val="20"/>
                <w:color w:val="auto"/>
              </w:rPr>
            </w:pPr>
            <w:r>
              <w:rPr>
                <w:rFonts w:ascii="Arial" w:cs="Arial" w:eastAsia="Arial" w:hAnsi="Arial"/>
                <w:sz w:val="16"/>
                <w:szCs w:val="16"/>
                <w:b w:val="1"/>
                <w:bCs w:val="1"/>
                <w:color w:val="auto"/>
              </w:rPr>
              <w:t>Item 6.</w:t>
            </w:r>
          </w:p>
        </w:tc>
        <w:tc>
          <w:tcPr>
            <w:tcW w:w="9580" w:type="dxa"/>
            <w:vAlign w:val="bottom"/>
            <w:gridSpan w:val="7"/>
          </w:tcPr>
          <w:p>
            <w:pPr>
              <w:spacing w:after="0"/>
              <w:rPr>
                <w:rFonts w:ascii="Arial" w:cs="Arial" w:eastAsia="Arial" w:hAnsi="Arial"/>
                <w:sz w:val="16"/>
                <w:szCs w:val="16"/>
                <w:b w:val="1"/>
                <w:bCs w:val="1"/>
                <w:u w:val="single" w:color="auto"/>
                <w:color w:val="0000FF"/>
              </w:rPr>
            </w:pPr>
            <w:hyperlink w:anchor="page35">
              <w:r>
                <w:rPr>
                  <w:rFonts w:ascii="Arial" w:cs="Arial" w:eastAsia="Arial" w:hAnsi="Arial"/>
                  <w:sz w:val="16"/>
                  <w:szCs w:val="16"/>
                  <w:b w:val="1"/>
                  <w:bCs w:val="1"/>
                  <w:u w:val="single" w:color="auto"/>
                  <w:color w:val="0000FF"/>
                </w:rPr>
                <w:t>Exhibits</w:t>
              </w:r>
            </w:hyperlink>
          </w:p>
        </w:tc>
        <w:tc>
          <w:tcPr>
            <w:tcW w:w="66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35</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0540" w:type="dxa"/>
            <w:vAlign w:val="bottom"/>
            <w:gridSpan w:val="8"/>
          </w:tcPr>
          <w:p>
            <w:pPr>
              <w:ind w:left="20"/>
              <w:spacing w:after="0"/>
              <w:rPr>
                <w:rFonts w:ascii="Arial" w:cs="Arial" w:eastAsia="Arial" w:hAnsi="Arial"/>
                <w:sz w:val="16"/>
                <w:szCs w:val="16"/>
                <w:b w:val="1"/>
                <w:bCs w:val="1"/>
                <w:u w:val="single" w:color="auto"/>
                <w:color w:val="0000FF"/>
              </w:rPr>
            </w:pPr>
            <w:hyperlink w:anchor="page35">
              <w:r>
                <w:rPr>
                  <w:rFonts w:ascii="Arial" w:cs="Arial" w:eastAsia="Arial" w:hAnsi="Arial"/>
                  <w:sz w:val="16"/>
                  <w:szCs w:val="16"/>
                  <w:b w:val="1"/>
                  <w:bCs w:val="1"/>
                  <w:u w:val="single" w:color="auto"/>
                  <w:color w:val="0000FF"/>
                </w:rPr>
                <w:t>SIGNATURES</w:t>
              </w:r>
            </w:hyperlink>
          </w:p>
        </w:tc>
        <w:tc>
          <w:tcPr>
            <w:tcW w:w="66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36</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8"/>
        </w:trPr>
        <w:tc>
          <w:tcPr>
            <w:tcW w:w="960" w:type="dxa"/>
            <w:vAlign w:val="bottom"/>
          </w:tcPr>
          <w:p>
            <w:pPr>
              <w:spacing w:after="0"/>
              <w:rPr>
                <w:sz w:val="24"/>
                <w:szCs w:val="24"/>
                <w:color w:val="auto"/>
              </w:rPr>
            </w:pPr>
          </w:p>
        </w:tc>
        <w:tc>
          <w:tcPr>
            <w:tcW w:w="4740" w:type="dxa"/>
            <w:vAlign w:val="bottom"/>
            <w:gridSpan w:val="4"/>
          </w:tcPr>
          <w:p>
            <w:pPr>
              <w:ind w:left="4620"/>
              <w:spacing w:after="0"/>
              <w:rPr>
                <w:sz w:val="20"/>
                <w:szCs w:val="20"/>
                <w:color w:val="auto"/>
              </w:rPr>
            </w:pPr>
            <w:r>
              <w:rPr>
                <w:rFonts w:ascii="Arial" w:cs="Arial" w:eastAsia="Arial" w:hAnsi="Arial"/>
                <w:sz w:val="18"/>
                <w:szCs w:val="18"/>
                <w:color w:val="auto"/>
                <w:w w:val="99"/>
              </w:rPr>
              <w:t>2</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60" w:type="dxa"/>
            <w:vAlign w:val="bottom"/>
            <w:tcBorders>
              <w:bottom w:val="single" w:sz="8" w:color="9A9A9A"/>
            </w:tcBorders>
          </w:tcPr>
          <w:p>
            <w:pPr>
              <w:spacing w:after="0"/>
              <w:rPr>
                <w:sz w:val="10"/>
                <w:szCs w:val="10"/>
                <w:color w:val="auto"/>
              </w:rPr>
            </w:pPr>
          </w:p>
        </w:tc>
        <w:tc>
          <w:tcPr>
            <w:tcW w:w="36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35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All references to “options” or “options contracts” in the text of this document refer to options on futures contracts.</w:t>
      </w:r>
    </w:p>
    <w:p>
      <w:pPr>
        <w:spacing w:after="0" w:line="10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Further information about CME Group and its products can be found at http://www.cmegroup.com. Information made available on our website does not constitute a part of this Quarterly Report on Form 10-Q.</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Contract Volume and Average Rate per Contract</w:t>
      </w:r>
    </w:p>
    <w:p>
      <w:pPr>
        <w:spacing w:after="0" w:line="9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All amounts regarding contract volume and average rate per contract are for CME Group's listed futures and options on futures contracts unless otherwise noted.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 Information</w:t>
      </w:r>
    </w:p>
    <w:p>
      <w:pPr>
        <w:spacing w:after="0" w:line="10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CME Group, the Globe logo, CME, Chicago Mercantile Exchange, Globex, and E-mini are trademarks of Chicago Mercantile Exchange Inc. CBOT and Chicago Board of Trade are trademarks of Board of Trade of the City of Chicago, Inc. NYMEX, New York Mercantile Exchange and ClearPort are trademarks of New York Mercantile Exchange, Inc. COMEX is a trademark of Commodity Exchange, Inc. NEX, BrokerTec, EBS, TriOptima, and Traiana are trademarks of various entities of NEX Group Limited (NEX). Dow Jones, Dow Jones Industrial Average, S&amp;P 500 and S&amp;P are service and/or trademarks of Dow Jones Trademark Holdings LLC, Standard &amp; Poor's Financial Services LLC and S&amp;P/Dow Jones Indices LLC, as the case may be, and have been licensed for use by Chicago Mercantile Exchange Inc. All other trademarks are the property of their respective owners.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0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From time to time, in this Quarterly Report on Form 10-Q as well as in other written reports and verbal statements, we discuss our expectations regarding future performance. These forward-looking statements are identified by their use of terms and phrases such as “believe,” “anticipate,” “could,” “estimate,” “intend,” “may,” “plan,” “expect” and similar expressions, including references to assumptions. These forward-looking statements are based on currently available competitive, financial and economic data, current expectations, estimates, forecasts and projections about the industries in which we operate and management's beliefs and assumptions. These statements are not guarantees of future performance and involve risks, uncertainties and assumptions that are difficult to predict. Therefore, actual outcomes and results may differ materially from what is expressed or implied in any forward-looking statements. We want to caution you not to place undue reliance on any forward-looking statements. We undertake no obligation to publicly update any forward-looking statements, whether as a result of new information, future events or otherwise. Among the factors that might affect our performance are:</w:t>
      </w:r>
    </w:p>
    <w:p>
      <w:pPr>
        <w:spacing w:after="0" w:line="57" w:lineRule="exact"/>
        <w:rPr>
          <w:sz w:val="20"/>
          <w:szCs w:val="20"/>
          <w:color w:val="auto"/>
        </w:rPr>
      </w:pPr>
    </w:p>
    <w:p>
      <w:pPr>
        <w:ind w:left="660" w:right="10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increasing competition by foreign and domestic entities, including increased competition from new entrants into our markets and consolidation of existing entities;</w:t>
      </w:r>
    </w:p>
    <w:p>
      <w:pPr>
        <w:spacing w:after="0" w:line="62" w:lineRule="exact"/>
        <w:rPr>
          <w:rFonts w:ascii="Arial" w:cs="Arial" w:eastAsia="Arial" w:hAnsi="Arial"/>
          <w:sz w:val="18"/>
          <w:szCs w:val="18"/>
          <w:color w:val="auto"/>
        </w:rPr>
      </w:pPr>
    </w:p>
    <w:p>
      <w:pPr>
        <w:ind w:left="660" w:right="56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keep pace with rapid technological developments, including our ability to complete the development, implementation and maintenance of the enhanced functionality required by our customers while maintaining reliability and ensuring that such technology is not vulnerable to security risks;</w:t>
      </w:r>
    </w:p>
    <w:p>
      <w:pPr>
        <w:spacing w:after="0" w:line="75" w:lineRule="exact"/>
        <w:rPr>
          <w:rFonts w:ascii="Arial" w:cs="Arial" w:eastAsia="Arial" w:hAnsi="Arial"/>
          <w:sz w:val="18"/>
          <w:szCs w:val="18"/>
          <w:color w:val="auto"/>
        </w:rPr>
      </w:pPr>
    </w:p>
    <w:p>
      <w:pPr>
        <w:ind w:left="66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introducing competitive new products and services on a timely, cost-effective basis, including through our electronic trading capabilities, and our ability to maintain the competitiveness of our existing products and services, including our ability to provide effective services to the swaps market;</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adjust our fixed costs and expenses if our revenues decline;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maintain existing customers at substantially similar trading levels, develop strategic relationships and attract new customers;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expand and globally offer our products and services;</w:t>
      </w:r>
    </w:p>
    <w:p>
      <w:pPr>
        <w:spacing w:after="0" w:line="117" w:lineRule="exact"/>
        <w:rPr>
          <w:rFonts w:ascii="Arial" w:cs="Arial" w:eastAsia="Arial" w:hAnsi="Arial"/>
          <w:sz w:val="18"/>
          <w:szCs w:val="18"/>
          <w:color w:val="auto"/>
        </w:rPr>
      </w:pPr>
    </w:p>
    <w:p>
      <w:pPr>
        <w:ind w:left="660" w:right="120" w:hanging="328"/>
        <w:spacing w:after="0" w:line="342"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regulations, including the impact of any changes in laws or government policy with respect to our products or services or our industry, such as any changes to regulations and policies that require increased financial and operational resources from us or our customers;</w:t>
      </w:r>
    </w:p>
    <w:p>
      <w:pPr>
        <w:spacing w:after="0" w:line="15" w:lineRule="exact"/>
        <w:rPr>
          <w:rFonts w:ascii="Arial" w:cs="Arial" w:eastAsia="Arial" w:hAnsi="Arial"/>
          <w:sz w:val="16"/>
          <w:szCs w:val="16"/>
          <w:color w:val="auto"/>
        </w:rPr>
      </w:pPr>
    </w:p>
    <w:p>
      <w:pPr>
        <w:ind w:left="660" w:right="6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associated with protecting our intellectual property rights and our ability to operate our business without violating the intellectual property rights of others;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decreases in revenue from our market data as a result of decreased demand or changes to regulations in various jurisdictions;</w:t>
      </w:r>
    </w:p>
    <w:p>
      <w:pPr>
        <w:spacing w:after="0" w:line="117" w:lineRule="exact"/>
        <w:rPr>
          <w:rFonts w:ascii="Arial" w:cs="Arial" w:eastAsia="Arial" w:hAnsi="Arial"/>
          <w:sz w:val="18"/>
          <w:szCs w:val="18"/>
          <w:color w:val="auto"/>
        </w:rPr>
      </w:pPr>
    </w:p>
    <w:p>
      <w:pPr>
        <w:ind w:left="660" w:right="160" w:hanging="328"/>
        <w:spacing w:after="0" w:line="342"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our rate per contract due to shifts in the mix of the products traded, the trading venue and the mix of customers (whether the customer receives member or non-member fees or participates in one of our various incentive programs) and the impact of our tiered pricing structure;</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right="440" w:hanging="328"/>
        <w:spacing w:after="0" w:line="308" w:lineRule="auto"/>
        <w:tabs>
          <w:tab w:leader="none" w:pos="655"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ability of our credit and liquidity risk management practices to adequately protect us from the credit risks of clearing members and other counterparties, and to satisfy the margin and liquidity requirements associated with the BrokerTec matched principal business;</w:t>
      </w:r>
    </w:p>
    <w:p>
      <w:pPr>
        <w:spacing w:after="0" w:line="38" w:lineRule="exact"/>
        <w:rPr>
          <w:rFonts w:ascii="Arial" w:cs="Arial" w:eastAsia="Arial" w:hAnsi="Arial"/>
          <w:sz w:val="17"/>
          <w:szCs w:val="17"/>
          <w:color w:val="auto"/>
        </w:rPr>
      </w:pPr>
    </w:p>
    <w:p>
      <w:pPr>
        <w:ind w:left="660" w:right="220" w:hanging="328"/>
        <w:spacing w:after="0" w:line="308" w:lineRule="auto"/>
        <w:tabs>
          <w:tab w:leader="none" w:pos="655"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ability of our compliance and risk management methods to effectively monitor and manage our risks, including our ability to prevent errors and misconduct and protect our infrastructure against security breaches and misappropriation of our intellectual property assets;</w:t>
      </w:r>
    </w:p>
    <w:p>
      <w:pPr>
        <w:spacing w:after="0" w:line="38" w:lineRule="exact"/>
        <w:rPr>
          <w:rFonts w:ascii="Arial" w:cs="Arial" w:eastAsia="Arial" w:hAnsi="Arial"/>
          <w:sz w:val="17"/>
          <w:szCs w:val="17"/>
          <w:color w:val="auto"/>
        </w:rPr>
      </w:pPr>
    </w:p>
    <w:p>
      <w:pPr>
        <w:ind w:left="660" w:right="42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dependence on third-party providers and exposure to risk through third-parties, including risks related to the performance, reliability and security of technology used by our third-party providers;</w:t>
      </w:r>
    </w:p>
    <w:p>
      <w:pPr>
        <w:spacing w:after="0" w:line="62"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volatility in commodity, equity and fixed income prices, and price volatility of financial benchmarks and instruments such as interest rates, credit spreads, equity indices, fixed income instruments and foreign exchange rates;</w:t>
      </w:r>
    </w:p>
    <w:p>
      <w:pPr>
        <w:spacing w:after="0" w:line="62"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social, political and market conditions, including the volatility of the capital and credit markets and the impact of economic conditions on the trading activity of our current and potential customers;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the COVID-19 pandemic and response by governments and other third parties;</w:t>
      </w:r>
    </w:p>
    <w:p>
      <w:pPr>
        <w:spacing w:after="0" w:line="117" w:lineRule="exact"/>
        <w:rPr>
          <w:rFonts w:ascii="Arial" w:cs="Arial" w:eastAsia="Arial" w:hAnsi="Arial"/>
          <w:sz w:val="18"/>
          <w:szCs w:val="18"/>
          <w:color w:val="auto"/>
        </w:rPr>
      </w:pPr>
    </w:p>
    <w:p>
      <w:pPr>
        <w:ind w:left="660" w:right="74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accommodate increases in contract volume and order transaction traffic and to implement enhancements without failure or degradation of the performance of our trading and clearing systems;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execute our growth strategy and maintain our growth effectively;</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the risks, control the costs and achieve the synergies associated with our strategy for acquisitions, investments and alliances, including those associated with the acquisition of NEX;</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continue to generate funds and/or manage our indebtedness to allow us to continue to invest in our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industry and customer consolidation;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decreases in trading and clearing activity;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imposition of a transaction tax or user fee on futures and options transactions and/or repeal of the 60/40 tax treatment of such transactions;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our brand and reputation;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unfavorable resolution of material legal proceedings.</w:t>
      </w:r>
    </w:p>
    <w:p>
      <w:pPr>
        <w:spacing w:after="0" w:line="17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For a detailed discussion of these and other factors that might affect our performance, see Item 1A. of our Annual Report on Form 10-K, filed with the Securities and Exchange Commission on February 28, 2020 and Item 1A. of this Quarterly Report on Form 10-Q.</w:t>
      </w:r>
    </w:p>
    <w:p>
      <w:pPr>
        <w:spacing w:after="0" w:line="200" w:lineRule="exact"/>
        <w:rPr>
          <w:sz w:val="20"/>
          <w:szCs w:val="20"/>
          <w:color w:val="auto"/>
        </w:rPr>
      </w:pPr>
    </w:p>
    <w:p>
      <w:pPr>
        <w:spacing w:after="0" w:line="3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7900" w:type="dxa"/>
            <w:vAlign w:val="bottom"/>
            <w:gridSpan w:val="3"/>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0"/>
        </w:trPr>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rPr>
              <w:t>ITEM 1.</w:t>
            </w:r>
          </w:p>
        </w:tc>
        <w:tc>
          <w:tcPr>
            <w:tcW w:w="6680" w:type="dxa"/>
            <w:vAlign w:val="bottom"/>
          </w:tcPr>
          <w:p>
            <w:pPr>
              <w:ind w:left="40"/>
              <w:spacing w:after="0"/>
              <w:rPr>
                <w:sz w:val="20"/>
                <w:szCs w:val="20"/>
                <w:color w:val="auto"/>
              </w:rPr>
            </w:pPr>
            <w:r>
              <w:rPr>
                <w:rFonts w:ascii="Arial" w:cs="Arial" w:eastAsia="Arial" w:hAnsi="Arial"/>
                <w:sz w:val="18"/>
                <w:szCs w:val="18"/>
                <w:b w:val="1"/>
                <w:bCs w:val="1"/>
                <w:color w:val="auto"/>
              </w:rPr>
              <w:t>FINANCIAL STATEMENTS</w:t>
            </w: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680" w:type="dxa"/>
            <w:vAlign w:val="bottom"/>
          </w:tcPr>
          <w:p>
            <w:pPr>
              <w:jc w:val="center"/>
              <w:ind w:left="2030"/>
              <w:spacing w:after="0"/>
              <w:rPr>
                <w:sz w:val="20"/>
                <w:szCs w:val="20"/>
                <w:color w:val="auto"/>
              </w:rPr>
            </w:pPr>
            <w:r>
              <w:rPr>
                <w:rFonts w:ascii="Arial" w:cs="Arial" w:eastAsia="Arial" w:hAnsi="Arial"/>
                <w:sz w:val="18"/>
                <w:szCs w:val="18"/>
                <w:b w:val="1"/>
                <w:bCs w:val="1"/>
                <w:color w:val="auto"/>
                <w:w w:val="99"/>
              </w:rPr>
              <w:t>CME GROUP INC. AND SUBSIDIARIES</w:t>
            </w: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680" w:type="dxa"/>
            <w:vAlign w:val="bottom"/>
          </w:tcPr>
          <w:p>
            <w:pPr>
              <w:jc w:val="center"/>
              <w:ind w:left="2030"/>
              <w:spacing w:after="0"/>
              <w:rPr>
                <w:sz w:val="20"/>
                <w:szCs w:val="20"/>
                <w:color w:val="auto"/>
              </w:rPr>
            </w:pPr>
            <w:r>
              <w:rPr>
                <w:rFonts w:ascii="Arial" w:cs="Arial" w:eastAsia="Arial" w:hAnsi="Arial"/>
                <w:sz w:val="18"/>
                <w:szCs w:val="18"/>
                <w:b w:val="1"/>
                <w:bCs w:val="1"/>
                <w:color w:val="auto"/>
                <w:w w:val="99"/>
              </w:rPr>
              <w:t>CONSOLIDATED BALANCE SHEETS</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680" w:type="dxa"/>
            <w:vAlign w:val="bottom"/>
          </w:tcPr>
          <w:p>
            <w:pPr>
              <w:jc w:val="center"/>
              <w:ind w:left="2050"/>
              <w:spacing w:after="0"/>
              <w:rPr>
                <w:sz w:val="20"/>
                <w:szCs w:val="20"/>
                <w:color w:val="auto"/>
              </w:rPr>
            </w:pPr>
            <w:r>
              <w:rPr>
                <w:rFonts w:ascii="Arial" w:cs="Arial" w:eastAsia="Arial" w:hAnsi="Arial"/>
                <w:sz w:val="18"/>
                <w:szCs w:val="18"/>
                <w:color w:val="auto"/>
                <w:w w:val="90"/>
              </w:rPr>
              <w:t>(dollars in millions, except par value data; shares in thousands)</w:t>
            </w: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2020</w:t>
            </w:r>
          </w:p>
        </w:tc>
        <w:tc>
          <w:tcPr>
            <w:tcW w:w="160" w:type="dxa"/>
            <w:vAlign w:val="bottom"/>
          </w:tcPr>
          <w:p>
            <w:pPr>
              <w:spacing w:after="0"/>
              <w:rPr>
                <w:sz w:val="22"/>
                <w:szCs w:val="22"/>
                <w:color w:val="auto"/>
              </w:rPr>
            </w:pPr>
          </w:p>
        </w:tc>
        <w:tc>
          <w:tcPr>
            <w:tcW w:w="1420" w:type="dxa"/>
            <w:vAlign w:val="bottom"/>
          </w:tcPr>
          <w:p>
            <w:pPr>
              <w:jc w:val="right"/>
              <w:ind w:right="111"/>
              <w:spacing w:after="0"/>
              <w:rPr>
                <w:sz w:val="20"/>
                <w:szCs w:val="20"/>
                <w:color w:val="auto"/>
              </w:rPr>
            </w:pPr>
            <w:r>
              <w:rPr>
                <w:rFonts w:ascii="Arial" w:cs="Arial" w:eastAsia="Arial" w:hAnsi="Arial"/>
                <w:sz w:val="14"/>
                <w:szCs w:val="14"/>
                <w:b w:val="1"/>
                <w:bCs w:val="1"/>
                <w:color w:val="auto"/>
                <w:w w:val="95"/>
              </w:rPr>
              <w:t>December 31, 2019</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1180" w:type="dxa"/>
            <w:vAlign w:val="bottom"/>
            <w:tcBorders>
              <w:top w:val="single" w:sz="8" w:color="CCEEFF"/>
            </w:tcBorders>
            <w:shd w:val="clear" w:color="auto" w:fill="CCEEFF"/>
          </w:tcPr>
          <w:p>
            <w:pPr>
              <w:spacing w:after="0"/>
              <w:rPr>
                <w:sz w:val="16"/>
                <w:szCs w:val="16"/>
                <w:color w:val="auto"/>
              </w:rPr>
            </w:pPr>
          </w:p>
        </w:tc>
        <w:tc>
          <w:tcPr>
            <w:tcW w:w="66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jc w:val="right"/>
              <w:ind w:right="371"/>
              <w:spacing w:after="0"/>
              <w:rPr>
                <w:sz w:val="20"/>
                <w:szCs w:val="20"/>
                <w:color w:val="auto"/>
              </w:rPr>
            </w:pPr>
            <w:r>
              <w:rPr>
                <w:rFonts w:ascii="Arial" w:cs="Arial" w:eastAsia="Arial" w:hAnsi="Arial"/>
                <w:sz w:val="14"/>
                <w:szCs w:val="14"/>
                <w:b w:val="1"/>
                <w:bCs w:val="1"/>
                <w:color w:val="auto"/>
              </w:rPr>
              <w:t>(unaudited)</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18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6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w w:val="93"/>
              </w:rPr>
              <w:t>Current Assets:</w:t>
            </w:r>
          </w:p>
        </w:tc>
        <w:tc>
          <w:tcPr>
            <w:tcW w:w="6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860" w:type="dxa"/>
            <w:vAlign w:val="bottom"/>
            <w:gridSpan w:val="2"/>
          </w:tcPr>
          <w:p>
            <w:pPr>
              <w:ind w:left="32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1,332.1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1,551.4</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Marketable securities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860" w:type="dxa"/>
            <w:vAlign w:val="bottom"/>
            <w:gridSpan w:val="2"/>
          </w:tcPr>
          <w:p>
            <w:pPr>
              <w:ind w:left="320"/>
              <w:spacing w:after="0"/>
              <w:rPr>
                <w:sz w:val="20"/>
                <w:szCs w:val="20"/>
                <w:color w:val="auto"/>
              </w:rPr>
            </w:pPr>
            <w:r>
              <w:rPr>
                <w:rFonts w:ascii="Arial" w:cs="Arial" w:eastAsia="Arial" w:hAnsi="Arial"/>
                <w:sz w:val="18"/>
                <w:szCs w:val="18"/>
                <w:color w:val="auto"/>
              </w:rPr>
              <w:t>Accounts receivable, net of allowance of $4.8 and $3.4</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490.9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491.8</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Other current assets (includes $4.5 and $4.3 in restricted cash)</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364.4</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86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Performance bonds and guaranty fund contributions</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88,083.8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37,077.0</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90,349.3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39,567.8</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Property, net of accumulated depreciation and amortization of $931.9 and $867.5</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547.2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544.0</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assets—trading products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17,175.3</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Intangible assets—other, net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4,893.8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5,117.7</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6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10,742.5</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8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assets (includes $0.7 and $0.9 in restricted cash)</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2,037.4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2,068.0</w:t>
            </w: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66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125,758.8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75,215.3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86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860" w:type="dxa"/>
            <w:vAlign w:val="bottom"/>
            <w:gridSpan w:val="2"/>
          </w:tcPr>
          <w:p>
            <w:pPr>
              <w:ind w:left="320"/>
              <w:spacing w:after="0"/>
              <w:rPr>
                <w:sz w:val="20"/>
                <w:szCs w:val="20"/>
                <w:color w:val="auto"/>
              </w:rPr>
            </w:pPr>
            <w:r>
              <w:rPr>
                <w:rFonts w:ascii="Arial" w:cs="Arial" w:eastAsia="Arial" w:hAnsi="Arial"/>
                <w:sz w:val="18"/>
                <w:szCs w:val="18"/>
                <w:color w:val="auto"/>
              </w:rPr>
              <w:t>Other current liabilities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448.0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1,384.8</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Performance bonds and guaranty fund contributions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88,083.4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37,075.8</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88,630.9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38,522.5</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w w:val="94"/>
              </w:rPr>
              <w:t>Long-term debt</w:t>
            </w:r>
          </w:p>
        </w:tc>
        <w:tc>
          <w:tcPr>
            <w:tcW w:w="6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3,743.2</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Deferred income tax liabilities, net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5,620.8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5,635.2</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w w:val="98"/>
              </w:rPr>
              <w:t>Other liabilities</w:t>
            </w:r>
          </w:p>
        </w:tc>
        <w:tc>
          <w:tcPr>
            <w:tcW w:w="66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1,155.1</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180" w:type="dxa"/>
            <w:vAlign w:val="bottom"/>
          </w:tcPr>
          <w:p>
            <w:pPr>
              <w:spacing w:after="0"/>
              <w:rPr>
                <w:sz w:val="20"/>
                <w:szCs w:val="20"/>
                <w:color w:val="auto"/>
              </w:rPr>
            </w:pPr>
            <w:r>
              <w:rPr>
                <w:rFonts w:ascii="Arial" w:cs="Arial" w:eastAsia="Arial" w:hAnsi="Arial"/>
                <w:sz w:val="18"/>
                <w:szCs w:val="18"/>
                <w:color w:val="auto"/>
                <w:w w:val="97"/>
              </w:rPr>
              <w:t>Total Liabilities</w:t>
            </w:r>
          </w:p>
        </w:tc>
        <w:tc>
          <w:tcPr>
            <w:tcW w:w="6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98,748.4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49,056.0</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7860" w:type="dxa"/>
            <w:vAlign w:val="bottom"/>
            <w:gridSpan w:val="2"/>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7860" w:type="dxa"/>
            <w:vAlign w:val="bottom"/>
            <w:gridSpan w:val="2"/>
            <w:shd w:val="clear" w:color="auto" w:fill="CCEEFF"/>
          </w:tcPr>
          <w:p>
            <w:pPr>
              <w:ind w:left="320"/>
              <w:spacing w:after="0" w:line="176" w:lineRule="exact"/>
              <w:rPr>
                <w:sz w:val="20"/>
                <w:szCs w:val="20"/>
                <w:color w:val="auto"/>
              </w:rPr>
            </w:pPr>
            <w:r>
              <w:rPr>
                <w:rFonts w:ascii="Arial" w:cs="Arial" w:eastAsia="Arial" w:hAnsi="Arial"/>
                <w:sz w:val="18"/>
                <w:szCs w:val="18"/>
                <w:color w:val="auto"/>
                <w:w w:val="92"/>
              </w:rPr>
              <w:t>Preferred stock, $0.01 par value, 10,000 shares authorized at September 30, 2020 and December 31,</w:t>
            </w:r>
          </w:p>
        </w:tc>
        <w:tc>
          <w:tcPr>
            <w:tcW w:w="160" w:type="dxa"/>
            <w:vAlign w:val="bottom"/>
            <w:shd w:val="clear" w:color="auto" w:fill="CCEEFF"/>
          </w:tcPr>
          <w:p>
            <w:pPr>
              <w:spacing w:after="0"/>
              <w:rPr>
                <w:sz w:val="15"/>
                <w:szCs w:val="15"/>
                <w:color w:val="auto"/>
              </w:rPr>
            </w:pPr>
          </w:p>
        </w:tc>
        <w:tc>
          <w:tcPr>
            <w:tcW w:w="15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2019; none issued</w:t>
            </w:r>
          </w:p>
        </w:tc>
        <w:tc>
          <w:tcPr>
            <w:tcW w:w="160" w:type="dxa"/>
            <w:vAlign w:val="bottom"/>
            <w:shd w:val="clear" w:color="auto" w:fill="CCEEFF"/>
          </w:tcPr>
          <w:p>
            <w:pPr>
              <w:spacing w:after="0"/>
              <w:rPr>
                <w:sz w:val="19"/>
                <w:szCs w:val="19"/>
                <w:color w:val="auto"/>
              </w:rPr>
            </w:pPr>
          </w:p>
        </w:tc>
        <w:tc>
          <w:tcPr>
            <w:tcW w:w="158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7860" w:type="dxa"/>
            <w:vAlign w:val="bottom"/>
            <w:gridSpan w:val="2"/>
          </w:tcPr>
          <w:p>
            <w:pPr>
              <w:ind w:left="320"/>
              <w:spacing w:after="0" w:line="176" w:lineRule="exact"/>
              <w:rPr>
                <w:sz w:val="20"/>
                <w:szCs w:val="20"/>
                <w:color w:val="auto"/>
              </w:rPr>
            </w:pPr>
            <w:r>
              <w:rPr>
                <w:rFonts w:ascii="Arial" w:cs="Arial" w:eastAsia="Arial" w:hAnsi="Arial"/>
                <w:sz w:val="18"/>
                <w:szCs w:val="18"/>
                <w:color w:val="auto"/>
                <w:w w:val="96"/>
              </w:rPr>
              <w:t>Class A common stock, $0.01 par value, 1,000,000 shares authorized at September 30, 2020 and</w:t>
            </w: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7860" w:type="dxa"/>
            <w:vAlign w:val="bottom"/>
            <w:gridSpan w:val="2"/>
          </w:tcPr>
          <w:p>
            <w:pPr>
              <w:ind w:left="320"/>
              <w:spacing w:after="0" w:line="176" w:lineRule="exact"/>
              <w:rPr>
                <w:sz w:val="20"/>
                <w:szCs w:val="20"/>
                <w:color w:val="auto"/>
              </w:rPr>
            </w:pPr>
            <w:r>
              <w:rPr>
                <w:rFonts w:ascii="Arial" w:cs="Arial" w:eastAsia="Arial" w:hAnsi="Arial"/>
                <w:sz w:val="18"/>
                <w:szCs w:val="18"/>
                <w:color w:val="auto"/>
                <w:w w:val="90"/>
              </w:rPr>
              <w:t>December 31, 2019; 358,030 and 357,469 shares issued and outstanding as of September 30, 2020 and</w:t>
            </w:r>
          </w:p>
        </w:tc>
        <w:tc>
          <w:tcPr>
            <w:tcW w:w="16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860" w:type="dxa"/>
            <w:vAlign w:val="bottom"/>
            <w:gridSpan w:val="2"/>
          </w:tcPr>
          <w:p>
            <w:pPr>
              <w:ind w:left="320"/>
              <w:spacing w:after="0"/>
              <w:rPr>
                <w:sz w:val="20"/>
                <w:szCs w:val="20"/>
                <w:color w:val="auto"/>
              </w:rPr>
            </w:pPr>
            <w:r>
              <w:rPr>
                <w:rFonts w:ascii="Arial" w:cs="Arial" w:eastAsia="Arial" w:hAnsi="Arial"/>
                <w:sz w:val="18"/>
                <w:szCs w:val="18"/>
                <w:color w:val="auto"/>
              </w:rPr>
              <w:t>December 31, 2019, respectively</w:t>
            </w:r>
          </w:p>
        </w:tc>
        <w:tc>
          <w:tcPr>
            <w:tcW w:w="160" w:type="dxa"/>
            <w:vAlign w:val="bottom"/>
          </w:tcPr>
          <w:p>
            <w:pPr>
              <w:spacing w:after="0"/>
              <w:rPr>
                <w:sz w:val="19"/>
                <w:szCs w:val="19"/>
                <w:color w:val="auto"/>
              </w:rPr>
            </w:pPr>
          </w:p>
        </w:tc>
        <w:tc>
          <w:tcPr>
            <w:tcW w:w="14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7860" w:type="dxa"/>
            <w:vAlign w:val="bottom"/>
            <w:gridSpan w:val="2"/>
            <w:shd w:val="clear" w:color="auto" w:fill="CCEEFF"/>
          </w:tcPr>
          <w:p>
            <w:pPr>
              <w:ind w:left="320"/>
              <w:spacing w:after="0" w:line="176" w:lineRule="exact"/>
              <w:rPr>
                <w:sz w:val="20"/>
                <w:szCs w:val="20"/>
                <w:color w:val="auto"/>
              </w:rPr>
            </w:pPr>
            <w:r>
              <w:rPr>
                <w:rFonts w:ascii="Arial" w:cs="Arial" w:eastAsia="Arial" w:hAnsi="Arial"/>
                <w:sz w:val="18"/>
                <w:szCs w:val="18"/>
                <w:color w:val="auto"/>
                <w:w w:val="91"/>
              </w:rPr>
              <w:t>Class B common stock, $0.01 par value, 3 shares authorized, issued and outstanding as of September</w:t>
            </w:r>
          </w:p>
        </w:tc>
        <w:tc>
          <w:tcPr>
            <w:tcW w:w="160" w:type="dxa"/>
            <w:vAlign w:val="bottom"/>
            <w:shd w:val="clear" w:color="auto" w:fill="CCEEFF"/>
          </w:tcPr>
          <w:p>
            <w:pPr>
              <w:spacing w:after="0"/>
              <w:rPr>
                <w:sz w:val="15"/>
                <w:szCs w:val="15"/>
                <w:color w:val="auto"/>
              </w:rPr>
            </w:pPr>
          </w:p>
        </w:tc>
        <w:tc>
          <w:tcPr>
            <w:tcW w:w="15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30, 2020 and December 31, 2019</w:t>
            </w:r>
          </w:p>
        </w:tc>
        <w:tc>
          <w:tcPr>
            <w:tcW w:w="160" w:type="dxa"/>
            <w:vAlign w:val="bottom"/>
            <w:shd w:val="clear" w:color="auto" w:fill="CCEEFF"/>
          </w:tcPr>
          <w:p>
            <w:pPr>
              <w:spacing w:after="0"/>
              <w:rPr>
                <w:sz w:val="19"/>
                <w:szCs w:val="19"/>
                <w:color w:val="auto"/>
              </w:rPr>
            </w:pPr>
          </w:p>
        </w:tc>
        <w:tc>
          <w:tcPr>
            <w:tcW w:w="158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860" w:type="dxa"/>
            <w:vAlign w:val="bottom"/>
            <w:gridSpan w:val="2"/>
          </w:tcPr>
          <w:p>
            <w:pPr>
              <w:ind w:left="32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21,157.2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21,113.2</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5,008.7</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86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Accumulated other comprehensive income (loss)</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CME Group Shareholders’ Equity</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26,979.6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26,128.9</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8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Non-controlling interests</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66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27,010.4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26,159.3</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86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125,758.8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75,215.3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4"/>
          </w:tcPr>
          <w:p>
            <w:pPr>
              <w:jc w:val="right"/>
              <w:ind w:right="691"/>
              <w:spacing w:after="0"/>
              <w:rPr>
                <w:sz w:val="20"/>
                <w:szCs w:val="20"/>
                <w:color w:val="auto"/>
              </w:rPr>
            </w:pPr>
            <w:r>
              <w:rPr>
                <w:rFonts w:ascii="Arial" w:cs="Arial" w:eastAsia="Arial" w:hAnsi="Arial"/>
                <w:sz w:val="14"/>
                <w:szCs w:val="14"/>
                <w:b w:val="1"/>
                <w:bCs w:val="1"/>
                <w:color w:val="auto"/>
              </w:rPr>
              <w:t>Nine Months Ended</w:t>
            </w:r>
          </w:p>
        </w:tc>
      </w:tr>
      <w:tr>
        <w:trPr>
          <w:trHeight w:val="195"/>
        </w:trPr>
        <w:tc>
          <w:tcPr>
            <w:tcW w:w="55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87"/>
        </w:trPr>
        <w:tc>
          <w:tcPr>
            <w:tcW w:w="55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r>
      <w:tr>
        <w:trPr>
          <w:trHeight w:val="211"/>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Clearing and transaction fees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835.4</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1,040.7</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3,054.4</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3,045.1</w:t>
            </w: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 data and information services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388.2</w:t>
            </w:r>
          </w:p>
        </w:tc>
      </w:tr>
      <w:tr>
        <w:trPr>
          <w:trHeight w:val="230"/>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296.3</w:t>
            </w:r>
          </w:p>
        </w:tc>
      </w:tr>
      <w:tr>
        <w:trPr>
          <w:trHeight w:val="22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1,080.7</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3,785.1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3,729.6</w:t>
            </w:r>
          </w:p>
        </w:tc>
      </w:tr>
      <w:tr>
        <w:trPr>
          <w:trHeight w:val="210"/>
        </w:trPr>
        <w:tc>
          <w:tcPr>
            <w:tcW w:w="552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 and benefits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681.1</w:t>
            </w: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Technology</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144.9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148.4</w:t>
            </w: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fees and outside services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w:t>
            </w: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Amortization of purchased intangibles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232.2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236.6</w:t>
            </w: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w:t>
            </w: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Licensing and other fee agreements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187.0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130.9</w:t>
            </w: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272.9</w:t>
            </w:r>
          </w:p>
        </w:tc>
      </w:tr>
      <w:tr>
        <w:trPr>
          <w:trHeight w:val="223"/>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Expenses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555.7</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1,662.7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1,714.8</w:t>
            </w:r>
          </w:p>
        </w:tc>
      </w:tr>
      <w:tr>
        <w:trPr>
          <w:trHeight w:val="22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2,014.8</w:t>
            </w:r>
          </w:p>
        </w:tc>
      </w:tr>
      <w:tr>
        <w:trPr>
          <w:trHeight w:val="162"/>
        </w:trPr>
        <w:tc>
          <w:tcPr>
            <w:tcW w:w="5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Non-Operating Income (Expense)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Investment income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172.3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151.6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490.3</w:t>
            </w: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borrowing costs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w:t>
            </w: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Equity in net earnings of unconsolidated subsidiaries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144.0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132.3</w:t>
            </w: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non-operating income (expense)</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(435.9)</w:t>
            </w:r>
          </w:p>
        </w:tc>
      </w:tr>
      <w:tr>
        <w:trPr>
          <w:trHeight w:val="223"/>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Non-Operating Income (Expense)</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w:t>
            </w:r>
          </w:p>
        </w:tc>
      </w:tr>
      <w:tr>
        <w:trPr>
          <w:trHeight w:val="22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2,065.5</w:t>
            </w:r>
          </w:p>
        </w:tc>
      </w:tr>
      <w:tr>
        <w:trPr>
          <w:trHeight w:val="230"/>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provision</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w:t>
            </w: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418.7</w:t>
            </w:r>
          </w:p>
        </w:tc>
      </w:tr>
      <w:tr>
        <w:trPr>
          <w:trHeight w:val="22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1,646.8</w:t>
            </w: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Less: net (income) loss attributable to non-controlling interests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48"/>
        </w:trPr>
        <w:tc>
          <w:tcPr>
            <w:tcW w:w="5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CME Group</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1,647.0</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 per Common Share Attributable to CME Group:</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4.61</w:t>
            </w: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b w:val="1"/>
                <w:bCs w:val="1"/>
                <w:color w:val="auto"/>
              </w:rPr>
              <w:t>Weighted Average Number of Common Shares: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357,791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357,211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357,669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357,054</w:t>
            </w: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358,590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358,369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358,492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358,201</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00" w:type="dxa"/>
            <w:vAlign w:val="bottom"/>
            <w:gridSpan w:val="4"/>
          </w:tcPr>
          <w:p>
            <w:pPr>
              <w:jc w:val="right"/>
              <w:ind w:right="59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59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9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1,646.8</w:t>
            </w:r>
          </w:p>
        </w:tc>
        <w:tc>
          <w:tcPr>
            <w:tcW w:w="0" w:type="dxa"/>
            <w:vAlign w:val="bottom"/>
          </w:tcPr>
          <w:p>
            <w:pPr>
              <w:spacing w:after="0"/>
              <w:rPr>
                <w:sz w:val="1"/>
                <w:szCs w:val="1"/>
                <w:color w:val="auto"/>
              </w:rPr>
            </w:pP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 securities: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460"/>
              <w:spacing w:after="0"/>
              <w:rPr>
                <w:sz w:val="20"/>
                <w:szCs w:val="20"/>
                <w:color w:val="auto"/>
              </w:rPr>
            </w:pPr>
            <w:r>
              <w:rPr>
                <w:rFonts w:ascii="Arial" w:cs="Arial" w:eastAsia="Arial" w:hAnsi="Arial"/>
                <w:sz w:val="18"/>
                <w:szCs w:val="18"/>
                <w:color w:val="auto"/>
              </w:rPr>
              <w:t>Net unrealized holding gains (losses) arising during the period</w:t>
            </w: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76"/>
        </w:trPr>
        <w:tc>
          <w:tcPr>
            <w:tcW w:w="5980" w:type="dxa"/>
            <w:vAlign w:val="bottom"/>
            <w:shd w:val="clear" w:color="auto" w:fill="CCEEFF"/>
          </w:tcPr>
          <w:p>
            <w:pPr>
              <w:ind w:left="460"/>
              <w:spacing w:after="0" w:line="176" w:lineRule="exact"/>
              <w:rPr>
                <w:sz w:val="20"/>
                <w:szCs w:val="20"/>
                <w:color w:val="auto"/>
              </w:rPr>
            </w:pPr>
            <w:r>
              <w:rPr>
                <w:rFonts w:ascii="Arial" w:cs="Arial" w:eastAsia="Arial" w:hAnsi="Arial"/>
                <w:sz w:val="18"/>
                <w:szCs w:val="18"/>
                <w:color w:val="auto"/>
              </w:rPr>
              <w:t>Reclassification of net (gains) losses on sales included in investment</w:t>
            </w:r>
          </w:p>
        </w:tc>
        <w:tc>
          <w:tcPr>
            <w:tcW w:w="28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income</w:t>
            </w:r>
          </w:p>
        </w:tc>
        <w:tc>
          <w:tcPr>
            <w:tcW w:w="28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460"/>
              <w:spacing w:after="0"/>
              <w:rPr>
                <w:sz w:val="20"/>
                <w:szCs w:val="20"/>
                <w:color w:val="auto"/>
              </w:rPr>
            </w:pPr>
            <w:r>
              <w:rPr>
                <w:rFonts w:ascii="Arial" w:cs="Arial" w:eastAsia="Arial" w:hAnsi="Arial"/>
                <w:sz w:val="18"/>
                <w:szCs w:val="18"/>
                <w:color w:val="auto"/>
              </w:rPr>
              <w:t>Income tax benefit (expense)</w:t>
            </w: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Investment securities, net</w:t>
            </w:r>
          </w:p>
        </w:tc>
        <w:tc>
          <w:tcPr>
            <w:tcW w:w="2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9"/>
        </w:trPr>
        <w:tc>
          <w:tcPr>
            <w:tcW w:w="5980" w:type="dxa"/>
            <w:vAlign w:val="bottom"/>
          </w:tcPr>
          <w:p>
            <w:pPr>
              <w:ind w:left="220"/>
              <w:spacing w:after="0"/>
              <w:rPr>
                <w:sz w:val="20"/>
                <w:szCs w:val="20"/>
                <w:color w:val="auto"/>
              </w:rPr>
            </w:pPr>
            <w:r>
              <w:rPr>
                <w:rFonts w:ascii="Arial" w:cs="Arial" w:eastAsia="Arial" w:hAnsi="Arial"/>
                <w:sz w:val="18"/>
                <w:szCs w:val="18"/>
                <w:color w:val="auto"/>
              </w:rPr>
              <w:t>Defined benefit plans: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Net change in defined benefit plans arising during the period</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75"/>
        </w:trPr>
        <w:tc>
          <w:tcPr>
            <w:tcW w:w="5980" w:type="dxa"/>
            <w:vAlign w:val="bottom"/>
          </w:tcPr>
          <w:p>
            <w:pPr>
              <w:ind w:left="460"/>
              <w:spacing w:after="0" w:line="176" w:lineRule="exact"/>
              <w:rPr>
                <w:sz w:val="20"/>
                <w:szCs w:val="20"/>
                <w:color w:val="auto"/>
              </w:rPr>
            </w:pPr>
            <w:r>
              <w:rPr>
                <w:rFonts w:ascii="Arial" w:cs="Arial" w:eastAsia="Arial" w:hAnsi="Arial"/>
                <w:sz w:val="18"/>
                <w:szCs w:val="18"/>
                <w:color w:val="auto"/>
                <w:w w:val="94"/>
              </w:rPr>
              <w:t>Amortization of net actuarial (gains) losses included in compensation and</w:t>
            </w:r>
          </w:p>
        </w:tc>
        <w:tc>
          <w:tcPr>
            <w:tcW w:w="2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5980" w:type="dxa"/>
            <w:vAlign w:val="bottom"/>
          </w:tcPr>
          <w:p>
            <w:pPr>
              <w:ind w:left="460"/>
              <w:spacing w:after="0"/>
              <w:rPr>
                <w:sz w:val="20"/>
                <w:szCs w:val="20"/>
                <w:color w:val="auto"/>
              </w:rPr>
            </w:pPr>
            <w:r>
              <w:rPr>
                <w:rFonts w:ascii="Arial" w:cs="Arial" w:eastAsia="Arial" w:hAnsi="Arial"/>
                <w:sz w:val="18"/>
                <w:szCs w:val="18"/>
                <w:color w:val="auto"/>
              </w:rPr>
              <w:t>benefits expense</w:t>
            </w:r>
          </w:p>
        </w:tc>
        <w:tc>
          <w:tcPr>
            <w:tcW w:w="28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Income tax benefit (expense)</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5980" w:type="dxa"/>
            <w:vAlign w:val="bottom"/>
          </w:tcPr>
          <w:p>
            <w:pPr>
              <w:ind w:left="220"/>
              <w:spacing w:after="0"/>
              <w:rPr>
                <w:sz w:val="20"/>
                <w:szCs w:val="20"/>
                <w:color w:val="auto"/>
              </w:rPr>
            </w:pPr>
            <w:r>
              <w:rPr>
                <w:rFonts w:ascii="Arial" w:cs="Arial" w:eastAsia="Arial" w:hAnsi="Arial"/>
                <w:sz w:val="18"/>
                <w:szCs w:val="18"/>
                <w:color w:val="auto"/>
              </w:rPr>
              <w:t>Defined benefit plans, net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Derivative investments: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460"/>
              <w:spacing w:after="0"/>
              <w:rPr>
                <w:sz w:val="20"/>
                <w:szCs w:val="20"/>
                <w:color w:val="auto"/>
              </w:rPr>
            </w:pPr>
            <w:r>
              <w:rPr>
                <w:rFonts w:ascii="Arial" w:cs="Arial" w:eastAsia="Arial" w:hAnsi="Arial"/>
                <w:sz w:val="18"/>
                <w:szCs w:val="18"/>
                <w:color w:val="auto"/>
              </w:rPr>
              <w:t>Net unrealized holding gains (losses) arising during the period</w:t>
            </w: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175"/>
        </w:trPr>
        <w:tc>
          <w:tcPr>
            <w:tcW w:w="5980" w:type="dxa"/>
            <w:vAlign w:val="bottom"/>
            <w:shd w:val="clear" w:color="auto" w:fill="CCEEFF"/>
          </w:tcPr>
          <w:p>
            <w:pPr>
              <w:ind w:left="460"/>
              <w:spacing w:after="0" w:line="176" w:lineRule="exact"/>
              <w:rPr>
                <w:sz w:val="20"/>
                <w:szCs w:val="20"/>
                <w:color w:val="auto"/>
              </w:rPr>
            </w:pPr>
            <w:r>
              <w:rPr>
                <w:rFonts w:ascii="Arial" w:cs="Arial" w:eastAsia="Arial" w:hAnsi="Arial"/>
                <w:sz w:val="18"/>
                <w:szCs w:val="18"/>
                <w:color w:val="auto"/>
                <w:w w:val="96"/>
              </w:rPr>
              <w:t>Reclassification of net unrealized (gains) losses to interest expense and</w:t>
            </w:r>
          </w:p>
        </w:tc>
        <w:tc>
          <w:tcPr>
            <w:tcW w:w="2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 non-operating income (expense)</w:t>
            </w:r>
          </w:p>
        </w:tc>
        <w:tc>
          <w:tcPr>
            <w:tcW w:w="28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Income tax benefit (expense)</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Derivative investments, net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0"/>
        </w:trPr>
        <w:tc>
          <w:tcPr>
            <w:tcW w:w="5980" w:type="dxa"/>
            <w:vAlign w:val="bottom"/>
          </w:tcPr>
          <w:p>
            <w:pPr>
              <w:ind w:left="220"/>
              <w:spacing w:after="0"/>
              <w:rPr>
                <w:sz w:val="20"/>
                <w:szCs w:val="20"/>
                <w:color w:val="auto"/>
              </w:rPr>
            </w:pPr>
            <w:r>
              <w:rPr>
                <w:rFonts w:ascii="Arial" w:cs="Arial" w:eastAsia="Arial" w:hAnsi="Arial"/>
                <w:sz w:val="18"/>
                <w:szCs w:val="18"/>
                <w:color w:val="auto"/>
              </w:rPr>
              <w:t>Foreign currency translation:</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Foreign currency translation adjustments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176"/>
        </w:trPr>
        <w:tc>
          <w:tcPr>
            <w:tcW w:w="5980" w:type="dxa"/>
            <w:vAlign w:val="bottom"/>
          </w:tcPr>
          <w:p>
            <w:pPr>
              <w:ind w:left="460"/>
              <w:spacing w:after="0" w:line="176" w:lineRule="exact"/>
              <w:rPr>
                <w:sz w:val="20"/>
                <w:szCs w:val="20"/>
                <w:color w:val="auto"/>
              </w:rPr>
            </w:pPr>
            <w:r>
              <w:rPr>
                <w:rFonts w:ascii="Arial" w:cs="Arial" w:eastAsia="Arial" w:hAnsi="Arial"/>
                <w:sz w:val="18"/>
                <w:szCs w:val="18"/>
                <w:color w:val="auto"/>
              </w:rPr>
              <w:t>Reclassification of net currency (gains) losses from foreign entities to</w:t>
            </w:r>
          </w:p>
        </w:tc>
        <w:tc>
          <w:tcPr>
            <w:tcW w:w="280" w:type="dxa"/>
            <w:vAlign w:val="bottom"/>
          </w:tcPr>
          <w:p>
            <w:pPr>
              <w:spacing w:after="0"/>
              <w:rPr>
                <w:sz w:val="15"/>
                <w:szCs w:val="15"/>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5"/>
                <w:szCs w:val="15"/>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80" w:type="dxa"/>
            <w:vAlign w:val="bottom"/>
          </w:tcPr>
          <w:p>
            <w:pPr>
              <w:ind w:left="460"/>
              <w:spacing w:after="0"/>
              <w:rPr>
                <w:sz w:val="20"/>
                <w:szCs w:val="20"/>
                <w:color w:val="auto"/>
              </w:rPr>
            </w:pPr>
            <w:r>
              <w:rPr>
                <w:rFonts w:ascii="Arial" w:cs="Arial" w:eastAsia="Arial" w:hAnsi="Arial"/>
                <w:sz w:val="18"/>
                <w:szCs w:val="18"/>
                <w:color w:val="auto"/>
              </w:rPr>
              <w:t>other expenses</w:t>
            </w:r>
          </w:p>
        </w:tc>
        <w:tc>
          <w:tcPr>
            <w:tcW w:w="28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Income tax benefit (expense)</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Foreign currency translation, net</w:t>
            </w: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56.0</w:t>
            </w:r>
          </w:p>
        </w:tc>
        <w:tc>
          <w:tcPr>
            <w:tcW w:w="12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w:t>
            </w:r>
          </w:p>
        </w:tc>
        <w:tc>
          <w:tcPr>
            <w:tcW w:w="12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2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23"/>
        </w:trPr>
        <w:tc>
          <w:tcPr>
            <w:tcW w:w="598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468.3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598.5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1,721.9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1,609.3</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comprehensive (income) loss attributable to non-controlling interests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 attributable to CME Group</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468.5</w:t>
            </w:r>
          </w:p>
        </w:tc>
        <w:tc>
          <w:tcPr>
            <w:tcW w:w="1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598.5</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1,721.5</w:t>
            </w: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1,609.5</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120" w:type="dxa"/>
            <w:vAlign w:val="bottom"/>
          </w:tcPr>
          <w:p>
            <w:pPr>
              <w:spacing w:after="0"/>
              <w:rPr>
                <w:sz w:val="17"/>
                <w:szCs w:val="17"/>
                <w:color w:val="auto"/>
              </w:rPr>
            </w:pPr>
          </w:p>
        </w:tc>
        <w:tc>
          <w:tcPr>
            <w:tcW w:w="9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3580" w:type="dxa"/>
            <w:vAlign w:val="bottom"/>
            <w:tcBorders>
              <w:top w:val="single" w:sz="8" w:color="auto"/>
              <w:bottom w:val="single" w:sz="8" w:color="auto"/>
            </w:tcBorders>
            <w:gridSpan w:val="8"/>
          </w:tcPr>
          <w:p>
            <w:pPr>
              <w:ind w:left="40"/>
              <w:spacing w:after="0"/>
              <w:rPr>
                <w:sz w:val="20"/>
                <w:szCs w:val="20"/>
                <w:color w:val="auto"/>
              </w:rPr>
            </w:pPr>
            <w:r>
              <w:rPr>
                <w:rFonts w:ascii="Arial" w:cs="Arial" w:eastAsia="Arial" w:hAnsi="Arial"/>
                <w:sz w:val="14"/>
                <w:szCs w:val="14"/>
                <w:b w:val="1"/>
                <w:bCs w:val="1"/>
                <w:color w:val="auto"/>
              </w:rPr>
              <w:t>Nine Months Ended, September 30, 2020</w:t>
            </w:r>
          </w:p>
        </w:tc>
        <w:tc>
          <w:tcPr>
            <w:tcW w:w="1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120" w:type="dxa"/>
            <w:vAlign w:val="bottom"/>
          </w:tcPr>
          <w:p>
            <w:pPr>
              <w:spacing w:after="0"/>
              <w:rPr>
                <w:sz w:val="11"/>
                <w:szCs w:val="11"/>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Class A</w:t>
            </w:r>
          </w:p>
        </w:tc>
        <w:tc>
          <w:tcPr>
            <w:tcW w:w="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Class B</w:t>
            </w:r>
          </w:p>
        </w:tc>
        <w:tc>
          <w:tcPr>
            <w:tcW w:w="160" w:type="dxa"/>
            <w:vAlign w:val="bottom"/>
          </w:tcPr>
          <w:p>
            <w:pPr>
              <w:spacing w:after="0"/>
              <w:rPr>
                <w:sz w:val="11"/>
                <w:szCs w:val="11"/>
                <w:color w:val="auto"/>
              </w:rPr>
            </w:pPr>
          </w:p>
        </w:tc>
        <w:tc>
          <w:tcPr>
            <w:tcW w:w="1000" w:type="dxa"/>
            <w:vAlign w:val="bottom"/>
            <w:gridSpan w:val="2"/>
          </w:tcPr>
          <w:p>
            <w:pPr>
              <w:jc w:val="center"/>
              <w:ind w:right="280"/>
              <w:spacing w:after="0" w:line="130" w:lineRule="exact"/>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Stock and</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Total CME Group</w:t>
            </w:r>
          </w:p>
        </w:tc>
        <w:tc>
          <w:tcPr>
            <w:tcW w:w="140" w:type="dxa"/>
            <w:vAlign w:val="bottom"/>
          </w:tcPr>
          <w:p>
            <w:pPr>
              <w:spacing w:after="0"/>
              <w:rPr>
                <w:sz w:val="11"/>
                <w:szCs w:val="11"/>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Non-</w:t>
            </w: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tcPr>
          <w:p>
            <w:pPr>
              <w:spacing w:after="0"/>
              <w:rPr>
                <w:sz w:val="11"/>
                <w:szCs w:val="11"/>
                <w:color w:val="auto"/>
              </w:rPr>
            </w:pPr>
          </w:p>
        </w:tc>
        <w:tc>
          <w:tcPr>
            <w:tcW w:w="10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5"/>
              </w:rPr>
              <w:t>Common</w:t>
            </w:r>
          </w:p>
        </w:tc>
        <w:tc>
          <w:tcPr>
            <w:tcW w:w="9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Common</w:t>
            </w:r>
          </w:p>
        </w:tc>
        <w:tc>
          <w:tcPr>
            <w:tcW w:w="16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1"/>
                <w:szCs w:val="11"/>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11"/>
                <w:szCs w:val="11"/>
                <w:color w:val="auto"/>
              </w:rPr>
            </w:pPr>
          </w:p>
        </w:tc>
        <w:tc>
          <w:tcPr>
            <w:tcW w:w="12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Other</w:t>
            </w:r>
          </w:p>
        </w:tc>
        <w:tc>
          <w:tcPr>
            <w:tcW w:w="130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2120" w:type="dxa"/>
            <w:vAlign w:val="bottom"/>
          </w:tcPr>
          <w:p>
            <w:pPr>
              <w:spacing w:after="0"/>
              <w:rPr>
                <w:sz w:val="11"/>
                <w:szCs w:val="11"/>
                <w:color w:val="auto"/>
              </w:rPr>
            </w:pPr>
          </w:p>
        </w:tc>
        <w:tc>
          <w:tcPr>
            <w:tcW w:w="10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9"/>
              </w:rPr>
              <w:t>Stock</w:t>
            </w:r>
          </w:p>
        </w:tc>
        <w:tc>
          <w:tcPr>
            <w:tcW w:w="9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Stock</w:t>
            </w:r>
          </w:p>
        </w:tc>
        <w:tc>
          <w:tcPr>
            <w:tcW w:w="160" w:type="dxa"/>
            <w:vAlign w:val="bottom"/>
          </w:tcPr>
          <w:p>
            <w:pPr>
              <w:spacing w:after="0"/>
              <w:rPr>
                <w:sz w:val="11"/>
                <w:szCs w:val="11"/>
                <w:color w:val="auto"/>
              </w:rPr>
            </w:pPr>
          </w:p>
        </w:tc>
        <w:tc>
          <w:tcPr>
            <w:tcW w:w="10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4"/>
              </w:rPr>
              <w:t>Paid-in</w:t>
            </w:r>
          </w:p>
        </w:tc>
        <w:tc>
          <w:tcPr>
            <w:tcW w:w="14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1"/>
                <w:szCs w:val="11"/>
                <w:color w:val="auto"/>
              </w:rPr>
            </w:pPr>
          </w:p>
        </w:tc>
        <w:tc>
          <w:tcPr>
            <w:tcW w:w="11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0"/>
              </w:rPr>
              <w:t>Shareholders'</w:t>
            </w:r>
          </w:p>
        </w:tc>
        <w:tc>
          <w:tcPr>
            <w:tcW w:w="14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controlling</w:t>
            </w:r>
          </w:p>
        </w:tc>
        <w:tc>
          <w:tcPr>
            <w:tcW w:w="24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120" w:type="dxa"/>
            <w:vAlign w:val="bottom"/>
          </w:tcPr>
          <w:p>
            <w:pPr>
              <w:spacing w:after="0"/>
              <w:rPr>
                <w:sz w:val="16"/>
                <w:szCs w:val="16"/>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(Shares)</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(Shares)</w:t>
            </w:r>
          </w:p>
        </w:tc>
        <w:tc>
          <w:tcPr>
            <w:tcW w:w="16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Equity</w:t>
            </w:r>
          </w:p>
        </w:tc>
        <w:tc>
          <w:tcPr>
            <w:tcW w:w="14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Interest</w:t>
            </w:r>
          </w:p>
        </w:tc>
        <w:tc>
          <w:tcPr>
            <w:tcW w:w="240" w:type="dxa"/>
            <w:vAlign w:val="bottom"/>
          </w:tcPr>
          <w:p>
            <w:pPr>
              <w:spacing w:after="0"/>
              <w:rPr>
                <w:sz w:val="16"/>
                <w:szCs w:val="16"/>
                <w:color w:val="auto"/>
              </w:rPr>
            </w:pPr>
          </w:p>
        </w:tc>
        <w:tc>
          <w:tcPr>
            <w:tcW w:w="920" w:type="dxa"/>
            <w:vAlign w:val="bottom"/>
          </w:tcPr>
          <w:p>
            <w:pPr>
              <w:jc w:val="right"/>
              <w:ind w:right="293"/>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57"/>
        </w:trPr>
        <w:tc>
          <w:tcPr>
            <w:tcW w:w="2120" w:type="dxa"/>
            <w:vAlign w:val="bottom"/>
            <w:tcBorders>
              <w:top w:val="single" w:sz="8" w:color="CCEEFF"/>
            </w:tcBorders>
            <w:shd w:val="clear" w:color="auto" w:fill="CCEEFF"/>
          </w:tcPr>
          <w:p>
            <w:pPr>
              <w:ind w:left="20"/>
              <w:spacing w:after="0" w:line="157" w:lineRule="exact"/>
              <w:rPr>
                <w:sz w:val="20"/>
                <w:szCs w:val="20"/>
                <w:color w:val="auto"/>
              </w:rPr>
            </w:pPr>
            <w:r>
              <w:rPr>
                <w:rFonts w:ascii="Arial" w:cs="Arial" w:eastAsia="Arial" w:hAnsi="Arial"/>
                <w:sz w:val="18"/>
                <w:szCs w:val="18"/>
                <w:color w:val="auto"/>
              </w:rPr>
              <w:t>Balance at December 31,</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357,469</w:t>
            </w:r>
          </w:p>
        </w:tc>
        <w:tc>
          <w:tcPr>
            <w:tcW w:w="10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21,116.8</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5,008.7</w:t>
            </w: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26,128.9</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26,159.3</w:t>
            </w:r>
          </w:p>
        </w:tc>
        <w:tc>
          <w:tcPr>
            <w:tcW w:w="0" w:type="dxa"/>
            <w:vAlign w:val="bottom"/>
          </w:tcPr>
          <w:p>
            <w:pPr>
              <w:spacing w:after="0"/>
              <w:rPr>
                <w:sz w:val="1"/>
                <w:szCs w:val="1"/>
                <w:color w:val="auto"/>
              </w:rPr>
            </w:pPr>
          </w:p>
        </w:tc>
      </w:tr>
      <w:tr>
        <w:trPr>
          <w:trHeight w:val="230"/>
        </w:trPr>
        <w:tc>
          <w:tcPr>
            <w:tcW w:w="2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1,681.2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1,681.2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1,681.6</w:t>
            </w:r>
          </w:p>
        </w:tc>
        <w:tc>
          <w:tcPr>
            <w:tcW w:w="0" w:type="dxa"/>
            <w:vAlign w:val="bottom"/>
          </w:tcPr>
          <w:p>
            <w:pPr>
              <w:spacing w:after="0"/>
              <w:rPr>
                <w:sz w:val="1"/>
                <w:szCs w:val="1"/>
                <w:color w:val="auto"/>
              </w:rPr>
            </w:pPr>
          </w:p>
        </w:tc>
      </w:tr>
      <w:tr>
        <w:trPr>
          <w:trHeight w:val="176"/>
        </w:trPr>
        <w:tc>
          <w:tcPr>
            <w:tcW w:w="2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Other comprehensive</w:t>
            </w: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29"/>
        </w:trPr>
        <w:tc>
          <w:tcPr>
            <w:tcW w:w="2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w:t>
            </w: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120" w:type="dxa"/>
            <w:vAlign w:val="bottom"/>
          </w:tcPr>
          <w:p>
            <w:pPr>
              <w:ind w:left="20"/>
              <w:spacing w:after="0" w:line="176" w:lineRule="exact"/>
              <w:rPr>
                <w:sz w:val="20"/>
                <w:szCs w:val="20"/>
                <w:color w:val="auto"/>
              </w:rPr>
            </w:pPr>
            <w:r>
              <w:rPr>
                <w:rFonts w:ascii="Arial" w:cs="Arial" w:eastAsia="Arial" w:hAnsi="Arial"/>
                <w:sz w:val="18"/>
                <w:szCs w:val="18"/>
                <w:color w:val="auto"/>
                <w:w w:val="92"/>
              </w:rPr>
              <w:t>Dividends on common stock</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(914.5)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(914.5)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(914.5)</w:t>
            </w:r>
          </w:p>
        </w:tc>
        <w:tc>
          <w:tcPr>
            <w:tcW w:w="0" w:type="dxa"/>
            <w:vAlign w:val="bottom"/>
          </w:tcPr>
          <w:p>
            <w:pPr>
              <w:spacing w:after="0"/>
              <w:rPr>
                <w:sz w:val="1"/>
                <w:szCs w:val="1"/>
                <w:color w:val="auto"/>
              </w:rPr>
            </w:pPr>
          </w:p>
        </w:tc>
      </w:tr>
      <w:tr>
        <w:trPr>
          <w:trHeight w:val="229"/>
        </w:trPr>
        <w:tc>
          <w:tcPr>
            <w:tcW w:w="2120" w:type="dxa"/>
            <w:vAlign w:val="bottom"/>
          </w:tcPr>
          <w:p>
            <w:pPr>
              <w:ind w:left="20"/>
              <w:spacing w:after="0"/>
              <w:rPr>
                <w:sz w:val="20"/>
                <w:szCs w:val="20"/>
                <w:color w:val="auto"/>
              </w:rPr>
            </w:pPr>
            <w:r>
              <w:rPr>
                <w:rFonts w:ascii="Arial" w:cs="Arial" w:eastAsia="Arial" w:hAnsi="Arial"/>
                <w:sz w:val="18"/>
                <w:szCs w:val="18"/>
                <w:color w:val="auto"/>
              </w:rPr>
              <w:t>of $2.55 per share</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Impact of adoption of</w:t>
            </w: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accounting standards</w:t>
            </w: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2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updates on credit losses</w:t>
            </w: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20" w:type="dxa"/>
            <w:vAlign w:val="bottom"/>
          </w:tcPr>
          <w:p>
            <w:pPr>
              <w:ind w:left="20"/>
              <w:spacing w:after="0"/>
              <w:rPr>
                <w:sz w:val="20"/>
                <w:szCs w:val="20"/>
                <w:color w:val="auto"/>
              </w:rPr>
            </w:pPr>
            <w:r>
              <w:rPr>
                <w:rFonts w:ascii="Arial" w:cs="Arial" w:eastAsia="Arial" w:hAnsi="Arial"/>
                <w:sz w:val="18"/>
                <w:szCs w:val="18"/>
                <w:color w:val="auto"/>
              </w:rPr>
              <w:t>Exercise of stock options</w:t>
            </w:r>
          </w:p>
        </w:tc>
        <w:tc>
          <w:tcPr>
            <w:tcW w:w="90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76"/>
        </w:trPr>
        <w:tc>
          <w:tcPr>
            <w:tcW w:w="2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6"/>
              </w:rPr>
              <w:t>Vesting of issued restricted</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29"/>
        </w:trPr>
        <w:tc>
          <w:tcPr>
            <w:tcW w:w="2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A common stock</w:t>
            </w: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120" w:type="dxa"/>
            <w:vAlign w:val="bottom"/>
          </w:tcPr>
          <w:p>
            <w:pPr>
              <w:ind w:left="20"/>
              <w:spacing w:after="0" w:line="176" w:lineRule="exact"/>
              <w:rPr>
                <w:sz w:val="20"/>
                <w:szCs w:val="20"/>
                <w:color w:val="auto"/>
              </w:rPr>
            </w:pPr>
            <w:r>
              <w:rPr>
                <w:rFonts w:ascii="Arial" w:cs="Arial" w:eastAsia="Arial" w:hAnsi="Arial"/>
                <w:sz w:val="18"/>
                <w:szCs w:val="18"/>
                <w:color w:val="auto"/>
              </w:rPr>
              <w:t>Shares issued to Board of</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9"/>
        </w:trPr>
        <w:tc>
          <w:tcPr>
            <w:tcW w:w="2120" w:type="dxa"/>
            <w:vAlign w:val="bottom"/>
          </w:tcPr>
          <w:p>
            <w:pPr>
              <w:ind w:left="20"/>
              <w:spacing w:after="0"/>
              <w:rPr>
                <w:sz w:val="20"/>
                <w:szCs w:val="20"/>
                <w:color w:val="auto"/>
              </w:rPr>
            </w:pPr>
            <w:r>
              <w:rPr>
                <w:rFonts w:ascii="Arial" w:cs="Arial" w:eastAsia="Arial" w:hAnsi="Arial"/>
                <w:sz w:val="18"/>
                <w:szCs w:val="18"/>
                <w:color w:val="auto"/>
              </w:rPr>
              <w:t>Directors</w:t>
            </w: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Shares issued under</w:t>
            </w: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8"/>
              </w:rPr>
              <w:t>Employee Stock Purchase</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2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Plan</w:t>
            </w: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5"/>
              </w:rPr>
              <w:t>Stock-based compensation</w:t>
            </w: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155"/>
        </w:trPr>
        <w:tc>
          <w:tcPr>
            <w:tcW w:w="212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w w:val="95"/>
              </w:rPr>
              <w:t>Balance at September 30,</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358,030</w:t>
            </w:r>
          </w:p>
        </w:tc>
        <w:tc>
          <w:tcPr>
            <w:tcW w:w="1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21,160.8</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5,775.1</w:t>
            </w:r>
          </w:p>
        </w:tc>
        <w:tc>
          <w:tcPr>
            <w:tcW w:w="12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26,979.6</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2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27,010.4</w:t>
            </w:r>
          </w:p>
        </w:tc>
        <w:tc>
          <w:tcPr>
            <w:tcW w:w="0" w:type="dxa"/>
            <w:vAlign w:val="bottom"/>
          </w:tcPr>
          <w:p>
            <w:pPr>
              <w:spacing w:after="0"/>
              <w:rPr>
                <w:sz w:val="1"/>
                <w:szCs w:val="1"/>
                <w:color w:val="auto"/>
              </w:rPr>
            </w:pPr>
          </w:p>
        </w:tc>
      </w:tr>
      <w:tr>
        <w:trPr>
          <w:trHeight w:val="223"/>
        </w:trPr>
        <w:tc>
          <w:tcPr>
            <w:tcW w:w="212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2020</w:t>
            </w: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20" w:top="12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 xml:space="preserve">CONSOLIDATED STATEMENTS OF EQUITY </w:t>
      </w:r>
      <w:r>
        <w:rPr>
          <w:rFonts w:ascii="Arial" w:cs="Arial" w:eastAsia="Arial" w:hAnsi="Arial"/>
          <w:sz w:val="18"/>
          <w:szCs w:val="18"/>
          <w:color w:val="auto"/>
        </w:rPr>
        <w:t>(continued)</w:t>
      </w:r>
    </w:p>
    <w:p>
      <w:pPr>
        <w:spacing w:after="0" w:line="9"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1350645</wp:posOffset>
            </wp:positionH>
            <wp:positionV relativeFrom="paragraph">
              <wp:posOffset>22860</wp:posOffset>
            </wp:positionV>
            <wp:extent cx="57518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1830" cy="8890"/>
                    </a:xfrm>
                    <a:prstGeom prst="rect">
                      <a:avLst/>
                    </a:prstGeom>
                    <a:noFill/>
                  </pic:spPr>
                </pic:pic>
              </a:graphicData>
            </a:graphic>
          </wp:anchor>
        </w:drawing>
      </w:r>
    </w:p>
    <w:p>
      <w:pPr>
        <w:spacing w:after="0" w:line="20" w:lineRule="exact"/>
        <w:rPr>
          <w:sz w:val="20"/>
          <w:szCs w:val="20"/>
          <w:color w:val="auto"/>
        </w:rPr>
      </w:pPr>
    </w:p>
    <w:p>
      <w:pPr>
        <w:ind w:left="5560"/>
        <w:spacing w:after="0"/>
        <w:rPr>
          <w:sz w:val="20"/>
          <w:szCs w:val="20"/>
          <w:color w:val="auto"/>
        </w:rPr>
      </w:pPr>
      <w:r>
        <w:rPr>
          <w:rFonts w:ascii="Arial" w:cs="Arial" w:eastAsia="Arial" w:hAnsi="Arial"/>
          <w:sz w:val="14"/>
          <w:szCs w:val="14"/>
          <w:b w:val="1"/>
          <w:bCs w:val="1"/>
          <w:color w:val="auto"/>
        </w:rPr>
        <w:t>Quarter Ended, September 30, 2020</w:t>
      </w:r>
    </w:p>
    <w:p>
      <w:pPr>
        <w:spacing w:after="0" w:line="25" w:lineRule="exact"/>
        <w:rPr>
          <w:sz w:val="20"/>
          <w:szCs w:val="20"/>
          <w:color w:val="auto"/>
        </w:rPr>
      </w:pPr>
    </w:p>
    <w:tbl>
      <w:tblPr>
        <w:tblLayout w:type="fixed"/>
        <w:tblInd w:w="2120" w:type="dxa"/>
        <w:tblCellMar>
          <w:top w:w="0" w:type="dxa"/>
          <w:left w:w="0" w:type="dxa"/>
          <w:bottom w:w="0" w:type="dxa"/>
          <w:right w:w="0" w:type="dxa"/>
        </w:tblCellMar>
      </w:tblPr>
      <w:tr>
        <w:trPr>
          <w:trHeight w:val="141"/>
        </w:trPr>
        <w:tc>
          <w:tcPr>
            <w:tcW w:w="94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89"/>
              </w:rPr>
              <w:t>Class A</w:t>
            </w:r>
          </w:p>
        </w:tc>
        <w:tc>
          <w:tcPr>
            <w:tcW w:w="90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89"/>
              </w:rPr>
              <w:t>Class B</w:t>
            </w:r>
          </w:p>
        </w:tc>
        <w:tc>
          <w:tcPr>
            <w:tcW w:w="1260" w:type="dxa"/>
            <w:vAlign w:val="bottom"/>
            <w:tcBorders>
              <w:top w:val="single" w:sz="8" w:color="auto"/>
            </w:tcBorders>
            <w:vMerge w:val="restart"/>
          </w:tcPr>
          <w:p>
            <w:pPr>
              <w:ind w:left="160"/>
              <w:spacing w:after="0"/>
              <w:rPr>
                <w:sz w:val="20"/>
                <w:szCs w:val="20"/>
                <w:color w:val="auto"/>
              </w:rPr>
            </w:pPr>
            <w:r>
              <w:rPr>
                <w:rFonts w:ascii="Arial" w:cs="Arial" w:eastAsia="Arial" w:hAnsi="Arial"/>
                <w:sz w:val="14"/>
                <w:szCs w:val="14"/>
                <w:b w:val="1"/>
                <w:bCs w:val="1"/>
                <w:color w:val="auto"/>
              </w:rPr>
              <w:t>Common Stock</w:t>
            </w:r>
          </w:p>
        </w:tc>
        <w:tc>
          <w:tcPr>
            <w:tcW w:w="90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vMerge w:val="restart"/>
          </w:tcPr>
          <w:p>
            <w:pPr>
              <w:jc w:val="center"/>
              <w:ind w:left="8"/>
              <w:spacing w:after="0"/>
              <w:rPr>
                <w:sz w:val="20"/>
                <w:szCs w:val="20"/>
                <w:color w:val="auto"/>
              </w:rPr>
            </w:pPr>
            <w:r>
              <w:rPr>
                <w:rFonts w:ascii="Arial" w:cs="Arial" w:eastAsia="Arial" w:hAnsi="Arial"/>
                <w:sz w:val="14"/>
                <w:szCs w:val="14"/>
                <w:b w:val="1"/>
                <w:bCs w:val="1"/>
                <w:color w:val="auto"/>
                <w:w w:val="94"/>
              </w:rPr>
              <w:t>Accumulated Other</w:t>
            </w:r>
          </w:p>
        </w:tc>
        <w:tc>
          <w:tcPr>
            <w:tcW w:w="136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7"/>
              </w:rPr>
              <w:t>Total CME Group</w:t>
            </w:r>
          </w:p>
        </w:tc>
        <w:tc>
          <w:tcPr>
            <w:tcW w:w="104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Non-</w:t>
            </w:r>
          </w:p>
        </w:tc>
        <w:tc>
          <w:tcPr>
            <w:tcW w:w="12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9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Common</w:t>
            </w:r>
          </w:p>
        </w:tc>
        <w:tc>
          <w:tcPr>
            <w:tcW w:w="9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Common</w:t>
            </w:r>
          </w:p>
        </w:tc>
        <w:tc>
          <w:tcPr>
            <w:tcW w:w="1260" w:type="dxa"/>
            <w:vAlign w:val="bottom"/>
            <w:vMerge w:val="continue"/>
          </w:tcPr>
          <w:p>
            <w:pPr>
              <w:spacing w:after="0"/>
              <w:rPr>
                <w:sz w:val="11"/>
                <w:szCs w:val="11"/>
                <w:color w:val="auto"/>
              </w:rPr>
            </w:pPr>
          </w:p>
        </w:tc>
        <w:tc>
          <w:tcPr>
            <w:tcW w:w="9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Retained</w:t>
            </w:r>
          </w:p>
        </w:tc>
        <w:tc>
          <w:tcPr>
            <w:tcW w:w="1460" w:type="dxa"/>
            <w:vAlign w:val="bottom"/>
            <w:vMerge w:val="continue"/>
          </w:tcPr>
          <w:p>
            <w:pPr>
              <w:spacing w:after="0"/>
              <w:rPr>
                <w:sz w:val="11"/>
                <w:szCs w:val="11"/>
                <w:color w:val="auto"/>
              </w:rPr>
            </w:pPr>
          </w:p>
        </w:tc>
        <w:tc>
          <w:tcPr>
            <w:tcW w:w="136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Stock</w:t>
            </w:r>
          </w:p>
        </w:tc>
        <w:tc>
          <w:tcPr>
            <w:tcW w:w="9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Stock</w:t>
            </w:r>
          </w:p>
        </w:tc>
        <w:tc>
          <w:tcPr>
            <w:tcW w:w="1260" w:type="dxa"/>
            <w:vAlign w:val="bottom"/>
          </w:tcPr>
          <w:p>
            <w:pPr>
              <w:ind w:left="160"/>
              <w:spacing w:after="0" w:line="135" w:lineRule="exact"/>
              <w:rPr>
                <w:sz w:val="20"/>
                <w:szCs w:val="20"/>
                <w:color w:val="auto"/>
              </w:rPr>
            </w:pPr>
            <w:r>
              <w:rPr>
                <w:rFonts w:ascii="Arial" w:cs="Arial" w:eastAsia="Arial" w:hAnsi="Arial"/>
                <w:sz w:val="14"/>
                <w:szCs w:val="14"/>
                <w:b w:val="1"/>
                <w:bCs w:val="1"/>
                <w:color w:val="auto"/>
              </w:rPr>
              <w:t>and Additional</w:t>
            </w:r>
          </w:p>
        </w:tc>
        <w:tc>
          <w:tcPr>
            <w:tcW w:w="900" w:type="dxa"/>
            <w:vAlign w:val="bottom"/>
            <w:vMerge w:val="continue"/>
          </w:tcPr>
          <w:p>
            <w:pPr>
              <w:spacing w:after="0"/>
              <w:rPr>
                <w:sz w:val="11"/>
                <w:szCs w:val="11"/>
                <w:color w:val="auto"/>
              </w:rPr>
            </w:pPr>
          </w:p>
        </w:tc>
        <w:tc>
          <w:tcPr>
            <w:tcW w:w="14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3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Shareholders'</w:t>
            </w:r>
          </w:p>
        </w:tc>
        <w:tc>
          <w:tcPr>
            <w:tcW w:w="10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controlling</w:t>
            </w:r>
          </w:p>
        </w:tc>
        <w:tc>
          <w:tcPr>
            <w:tcW w:w="120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186"/>
        </w:trPr>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2"/>
              </w:rPr>
              <w:t>(Shares)</w:t>
            </w:r>
          </w:p>
        </w:tc>
        <w:tc>
          <w:tcPr>
            <w:tcW w:w="1260" w:type="dxa"/>
            <w:vAlign w:val="bottom"/>
          </w:tcPr>
          <w:p>
            <w:pPr>
              <w:ind w:left="160"/>
              <w:spacing w:after="0"/>
              <w:rPr>
                <w:sz w:val="20"/>
                <w:szCs w:val="20"/>
                <w:color w:val="auto"/>
              </w:rPr>
            </w:pPr>
            <w:r>
              <w:rPr>
                <w:rFonts w:ascii="Arial" w:cs="Arial" w:eastAsia="Arial" w:hAnsi="Arial"/>
                <w:sz w:val="14"/>
                <w:szCs w:val="14"/>
                <w:b w:val="1"/>
                <w:bCs w:val="1"/>
                <w:color w:val="auto"/>
              </w:rPr>
              <w:t>Paid-in Capital</w:t>
            </w:r>
          </w:p>
        </w:tc>
        <w:tc>
          <w:tcPr>
            <w:tcW w:w="900" w:type="dxa"/>
            <w:vAlign w:val="bottom"/>
          </w:tcPr>
          <w:p>
            <w:pPr>
              <w:ind w:left="180"/>
              <w:spacing w:after="0"/>
              <w:rPr>
                <w:sz w:val="20"/>
                <w:szCs w:val="20"/>
                <w:color w:val="auto"/>
              </w:rPr>
            </w:pPr>
            <w:r>
              <w:rPr>
                <w:rFonts w:ascii="Arial" w:cs="Arial" w:eastAsia="Arial" w:hAnsi="Arial"/>
                <w:sz w:val="14"/>
                <w:szCs w:val="14"/>
                <w:b w:val="1"/>
                <w:bCs w:val="1"/>
                <w:color w:val="auto"/>
              </w:rPr>
              <w:t>Earnings</w:t>
            </w:r>
          </w:p>
        </w:tc>
        <w:tc>
          <w:tcPr>
            <w:tcW w:w="1460" w:type="dxa"/>
            <w:vAlign w:val="bottom"/>
          </w:tcPr>
          <w:p>
            <w:pPr>
              <w:jc w:val="center"/>
              <w:ind w:left="8"/>
              <w:spacing w:after="0"/>
              <w:rPr>
                <w:sz w:val="20"/>
                <w:szCs w:val="20"/>
                <w:color w:val="auto"/>
              </w:rPr>
            </w:pPr>
            <w:r>
              <w:rPr>
                <w:rFonts w:ascii="Arial" w:cs="Arial" w:eastAsia="Arial" w:hAnsi="Arial"/>
                <w:sz w:val="14"/>
                <w:szCs w:val="14"/>
                <w:b w:val="1"/>
                <w:bCs w:val="1"/>
                <w:color w:val="auto"/>
                <w:w w:val="90"/>
              </w:rPr>
              <w:t>Income (Loss)</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8"/>
              </w:rPr>
              <w:t>Equity</w:t>
            </w:r>
          </w:p>
        </w:tc>
        <w:tc>
          <w:tcPr>
            <w:tcW w:w="1040" w:type="dxa"/>
            <w:vAlign w:val="bottom"/>
          </w:tcPr>
          <w:p>
            <w:pPr>
              <w:jc w:val="center"/>
              <w:ind w:right="8"/>
              <w:spacing w:after="0"/>
              <w:rPr>
                <w:sz w:val="20"/>
                <w:szCs w:val="20"/>
                <w:color w:val="auto"/>
              </w:rPr>
            </w:pPr>
            <w:r>
              <w:rPr>
                <w:rFonts w:ascii="Arial" w:cs="Arial" w:eastAsia="Arial" w:hAnsi="Arial"/>
                <w:sz w:val="14"/>
                <w:szCs w:val="14"/>
                <w:b w:val="1"/>
                <w:bCs w:val="1"/>
                <w:color w:val="auto"/>
                <w:w w:val="94"/>
              </w:rPr>
              <w:t>Interest</w:t>
            </w: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180"/>
          </w:cols>
          <w:pgMar w:left="320" w:top="125" w:right="399" w:bottom="1440" w:gutter="0" w:footer="0" w:header="0"/>
        </w:sectPr>
      </w:pPr>
    </w:p>
    <w:p>
      <w:pPr>
        <w:spacing w:after="0" w:line="1" w:lineRule="exact"/>
        <w:rPr>
          <w:sz w:val="20"/>
          <w:szCs w:val="20"/>
          <w:color w:val="auto"/>
        </w:rPr>
      </w:pPr>
    </w:p>
    <w:p>
      <w:pPr>
        <w:ind w:left="20" w:right="280"/>
        <w:spacing w:after="0" w:line="274" w:lineRule="auto"/>
        <w:rPr>
          <w:sz w:val="20"/>
          <w:szCs w:val="20"/>
          <w:color w:val="auto"/>
        </w:rPr>
      </w:pPr>
      <w:r>
        <w:rPr>
          <w:rFonts w:ascii="Arial" w:cs="Arial" w:eastAsia="Arial" w:hAnsi="Arial"/>
          <w:sz w:val="18"/>
          <w:szCs w:val="18"/>
          <w:color w:val="auto"/>
        </w:rPr>
        <w:t>Balance at June 30, 2020 Net income</w:t>
      </w:r>
    </w:p>
    <w:p>
      <w:pPr>
        <w:spacing w:after="0" w:line="1" w:lineRule="exact"/>
        <w:rPr>
          <w:sz w:val="20"/>
          <w:szCs w:val="20"/>
          <w:color w:val="auto"/>
        </w:rPr>
      </w:pPr>
    </w:p>
    <w:p>
      <w:pPr>
        <w:ind w:left="20" w:right="540"/>
        <w:spacing w:after="0" w:line="264" w:lineRule="auto"/>
        <w:rPr>
          <w:sz w:val="20"/>
          <w:szCs w:val="20"/>
          <w:color w:val="auto"/>
        </w:rPr>
      </w:pPr>
      <w:r>
        <w:rPr>
          <w:rFonts w:ascii="Arial" w:cs="Arial" w:eastAsia="Arial" w:hAnsi="Arial"/>
          <w:sz w:val="16"/>
          <w:szCs w:val="16"/>
          <w:color w:val="auto"/>
        </w:rPr>
        <w:t>Other comprehensive income (loss)</w:t>
      </w:r>
    </w:p>
    <w:p>
      <w:pPr>
        <w:ind w:left="20"/>
        <w:spacing w:after="0" w:line="234" w:lineRule="auto"/>
        <w:rPr>
          <w:sz w:val="20"/>
          <w:szCs w:val="20"/>
          <w:color w:val="auto"/>
        </w:rPr>
      </w:pPr>
      <w:r>
        <w:rPr>
          <w:rFonts w:ascii="Arial" w:cs="Arial" w:eastAsia="Arial" w:hAnsi="Arial"/>
          <w:sz w:val="18"/>
          <w:szCs w:val="18"/>
          <w:color w:val="auto"/>
        </w:rPr>
        <w:t>Dividends on common stock of $0.85 per share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Exercise of stock options</w:t>
      </w:r>
    </w:p>
    <w:p>
      <w:pPr>
        <w:spacing w:after="0" w:line="23" w:lineRule="exact"/>
        <w:rPr>
          <w:sz w:val="20"/>
          <w:szCs w:val="20"/>
          <w:color w:val="auto"/>
        </w:rPr>
      </w:pPr>
    </w:p>
    <w:p>
      <w:pPr>
        <w:ind w:left="20" w:right="140"/>
        <w:spacing w:after="0" w:line="264" w:lineRule="auto"/>
        <w:rPr>
          <w:sz w:val="20"/>
          <w:szCs w:val="20"/>
          <w:color w:val="auto"/>
        </w:rPr>
      </w:pPr>
      <w:r>
        <w:rPr>
          <w:rFonts w:ascii="Arial" w:cs="Arial" w:eastAsia="Arial" w:hAnsi="Arial"/>
          <w:sz w:val="16"/>
          <w:szCs w:val="16"/>
          <w:color w:val="auto"/>
        </w:rPr>
        <w:t>Vesting of issued restricted Class A common stock</w:t>
      </w:r>
    </w:p>
    <w:p>
      <w:pPr>
        <w:ind w:left="20" w:right="240"/>
        <w:spacing w:after="0" w:line="234" w:lineRule="auto"/>
        <w:rPr>
          <w:sz w:val="20"/>
          <w:szCs w:val="20"/>
          <w:color w:val="auto"/>
        </w:rPr>
      </w:pPr>
      <w:r>
        <w:rPr>
          <w:rFonts w:ascii="Arial" w:cs="Arial" w:eastAsia="Arial" w:hAnsi="Arial"/>
          <w:sz w:val="18"/>
          <w:szCs w:val="18"/>
          <w:color w:val="auto"/>
        </w:rPr>
        <w:t>Shares issued to Board of Directors</w:t>
      </w:r>
    </w:p>
    <w:p>
      <w:pPr>
        <w:spacing w:after="0" w:line="1" w:lineRule="exact"/>
        <w:rPr>
          <w:sz w:val="20"/>
          <w:szCs w:val="20"/>
          <w:color w:val="auto"/>
        </w:rPr>
      </w:pPr>
    </w:p>
    <w:p>
      <w:pPr>
        <w:ind w:left="20" w:right="200"/>
        <w:spacing w:after="0" w:line="224" w:lineRule="auto"/>
        <w:rPr>
          <w:sz w:val="20"/>
          <w:szCs w:val="20"/>
          <w:color w:val="auto"/>
        </w:rPr>
      </w:pPr>
      <w:r>
        <w:rPr>
          <w:rFonts w:ascii="Arial" w:cs="Arial" w:eastAsia="Arial" w:hAnsi="Arial"/>
          <w:sz w:val="18"/>
          <w:szCs w:val="18"/>
          <w:color w:val="auto"/>
        </w:rPr>
        <w:t>Shares issued under Employee Stock Purchase Plan</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7"/>
          <w:szCs w:val="17"/>
          <w:color w:val="auto"/>
        </w:rPr>
        <w:t>Stock-based compensation</w:t>
      </w:r>
    </w:p>
    <w:p>
      <w:pPr>
        <w:spacing w:after="0" w:line="34" w:lineRule="exact"/>
        <w:rPr>
          <w:sz w:val="20"/>
          <w:szCs w:val="20"/>
          <w:color w:val="auto"/>
        </w:rPr>
      </w:pPr>
    </w:p>
    <w:p>
      <w:pPr>
        <w:ind w:left="20" w:right="120"/>
        <w:spacing w:after="0" w:line="234" w:lineRule="auto"/>
        <w:rPr>
          <w:sz w:val="20"/>
          <w:szCs w:val="20"/>
          <w:color w:val="auto"/>
        </w:rPr>
      </w:pPr>
      <w:r>
        <w:rPr>
          <w:rFonts w:ascii="Arial" w:cs="Arial" w:eastAsia="Arial" w:hAnsi="Arial"/>
          <w:sz w:val="18"/>
          <w:szCs w:val="18"/>
          <w:b w:val="1"/>
          <w:bCs w:val="1"/>
          <w:color w:val="auto"/>
        </w:rPr>
        <w:t>Balance at September 30, 2020</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5"/>
        </w:trPr>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357,727</w:t>
            </w:r>
          </w:p>
        </w:tc>
        <w:tc>
          <w:tcPr>
            <w:tcW w:w="10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21,152.5</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5,668.5</w:t>
            </w:r>
          </w:p>
        </w:tc>
        <w:tc>
          <w:tcPr>
            <w:tcW w:w="120" w:type="dxa"/>
            <w:vAlign w:val="bottom"/>
          </w:tcPr>
          <w:p>
            <w:pPr>
              <w:spacing w:after="0"/>
              <w:rPr>
                <w:sz w:val="19"/>
                <w:szCs w:val="19"/>
                <w:color w:val="auto"/>
              </w:rPr>
            </w:pP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center"/>
              <w:ind w:left="270"/>
              <w:spacing w:after="0"/>
              <w:rPr>
                <w:sz w:val="20"/>
                <w:szCs w:val="20"/>
                <w:color w:val="auto"/>
              </w:rPr>
            </w:pPr>
            <w:r>
              <w:rPr>
                <w:rFonts w:ascii="Arial" w:cs="Arial" w:eastAsia="Arial" w:hAnsi="Arial"/>
                <w:sz w:val="18"/>
                <w:szCs w:val="18"/>
                <w:color w:val="auto"/>
                <w:w w:val="93"/>
              </w:rPr>
              <w:t>(13.1)</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26,807.9</w:t>
            </w:r>
          </w:p>
        </w:tc>
        <w:tc>
          <w:tcPr>
            <w:tcW w:w="100" w:type="dxa"/>
            <w:vAlign w:val="bottom"/>
          </w:tcPr>
          <w:p>
            <w:pPr>
              <w:spacing w:after="0"/>
              <w:rPr>
                <w:sz w:val="19"/>
                <w:szCs w:val="19"/>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26,838.9</w:t>
            </w:r>
          </w:p>
        </w:tc>
      </w:tr>
      <w:tr>
        <w:trPr>
          <w:trHeight w:val="230"/>
        </w:trPr>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411.7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411.5</w:t>
            </w:r>
          </w:p>
        </w:tc>
      </w:tr>
      <w:tr>
        <w:trPr>
          <w:trHeight w:val="405"/>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jc w:val="center"/>
              <w:ind w:left="290"/>
              <w:spacing w:after="0"/>
              <w:rPr>
                <w:sz w:val="20"/>
                <w:szCs w:val="20"/>
                <w:color w:val="auto"/>
              </w:rPr>
            </w:pPr>
            <w:r>
              <w:rPr>
                <w:rFonts w:ascii="Arial" w:cs="Arial" w:eastAsia="Arial" w:hAnsi="Arial"/>
                <w:sz w:val="18"/>
                <w:szCs w:val="18"/>
                <w:color w:val="auto"/>
                <w:w w:val="85"/>
              </w:rPr>
              <w:t>56.8</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56.8</w:t>
            </w:r>
          </w:p>
        </w:tc>
      </w:tr>
      <w:tr>
        <w:trPr>
          <w:trHeight w:val="404"/>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(305.1)</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(305.1)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(305.1)</w:t>
            </w:r>
          </w:p>
        </w:tc>
      </w:tr>
      <w:tr>
        <w:trPr>
          <w:trHeight w:val="230"/>
        </w:trPr>
        <w:tc>
          <w:tcPr>
            <w:tcW w:w="90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05"/>
        </w:trPr>
        <w:tc>
          <w:tcPr>
            <w:tcW w:w="900" w:type="dxa"/>
            <w:vAlign w:val="bottom"/>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405"/>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80"/>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r>
      <w:tr>
        <w:trPr>
          <w:trHeight w:val="358"/>
        </w:trPr>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358,030</w:t>
            </w:r>
          </w:p>
        </w:tc>
        <w:tc>
          <w:tcPr>
            <w:tcW w:w="100" w:type="dxa"/>
            <w:vAlign w:val="bottom"/>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21,160.8</w:t>
            </w:r>
          </w:p>
        </w:tc>
        <w:tc>
          <w:tcPr>
            <w:tcW w:w="100" w:type="dxa"/>
            <w:vAlign w:val="bottom"/>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5,775.1</w:t>
            </w:r>
          </w:p>
        </w:tc>
        <w:tc>
          <w:tcPr>
            <w:tcW w:w="120" w:type="dxa"/>
            <w:vAlign w:val="bottom"/>
          </w:tcPr>
          <w:p>
            <w:pPr>
              <w:spacing w:after="0"/>
              <w:rPr>
                <w:sz w:val="24"/>
                <w:szCs w:val="24"/>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color w:val="auto"/>
                <w:w w:val="85"/>
              </w:rPr>
              <w:t>43.7</w:t>
            </w:r>
          </w:p>
        </w:tc>
        <w:tc>
          <w:tcPr>
            <w:tcW w:w="100" w:type="dxa"/>
            <w:vAlign w:val="bottom"/>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26,979.6</w:t>
            </w:r>
          </w:p>
        </w:tc>
        <w:tc>
          <w:tcPr>
            <w:tcW w:w="100" w:type="dxa"/>
            <w:vAlign w:val="bottom"/>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24"/>
                <w:szCs w:val="24"/>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27,010.4</w:t>
            </w:r>
          </w:p>
        </w:tc>
      </w:tr>
      <w:tr>
        <w:trPr>
          <w:trHeight w:val="21"/>
        </w:trPr>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-1340485</wp:posOffset>
            </wp:positionH>
            <wp:positionV relativeFrom="paragraph">
              <wp:posOffset>-2262505</wp:posOffset>
            </wp:positionV>
            <wp:extent cx="709803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98030" cy="154305"/>
                    </a:xfrm>
                    <a:prstGeom prst="rect">
                      <a:avLst/>
                    </a:prstGeom>
                    <a:noFill/>
                  </pic:spPr>
                </pic:pic>
              </a:graphicData>
            </a:graphic>
          </wp:anchor>
        </w:drawing>
        <w:drawing>
          <wp:anchor simplePos="0" relativeHeight="251657728" behindDoc="1" locked="0" layoutInCell="0" allowOverlap="1">
            <wp:simplePos x="0" y="0"/>
            <wp:positionH relativeFrom="column">
              <wp:posOffset>-1340485</wp:posOffset>
            </wp:positionH>
            <wp:positionV relativeFrom="paragraph">
              <wp:posOffset>-1962785</wp:posOffset>
            </wp:positionV>
            <wp:extent cx="7098030" cy="2571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98030" cy="257175"/>
                    </a:xfrm>
                    <a:prstGeom prst="rect">
                      <a:avLst/>
                    </a:prstGeom>
                    <a:noFill/>
                  </pic:spPr>
                </pic:pic>
              </a:graphicData>
            </a:graphic>
          </wp:anchor>
        </w:drawing>
        <w:drawing>
          <wp:anchor simplePos="0" relativeHeight="251657728" behindDoc="1" locked="0" layoutInCell="0" allowOverlap="1">
            <wp:simplePos x="0" y="0"/>
            <wp:positionH relativeFrom="column">
              <wp:posOffset>-1340485</wp:posOffset>
            </wp:positionH>
            <wp:positionV relativeFrom="paragraph">
              <wp:posOffset>-1448435</wp:posOffset>
            </wp:positionV>
            <wp:extent cx="709803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98030" cy="146050"/>
                    </a:xfrm>
                    <a:prstGeom prst="rect">
                      <a:avLst/>
                    </a:prstGeom>
                    <a:noFill/>
                  </pic:spPr>
                </pic:pic>
              </a:graphicData>
            </a:graphic>
          </wp:anchor>
        </w:drawing>
        <w:drawing>
          <wp:anchor simplePos="0" relativeHeight="251657728" behindDoc="1" locked="0" layoutInCell="0" allowOverlap="1">
            <wp:simplePos x="0" y="0"/>
            <wp:positionH relativeFrom="column">
              <wp:posOffset>-1340485</wp:posOffset>
            </wp:positionH>
            <wp:positionV relativeFrom="paragraph">
              <wp:posOffset>-1045210</wp:posOffset>
            </wp:positionV>
            <wp:extent cx="7098030" cy="2571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98030" cy="257175"/>
                    </a:xfrm>
                    <a:prstGeom prst="rect">
                      <a:avLst/>
                    </a:prstGeom>
                    <a:noFill/>
                  </pic:spPr>
                </pic:pic>
              </a:graphicData>
            </a:graphic>
          </wp:anchor>
        </w:drawing>
        <w:drawing>
          <wp:anchor simplePos="0" relativeHeight="251657728" behindDoc="1" locked="0" layoutInCell="0" allowOverlap="1">
            <wp:simplePos x="0" y="0"/>
            <wp:positionH relativeFrom="column">
              <wp:posOffset>-1340485</wp:posOffset>
            </wp:positionH>
            <wp:positionV relativeFrom="paragraph">
              <wp:posOffset>-419735</wp:posOffset>
            </wp:positionV>
            <wp:extent cx="7098030"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98030" cy="145415"/>
                    </a:xfrm>
                    <a:prstGeom prst="rect">
                      <a:avLst/>
                    </a:prstGeom>
                    <a:noFill/>
                  </pic:spPr>
                </pic:pic>
              </a:graphicData>
            </a:graphic>
          </wp:anchor>
        </w:drawing>
      </w:r>
    </w:p>
    <w:p>
      <w:pPr>
        <w:spacing w:after="0" w:line="148" w:lineRule="exact"/>
        <w:rPr>
          <w:sz w:val="20"/>
          <w:szCs w:val="20"/>
          <w:color w:val="auto"/>
        </w:rPr>
      </w:pPr>
    </w:p>
    <w:p>
      <w:pPr>
        <w:sectPr>
          <w:pgSz w:w="11900" w:h="16838" w:orient="portrait"/>
          <w:cols w:equalWidth="0" w:num="2">
            <w:col w:w="2100" w:space="20"/>
            <w:col w:w="9060"/>
          </w:cols>
          <w:pgMar w:left="320" w:top="125" w:right="399" w:bottom="1440" w:gutter="0" w:footer="0" w:header="0"/>
          <w:type w:val="continuous"/>
        </w:sectPr>
      </w:pPr>
    </w:p>
    <w:p>
      <w:pPr>
        <w:spacing w:after="0"/>
        <w:rPr>
          <w:sz w:val="20"/>
          <w:szCs w:val="20"/>
          <w:color w:val="auto"/>
        </w:rPr>
      </w:pPr>
      <w:r>
        <w:rPr>
          <w:rFonts w:ascii="Arial" w:cs="Arial" w:eastAsia="Arial" w:hAnsi="Arial"/>
          <w:sz w:val="16"/>
          <w:szCs w:val="16"/>
          <w:color w:val="auto"/>
        </w:rPr>
        <w:t>See accompanying notes to unaudited consolidated financial statements.</w:t>
      </w:r>
    </w:p>
    <w:p>
      <w:pPr>
        <w:sectPr>
          <w:pgSz w:w="11900" w:h="16838" w:orient="portrait"/>
          <w:cols w:equalWidth="0" w:num="1">
            <w:col w:w="11180"/>
          </w:cols>
          <w:pgMar w:left="320" w:top="125"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 xml:space="preserve">CONSOLIDATED STATEMENTS OF EQUITY </w:t>
      </w:r>
      <w:r>
        <w:rPr>
          <w:rFonts w:ascii="Arial" w:cs="Arial" w:eastAsia="Arial" w:hAnsi="Arial"/>
          <w:sz w:val="18"/>
          <w:szCs w:val="18"/>
          <w:color w:val="auto"/>
        </w:rPr>
        <w:t>(continued)</w:t>
      </w:r>
    </w:p>
    <w:p>
      <w:pPr>
        <w:spacing w:after="0" w:line="9"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120" w:type="dxa"/>
            <w:vAlign w:val="bottom"/>
          </w:tcPr>
          <w:p>
            <w:pPr>
              <w:spacing w:after="0"/>
              <w:rPr>
                <w:sz w:val="17"/>
                <w:szCs w:val="17"/>
                <w:color w:val="auto"/>
              </w:rPr>
            </w:pPr>
          </w:p>
        </w:tc>
        <w:tc>
          <w:tcPr>
            <w:tcW w:w="9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3580" w:type="dxa"/>
            <w:vAlign w:val="bottom"/>
            <w:tcBorders>
              <w:top w:val="single" w:sz="8" w:color="auto"/>
              <w:bottom w:val="single" w:sz="8" w:color="auto"/>
            </w:tcBorders>
            <w:gridSpan w:val="8"/>
          </w:tcPr>
          <w:p>
            <w:pPr>
              <w:ind w:left="40"/>
              <w:spacing w:after="0"/>
              <w:rPr>
                <w:sz w:val="20"/>
                <w:szCs w:val="20"/>
                <w:color w:val="auto"/>
              </w:rPr>
            </w:pPr>
            <w:r>
              <w:rPr>
                <w:rFonts w:ascii="Arial" w:cs="Arial" w:eastAsia="Arial" w:hAnsi="Arial"/>
                <w:sz w:val="14"/>
                <w:szCs w:val="14"/>
                <w:b w:val="1"/>
                <w:bCs w:val="1"/>
                <w:color w:val="auto"/>
              </w:rPr>
              <w:t>Nine Months Ended, September 30, 2019</w:t>
            </w:r>
          </w:p>
        </w:tc>
        <w:tc>
          <w:tcPr>
            <w:tcW w:w="1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120" w:type="dxa"/>
            <w:vAlign w:val="bottom"/>
          </w:tcPr>
          <w:p>
            <w:pPr>
              <w:spacing w:after="0"/>
              <w:rPr>
                <w:sz w:val="11"/>
                <w:szCs w:val="11"/>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Class A</w:t>
            </w:r>
          </w:p>
        </w:tc>
        <w:tc>
          <w:tcPr>
            <w:tcW w:w="9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Class B</w:t>
            </w:r>
          </w:p>
        </w:tc>
        <w:tc>
          <w:tcPr>
            <w:tcW w:w="160" w:type="dxa"/>
            <w:vAlign w:val="bottom"/>
          </w:tcPr>
          <w:p>
            <w:pPr>
              <w:spacing w:after="0"/>
              <w:rPr>
                <w:sz w:val="11"/>
                <w:szCs w:val="11"/>
                <w:color w:val="auto"/>
              </w:rPr>
            </w:pPr>
          </w:p>
        </w:tc>
        <w:tc>
          <w:tcPr>
            <w:tcW w:w="1000" w:type="dxa"/>
            <w:vAlign w:val="bottom"/>
            <w:gridSpan w:val="2"/>
          </w:tcPr>
          <w:p>
            <w:pPr>
              <w:jc w:val="center"/>
              <w:ind w:right="260"/>
              <w:spacing w:after="0" w:line="130" w:lineRule="exact"/>
              <w:rPr>
                <w:sz w:val="20"/>
                <w:szCs w:val="20"/>
                <w:color w:val="auto"/>
              </w:rPr>
            </w:pPr>
            <w:r>
              <w:rPr>
                <w:rFonts w:ascii="Arial" w:cs="Arial" w:eastAsia="Arial" w:hAnsi="Arial"/>
                <w:sz w:val="14"/>
                <w:szCs w:val="14"/>
                <w:b w:val="1"/>
                <w:bCs w:val="1"/>
                <w:color w:val="auto"/>
                <w:w w:val="95"/>
              </w:rPr>
              <w:t>Common</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Stock and</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2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Total CME Group</w:t>
            </w:r>
          </w:p>
        </w:tc>
        <w:tc>
          <w:tcPr>
            <w:tcW w:w="120" w:type="dxa"/>
            <w:vAlign w:val="bottom"/>
          </w:tcPr>
          <w:p>
            <w:pPr>
              <w:spacing w:after="0"/>
              <w:rPr>
                <w:sz w:val="11"/>
                <w:szCs w:val="11"/>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Non-</w:t>
            </w: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tcPr>
          <w:p>
            <w:pPr>
              <w:spacing w:after="0"/>
              <w:rPr>
                <w:sz w:val="11"/>
                <w:szCs w:val="11"/>
                <w:color w:val="auto"/>
              </w:rPr>
            </w:pPr>
          </w:p>
        </w:tc>
        <w:tc>
          <w:tcPr>
            <w:tcW w:w="10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5"/>
              </w:rPr>
              <w:t>Common</w:t>
            </w:r>
          </w:p>
        </w:tc>
        <w:tc>
          <w:tcPr>
            <w:tcW w:w="9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2"/>
              </w:rPr>
              <w:t>Common</w:t>
            </w:r>
          </w:p>
        </w:tc>
        <w:tc>
          <w:tcPr>
            <w:tcW w:w="16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1"/>
                <w:szCs w:val="11"/>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11"/>
                <w:szCs w:val="11"/>
                <w:color w:val="auto"/>
              </w:rPr>
            </w:pPr>
          </w:p>
        </w:tc>
        <w:tc>
          <w:tcPr>
            <w:tcW w:w="12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Other</w:t>
            </w:r>
          </w:p>
        </w:tc>
        <w:tc>
          <w:tcPr>
            <w:tcW w:w="128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2120" w:type="dxa"/>
            <w:vAlign w:val="bottom"/>
          </w:tcPr>
          <w:p>
            <w:pPr>
              <w:spacing w:after="0"/>
              <w:rPr>
                <w:sz w:val="11"/>
                <w:szCs w:val="11"/>
                <w:color w:val="auto"/>
              </w:rPr>
            </w:pPr>
          </w:p>
        </w:tc>
        <w:tc>
          <w:tcPr>
            <w:tcW w:w="10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9"/>
              </w:rPr>
              <w:t>Stock</w:t>
            </w:r>
          </w:p>
        </w:tc>
        <w:tc>
          <w:tcPr>
            <w:tcW w:w="9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Stock</w:t>
            </w:r>
          </w:p>
        </w:tc>
        <w:tc>
          <w:tcPr>
            <w:tcW w:w="16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1"/>
                <w:szCs w:val="11"/>
                <w:color w:val="auto"/>
              </w:rPr>
            </w:pPr>
          </w:p>
        </w:tc>
        <w:tc>
          <w:tcPr>
            <w:tcW w:w="11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0"/>
              </w:rPr>
              <w:t>Shareholders'</w:t>
            </w:r>
          </w:p>
        </w:tc>
        <w:tc>
          <w:tcPr>
            <w:tcW w:w="120" w:type="dxa"/>
            <w:vAlign w:val="bottom"/>
          </w:tcPr>
          <w:p>
            <w:pPr>
              <w:spacing w:after="0"/>
              <w:rPr>
                <w:sz w:val="11"/>
                <w:szCs w:val="11"/>
                <w:color w:val="auto"/>
              </w:rPr>
            </w:pPr>
          </w:p>
        </w:tc>
        <w:tc>
          <w:tcPr>
            <w:tcW w:w="9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3"/>
              </w:rPr>
              <w:t>controlling</w:t>
            </w:r>
          </w:p>
        </w:tc>
        <w:tc>
          <w:tcPr>
            <w:tcW w:w="2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120" w:type="dxa"/>
            <w:vAlign w:val="bottom"/>
          </w:tcPr>
          <w:p>
            <w:pPr>
              <w:spacing w:after="0"/>
              <w:rPr>
                <w:sz w:val="16"/>
                <w:szCs w:val="16"/>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(Shares)</w:t>
            </w: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(Shares)</w:t>
            </w:r>
          </w:p>
        </w:tc>
        <w:tc>
          <w:tcPr>
            <w:tcW w:w="16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Equity</w:t>
            </w:r>
          </w:p>
        </w:tc>
        <w:tc>
          <w:tcPr>
            <w:tcW w:w="12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Interest</w:t>
            </w:r>
          </w:p>
        </w:tc>
        <w:tc>
          <w:tcPr>
            <w:tcW w:w="240" w:type="dxa"/>
            <w:vAlign w:val="bottom"/>
          </w:tcPr>
          <w:p>
            <w:pPr>
              <w:spacing w:after="0"/>
              <w:rPr>
                <w:sz w:val="16"/>
                <w:szCs w:val="16"/>
                <w:color w:val="auto"/>
              </w:rPr>
            </w:pPr>
          </w:p>
        </w:tc>
        <w:tc>
          <w:tcPr>
            <w:tcW w:w="940" w:type="dxa"/>
            <w:vAlign w:val="bottom"/>
          </w:tcPr>
          <w:p>
            <w:pPr>
              <w:jc w:val="right"/>
              <w:ind w:right="293"/>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57"/>
        </w:trPr>
        <w:tc>
          <w:tcPr>
            <w:tcW w:w="2120" w:type="dxa"/>
            <w:vAlign w:val="bottom"/>
            <w:tcBorders>
              <w:top w:val="single" w:sz="8" w:color="CCEEFF"/>
            </w:tcBorders>
            <w:shd w:val="clear" w:color="auto" w:fill="CCEEFF"/>
          </w:tcPr>
          <w:p>
            <w:pPr>
              <w:ind w:left="20"/>
              <w:spacing w:after="0" w:line="157" w:lineRule="exact"/>
              <w:rPr>
                <w:sz w:val="20"/>
                <w:szCs w:val="20"/>
                <w:color w:val="auto"/>
              </w:rPr>
            </w:pPr>
            <w:r>
              <w:rPr>
                <w:rFonts w:ascii="Arial" w:cs="Arial" w:eastAsia="Arial" w:hAnsi="Arial"/>
                <w:sz w:val="18"/>
                <w:szCs w:val="18"/>
                <w:color w:val="auto"/>
              </w:rPr>
              <w:t>Balance at December 31,</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356,824</w:t>
            </w:r>
          </w:p>
        </w:tc>
        <w:tc>
          <w:tcPr>
            <w:tcW w:w="10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21,057.9</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4,855.3</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25,918.5</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25,965.3</w:t>
            </w:r>
          </w:p>
        </w:tc>
        <w:tc>
          <w:tcPr>
            <w:tcW w:w="0" w:type="dxa"/>
            <w:vAlign w:val="bottom"/>
          </w:tcPr>
          <w:p>
            <w:pPr>
              <w:spacing w:after="0"/>
              <w:rPr>
                <w:sz w:val="1"/>
                <w:szCs w:val="1"/>
                <w:color w:val="auto"/>
              </w:rPr>
            </w:pPr>
          </w:p>
        </w:tc>
      </w:tr>
      <w:tr>
        <w:trPr>
          <w:trHeight w:val="230"/>
        </w:trPr>
        <w:tc>
          <w:tcPr>
            <w:tcW w:w="2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1,647.0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1,647.0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1,646.8</w:t>
            </w:r>
          </w:p>
        </w:tc>
        <w:tc>
          <w:tcPr>
            <w:tcW w:w="0" w:type="dxa"/>
            <w:vAlign w:val="bottom"/>
          </w:tcPr>
          <w:p>
            <w:pPr>
              <w:spacing w:after="0"/>
              <w:rPr>
                <w:sz w:val="1"/>
                <w:szCs w:val="1"/>
                <w:color w:val="auto"/>
              </w:rPr>
            </w:pPr>
          </w:p>
        </w:tc>
      </w:tr>
      <w:tr>
        <w:trPr>
          <w:trHeight w:val="176"/>
        </w:trPr>
        <w:tc>
          <w:tcPr>
            <w:tcW w:w="2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Other comprehensive</w:t>
            </w: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29"/>
        </w:trPr>
        <w:tc>
          <w:tcPr>
            <w:tcW w:w="2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w:t>
            </w: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120" w:type="dxa"/>
            <w:vAlign w:val="bottom"/>
          </w:tcPr>
          <w:p>
            <w:pPr>
              <w:ind w:left="20"/>
              <w:spacing w:after="0" w:line="176" w:lineRule="exact"/>
              <w:rPr>
                <w:sz w:val="20"/>
                <w:szCs w:val="20"/>
                <w:color w:val="auto"/>
              </w:rPr>
            </w:pPr>
            <w:r>
              <w:rPr>
                <w:rFonts w:ascii="Arial" w:cs="Arial" w:eastAsia="Arial" w:hAnsi="Arial"/>
                <w:sz w:val="18"/>
                <w:szCs w:val="18"/>
                <w:color w:val="auto"/>
                <w:w w:val="92"/>
              </w:rPr>
              <w:t>Dividends on common stock</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(805.0)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(805.0)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(805.0)</w:t>
            </w:r>
          </w:p>
        </w:tc>
        <w:tc>
          <w:tcPr>
            <w:tcW w:w="0" w:type="dxa"/>
            <w:vAlign w:val="bottom"/>
          </w:tcPr>
          <w:p>
            <w:pPr>
              <w:spacing w:after="0"/>
              <w:rPr>
                <w:sz w:val="1"/>
                <w:szCs w:val="1"/>
                <w:color w:val="auto"/>
              </w:rPr>
            </w:pPr>
          </w:p>
        </w:tc>
      </w:tr>
      <w:tr>
        <w:trPr>
          <w:trHeight w:val="229"/>
        </w:trPr>
        <w:tc>
          <w:tcPr>
            <w:tcW w:w="2120" w:type="dxa"/>
            <w:vAlign w:val="bottom"/>
          </w:tcPr>
          <w:p>
            <w:pPr>
              <w:ind w:left="20"/>
              <w:spacing w:after="0"/>
              <w:rPr>
                <w:sz w:val="20"/>
                <w:szCs w:val="20"/>
                <w:color w:val="auto"/>
              </w:rPr>
            </w:pPr>
            <w:r>
              <w:rPr>
                <w:rFonts w:ascii="Arial" w:cs="Arial" w:eastAsia="Arial" w:hAnsi="Arial"/>
                <w:sz w:val="18"/>
                <w:szCs w:val="18"/>
                <w:color w:val="auto"/>
              </w:rPr>
              <w:t>of $2.25 per share</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Impact of adoption of</w:t>
            </w: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9"/>
        </w:trPr>
        <w:tc>
          <w:tcPr>
            <w:tcW w:w="2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standards updates on leasing</w:t>
            </w: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120" w:type="dxa"/>
            <w:vAlign w:val="bottom"/>
          </w:tcPr>
          <w:p>
            <w:pPr>
              <w:ind w:left="20"/>
              <w:spacing w:after="0" w:line="176" w:lineRule="exact"/>
              <w:rPr>
                <w:sz w:val="20"/>
                <w:szCs w:val="20"/>
                <w:color w:val="auto"/>
              </w:rPr>
            </w:pPr>
            <w:r>
              <w:rPr>
                <w:rFonts w:ascii="Arial" w:cs="Arial" w:eastAsia="Arial" w:hAnsi="Arial"/>
                <w:sz w:val="18"/>
                <w:szCs w:val="18"/>
                <w:color w:val="auto"/>
                <w:w w:val="97"/>
              </w:rPr>
              <w:t>Changes in non-controlling</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20" w:type="dxa"/>
            <w:vAlign w:val="bottom"/>
          </w:tcPr>
          <w:p>
            <w:pPr>
              <w:ind w:left="20"/>
              <w:spacing w:after="0" w:line="176" w:lineRule="exact"/>
              <w:rPr>
                <w:sz w:val="20"/>
                <w:szCs w:val="20"/>
                <w:color w:val="auto"/>
              </w:rPr>
            </w:pPr>
            <w:r>
              <w:rPr>
                <w:rFonts w:ascii="Arial" w:cs="Arial" w:eastAsia="Arial" w:hAnsi="Arial"/>
                <w:sz w:val="18"/>
                <w:szCs w:val="18"/>
                <w:color w:val="auto"/>
                <w:w w:val="90"/>
              </w:rPr>
              <w:t>interest due to measurement</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30"/>
        </w:trPr>
        <w:tc>
          <w:tcPr>
            <w:tcW w:w="2120" w:type="dxa"/>
            <w:vAlign w:val="bottom"/>
          </w:tcPr>
          <w:p>
            <w:pPr>
              <w:ind w:left="20"/>
              <w:spacing w:after="0"/>
              <w:rPr>
                <w:sz w:val="20"/>
                <w:szCs w:val="20"/>
                <w:color w:val="auto"/>
              </w:rPr>
            </w:pPr>
            <w:r>
              <w:rPr>
                <w:rFonts w:ascii="Arial" w:cs="Arial" w:eastAsia="Arial" w:hAnsi="Arial"/>
                <w:sz w:val="18"/>
                <w:szCs w:val="18"/>
                <w:color w:val="auto"/>
              </w:rPr>
              <w:t>period</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of stock options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175"/>
        </w:trPr>
        <w:tc>
          <w:tcPr>
            <w:tcW w:w="2120" w:type="dxa"/>
            <w:vAlign w:val="bottom"/>
          </w:tcPr>
          <w:p>
            <w:pPr>
              <w:ind w:left="20"/>
              <w:spacing w:after="0" w:line="176" w:lineRule="exact"/>
              <w:rPr>
                <w:sz w:val="20"/>
                <w:szCs w:val="20"/>
                <w:color w:val="auto"/>
              </w:rPr>
            </w:pPr>
            <w:r>
              <w:rPr>
                <w:rFonts w:ascii="Arial" w:cs="Arial" w:eastAsia="Arial" w:hAnsi="Arial"/>
                <w:sz w:val="18"/>
                <w:szCs w:val="18"/>
                <w:color w:val="auto"/>
                <w:w w:val="96"/>
              </w:rPr>
              <w:t>Vesting of issued restricted</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30"/>
        </w:trPr>
        <w:tc>
          <w:tcPr>
            <w:tcW w:w="2120" w:type="dxa"/>
            <w:vAlign w:val="bottom"/>
          </w:tcPr>
          <w:p>
            <w:pPr>
              <w:ind w:left="20"/>
              <w:spacing w:after="0"/>
              <w:rPr>
                <w:sz w:val="20"/>
                <w:szCs w:val="20"/>
                <w:color w:val="auto"/>
              </w:rPr>
            </w:pPr>
            <w:r>
              <w:rPr>
                <w:rFonts w:ascii="Arial" w:cs="Arial" w:eastAsia="Arial" w:hAnsi="Arial"/>
                <w:sz w:val="18"/>
                <w:szCs w:val="18"/>
                <w:color w:val="auto"/>
              </w:rPr>
              <w:t>Class A common stock</w:t>
            </w: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Shares issued to Board of</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2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Directors</w:t>
            </w: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120" w:type="dxa"/>
            <w:vAlign w:val="bottom"/>
          </w:tcPr>
          <w:p>
            <w:pPr>
              <w:ind w:left="20"/>
              <w:spacing w:after="0" w:line="176" w:lineRule="exact"/>
              <w:rPr>
                <w:sz w:val="20"/>
                <w:szCs w:val="20"/>
                <w:color w:val="auto"/>
              </w:rPr>
            </w:pPr>
            <w:r>
              <w:rPr>
                <w:rFonts w:ascii="Arial" w:cs="Arial" w:eastAsia="Arial" w:hAnsi="Arial"/>
                <w:sz w:val="18"/>
                <w:szCs w:val="18"/>
                <w:color w:val="auto"/>
              </w:rPr>
              <w:t>Shares issued under</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20" w:type="dxa"/>
            <w:vAlign w:val="bottom"/>
          </w:tcPr>
          <w:p>
            <w:pPr>
              <w:ind w:left="20"/>
              <w:spacing w:after="0" w:line="176" w:lineRule="exact"/>
              <w:rPr>
                <w:sz w:val="20"/>
                <w:szCs w:val="20"/>
                <w:color w:val="auto"/>
              </w:rPr>
            </w:pPr>
            <w:r>
              <w:rPr>
                <w:rFonts w:ascii="Arial" w:cs="Arial" w:eastAsia="Arial" w:hAnsi="Arial"/>
                <w:sz w:val="18"/>
                <w:szCs w:val="18"/>
                <w:color w:val="auto"/>
                <w:w w:val="98"/>
              </w:rPr>
              <w:t>Employee Stock Purchase</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2120" w:type="dxa"/>
            <w:vAlign w:val="bottom"/>
          </w:tcPr>
          <w:p>
            <w:pPr>
              <w:ind w:left="20"/>
              <w:spacing w:after="0"/>
              <w:rPr>
                <w:sz w:val="20"/>
                <w:szCs w:val="20"/>
                <w:color w:val="auto"/>
              </w:rPr>
            </w:pPr>
            <w:r>
              <w:rPr>
                <w:rFonts w:ascii="Arial" w:cs="Arial" w:eastAsia="Arial" w:hAnsi="Arial"/>
                <w:sz w:val="18"/>
                <w:szCs w:val="18"/>
                <w:color w:val="auto"/>
              </w:rPr>
              <w:t>Plan</w:t>
            </w: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Stock-based compensation</w:t>
            </w:r>
          </w:p>
        </w:tc>
        <w:tc>
          <w:tcPr>
            <w:tcW w:w="9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156"/>
        </w:trPr>
        <w:tc>
          <w:tcPr>
            <w:tcW w:w="2120" w:type="dxa"/>
            <w:vAlign w:val="bottom"/>
          </w:tcPr>
          <w:p>
            <w:pPr>
              <w:ind w:left="20"/>
              <w:spacing w:after="0" w:line="156" w:lineRule="exact"/>
              <w:rPr>
                <w:sz w:val="20"/>
                <w:szCs w:val="20"/>
                <w:color w:val="auto"/>
              </w:rPr>
            </w:pPr>
            <w:r>
              <w:rPr>
                <w:rFonts w:ascii="Arial" w:cs="Arial" w:eastAsia="Arial" w:hAnsi="Arial"/>
                <w:sz w:val="18"/>
                <w:szCs w:val="18"/>
                <w:b w:val="1"/>
                <w:bCs w:val="1"/>
                <w:color w:val="auto"/>
                <w:w w:val="95"/>
              </w:rPr>
              <w:t>Balance at September 30,</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357,447</w:t>
            </w:r>
          </w:p>
        </w:tc>
        <w:tc>
          <w:tcPr>
            <w:tcW w:w="10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21,111.2</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5,704.2</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13"/>
                <w:szCs w:val="13"/>
                <w:color w:val="auto"/>
              </w:rPr>
            </w:pPr>
          </w:p>
        </w:tc>
        <w:tc>
          <w:tcPr>
            <w:tcW w:w="140" w:type="dxa"/>
            <w:vAlign w:val="bottom"/>
            <w:vMerge w:val="restart"/>
          </w:tcPr>
          <w:p>
            <w:pPr>
              <w:ind w:left="20"/>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26,783.2</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13"/>
                <w:szCs w:val="13"/>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26,813.3</w:t>
            </w:r>
          </w:p>
        </w:tc>
        <w:tc>
          <w:tcPr>
            <w:tcW w:w="0" w:type="dxa"/>
            <w:vAlign w:val="bottom"/>
          </w:tcPr>
          <w:p>
            <w:pPr>
              <w:spacing w:after="0"/>
              <w:rPr>
                <w:sz w:val="1"/>
                <w:szCs w:val="1"/>
                <w:color w:val="auto"/>
              </w:rPr>
            </w:pPr>
          </w:p>
        </w:tc>
      </w:tr>
      <w:tr>
        <w:trPr>
          <w:trHeight w:val="208"/>
        </w:trPr>
        <w:tc>
          <w:tcPr>
            <w:tcW w:w="212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2019</w:t>
            </w:r>
          </w:p>
        </w:tc>
        <w:tc>
          <w:tcPr>
            <w:tcW w:w="9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 xml:space="preserve">CONSOLIDATED STATEMENTS OF EQUITY </w:t>
      </w:r>
      <w:r>
        <w:rPr>
          <w:rFonts w:ascii="Arial" w:cs="Arial" w:eastAsia="Arial" w:hAnsi="Arial"/>
          <w:sz w:val="18"/>
          <w:szCs w:val="18"/>
          <w:color w:val="auto"/>
        </w:rPr>
        <w:t>(continued)</w:t>
      </w:r>
    </w:p>
    <w:p>
      <w:pPr>
        <w:spacing w:after="0" w:line="9"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(unaudited)</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760" w:type="dxa"/>
            <w:vAlign w:val="bottom"/>
          </w:tcPr>
          <w:p>
            <w:pPr>
              <w:spacing w:after="0"/>
              <w:rPr>
                <w:sz w:val="17"/>
                <w:szCs w:val="17"/>
                <w:color w:val="auto"/>
              </w:rPr>
            </w:pPr>
          </w:p>
        </w:tc>
        <w:tc>
          <w:tcPr>
            <w:tcW w:w="86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2500" w:type="dxa"/>
            <w:vAlign w:val="bottom"/>
            <w:tcBorders>
              <w:top w:val="single" w:sz="8" w:color="auto"/>
              <w:bottom w:val="single" w:sz="8" w:color="auto"/>
            </w:tcBorders>
            <w:gridSpan w:val="6"/>
          </w:tcPr>
          <w:p>
            <w:pPr>
              <w:ind w:left="160"/>
              <w:spacing w:after="0"/>
              <w:rPr>
                <w:sz w:val="20"/>
                <w:szCs w:val="20"/>
                <w:color w:val="auto"/>
              </w:rPr>
            </w:pPr>
            <w:r>
              <w:rPr>
                <w:rFonts w:ascii="Arial" w:cs="Arial" w:eastAsia="Arial" w:hAnsi="Arial"/>
                <w:sz w:val="14"/>
                <w:szCs w:val="14"/>
                <w:b w:val="1"/>
                <w:bCs w:val="1"/>
                <w:color w:val="auto"/>
                <w:w w:val="98"/>
              </w:rPr>
              <w:t>Quarter Ended, September 30, 2019</w:t>
            </w:r>
          </w:p>
        </w:tc>
        <w:tc>
          <w:tcPr>
            <w:tcW w:w="118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1760" w:type="dxa"/>
            <w:vAlign w:val="bottom"/>
          </w:tcPr>
          <w:p>
            <w:pPr>
              <w:spacing w:after="0"/>
              <w:rPr>
                <w:sz w:val="11"/>
                <w:szCs w:val="11"/>
                <w:color w:val="auto"/>
              </w:rPr>
            </w:pPr>
          </w:p>
        </w:tc>
        <w:tc>
          <w:tcPr>
            <w:tcW w:w="940" w:type="dxa"/>
            <w:vAlign w:val="bottom"/>
            <w:gridSpan w:val="2"/>
          </w:tcPr>
          <w:p>
            <w:pPr>
              <w:jc w:val="center"/>
              <w:ind w:right="80"/>
              <w:spacing w:after="0" w:line="130" w:lineRule="exact"/>
              <w:rPr>
                <w:sz w:val="20"/>
                <w:szCs w:val="20"/>
                <w:color w:val="auto"/>
              </w:rPr>
            </w:pPr>
            <w:r>
              <w:rPr>
                <w:rFonts w:ascii="Arial" w:cs="Arial" w:eastAsia="Arial" w:hAnsi="Arial"/>
                <w:sz w:val="14"/>
                <w:szCs w:val="14"/>
                <w:b w:val="1"/>
                <w:bCs w:val="1"/>
                <w:color w:val="auto"/>
                <w:w w:val="89"/>
              </w:rPr>
              <w:t>Class A</w:t>
            </w:r>
          </w:p>
        </w:tc>
        <w:tc>
          <w:tcPr>
            <w:tcW w:w="960" w:type="dxa"/>
            <w:vAlign w:val="bottom"/>
            <w:gridSpan w:val="2"/>
          </w:tcPr>
          <w:p>
            <w:pPr>
              <w:jc w:val="center"/>
              <w:ind w:right="80"/>
              <w:spacing w:after="0" w:line="130" w:lineRule="exact"/>
              <w:rPr>
                <w:sz w:val="20"/>
                <w:szCs w:val="20"/>
                <w:color w:val="auto"/>
              </w:rPr>
            </w:pPr>
            <w:r>
              <w:rPr>
                <w:rFonts w:ascii="Arial" w:cs="Arial" w:eastAsia="Arial" w:hAnsi="Arial"/>
                <w:sz w:val="14"/>
                <w:szCs w:val="14"/>
                <w:b w:val="1"/>
                <w:bCs w:val="1"/>
                <w:color w:val="auto"/>
                <w:w w:val="85"/>
              </w:rPr>
              <w:t>Class B</w:t>
            </w:r>
          </w:p>
        </w:tc>
        <w:tc>
          <w:tcPr>
            <w:tcW w:w="13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8"/>
              </w:rPr>
              <w:t>Common Stock and</w:t>
            </w: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4"/>
              </w:rPr>
              <w:t>Accumulated Other</w:t>
            </w:r>
          </w:p>
        </w:tc>
        <w:tc>
          <w:tcPr>
            <w:tcW w:w="14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7"/>
              </w:rPr>
              <w:t>Total CME Group</w:t>
            </w: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94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5"/>
              </w:rPr>
              <w:t>Common</w:t>
            </w:r>
          </w:p>
        </w:tc>
        <w:tc>
          <w:tcPr>
            <w:tcW w:w="96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2"/>
              </w:rPr>
              <w:t>Common</w:t>
            </w:r>
          </w:p>
        </w:tc>
        <w:tc>
          <w:tcPr>
            <w:tcW w:w="134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420" w:type="dxa"/>
            <w:vAlign w:val="bottom"/>
            <w:gridSpan w:val="3"/>
            <w:vMerge w:val="continue"/>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11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Non-controlling</w:t>
            </w: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94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89"/>
              </w:rPr>
              <w:t>Stock</w:t>
            </w:r>
          </w:p>
        </w:tc>
        <w:tc>
          <w:tcPr>
            <w:tcW w:w="96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4"/>
              </w:rPr>
              <w:t>Stock</w:t>
            </w:r>
          </w:p>
        </w:tc>
        <w:tc>
          <w:tcPr>
            <w:tcW w:w="134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5"/>
              </w:rPr>
              <w:t>Additional Paid-in</w:t>
            </w:r>
          </w:p>
        </w:tc>
        <w:tc>
          <w:tcPr>
            <w:tcW w:w="18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9"/>
              </w:rPr>
              <w:t>Comprehensive</w:t>
            </w:r>
          </w:p>
        </w:tc>
        <w:tc>
          <w:tcPr>
            <w:tcW w:w="160" w:type="dxa"/>
            <w:vAlign w:val="bottom"/>
          </w:tcPr>
          <w:p>
            <w:pPr>
              <w:spacing w:after="0"/>
              <w:rPr>
                <w:sz w:val="11"/>
                <w:szCs w:val="11"/>
                <w:color w:val="auto"/>
              </w:rPr>
            </w:pPr>
          </w:p>
        </w:tc>
        <w:tc>
          <w:tcPr>
            <w:tcW w:w="12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0"/>
              </w:rPr>
              <w:t>Shareholders'</w:t>
            </w:r>
          </w:p>
        </w:tc>
        <w:tc>
          <w:tcPr>
            <w:tcW w:w="116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92"/>
              </w:rPr>
              <w:t>Total Equity</w:t>
            </w:r>
          </w:p>
        </w:tc>
        <w:tc>
          <w:tcPr>
            <w:tcW w:w="0" w:type="dxa"/>
            <w:vAlign w:val="bottom"/>
          </w:tcPr>
          <w:p>
            <w:pPr>
              <w:spacing w:after="0"/>
              <w:rPr>
                <w:sz w:val="1"/>
                <w:szCs w:val="1"/>
                <w:color w:val="auto"/>
              </w:rPr>
            </w:pPr>
          </w:p>
        </w:tc>
      </w:tr>
      <w:tr>
        <w:trPr>
          <w:trHeight w:val="188"/>
        </w:trPr>
        <w:tc>
          <w:tcPr>
            <w:tcW w:w="1760" w:type="dxa"/>
            <w:vAlign w:val="bottom"/>
          </w:tcPr>
          <w:p>
            <w:pPr>
              <w:spacing w:after="0"/>
              <w:rPr>
                <w:sz w:val="16"/>
                <w:szCs w:val="16"/>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(Shares)</w:t>
            </w:r>
          </w:p>
        </w:tc>
        <w:tc>
          <w:tcPr>
            <w:tcW w:w="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(Shares)</w:t>
            </w:r>
          </w:p>
        </w:tc>
        <w:tc>
          <w:tcPr>
            <w:tcW w:w="260" w:type="dxa"/>
            <w:vAlign w:val="bottom"/>
          </w:tcPr>
          <w:p>
            <w:pPr>
              <w:spacing w:after="0"/>
              <w:rPr>
                <w:sz w:val="16"/>
                <w:szCs w:val="16"/>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Income (Loss)</w:t>
            </w:r>
          </w:p>
        </w:tc>
        <w:tc>
          <w:tcPr>
            <w:tcW w:w="16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Equity</w:t>
            </w:r>
          </w:p>
        </w:tc>
        <w:tc>
          <w:tcPr>
            <w:tcW w:w="200" w:type="dxa"/>
            <w:vAlign w:val="bottom"/>
          </w:tcPr>
          <w:p>
            <w:pPr>
              <w:spacing w:after="0"/>
              <w:rPr>
                <w:sz w:val="16"/>
                <w:szCs w:val="16"/>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Interest</w:t>
            </w: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760" w:type="dxa"/>
            <w:vAlign w:val="bottom"/>
            <w:tcBorders>
              <w:top w:val="single" w:sz="8" w:color="CCEEFF"/>
            </w:tcBorders>
            <w:shd w:val="clear" w:color="auto" w:fill="CCEEFF"/>
          </w:tcPr>
          <w:p>
            <w:pPr>
              <w:ind w:left="20"/>
              <w:spacing w:after="0" w:line="157" w:lineRule="exact"/>
              <w:rPr>
                <w:sz w:val="20"/>
                <w:szCs w:val="20"/>
                <w:color w:val="auto"/>
              </w:rPr>
            </w:pPr>
            <w:r>
              <w:rPr>
                <w:rFonts w:ascii="Arial" w:cs="Arial" w:eastAsia="Arial" w:hAnsi="Arial"/>
                <w:sz w:val="18"/>
                <w:szCs w:val="18"/>
                <w:color w:val="auto"/>
              </w:rPr>
              <w:t>Balance at June 30,</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357,143</w:t>
            </w:r>
          </w:p>
        </w:tc>
        <w:tc>
          <w:tcPr>
            <w:tcW w:w="8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21,112.8</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5,336.8</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26,455.2</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26,484.9</w:t>
            </w:r>
          </w:p>
        </w:tc>
        <w:tc>
          <w:tcPr>
            <w:tcW w:w="0" w:type="dxa"/>
            <w:vAlign w:val="bottom"/>
          </w:tcPr>
          <w:p>
            <w:pPr>
              <w:spacing w:after="0"/>
              <w:rPr>
                <w:sz w:val="1"/>
                <w:szCs w:val="1"/>
                <w:color w:val="auto"/>
              </w:rPr>
            </w:pPr>
          </w:p>
        </w:tc>
      </w:tr>
      <w:tr>
        <w:trPr>
          <w:trHeight w:val="229"/>
        </w:trPr>
        <w:tc>
          <w:tcPr>
            <w:tcW w:w="1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8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636.3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636.3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636.3</w:t>
            </w:r>
          </w:p>
        </w:tc>
        <w:tc>
          <w:tcPr>
            <w:tcW w:w="0" w:type="dxa"/>
            <w:vAlign w:val="bottom"/>
          </w:tcPr>
          <w:p>
            <w:pPr>
              <w:spacing w:after="0"/>
              <w:rPr>
                <w:sz w:val="1"/>
                <w:szCs w:val="1"/>
                <w:color w:val="auto"/>
              </w:rPr>
            </w:pPr>
          </w:p>
        </w:tc>
      </w:tr>
      <w:tr>
        <w:trPr>
          <w:trHeight w:val="176"/>
        </w:trPr>
        <w:tc>
          <w:tcPr>
            <w:tcW w:w="17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9"/>
              </w:rPr>
              <w:t>Other comprehensive</w:t>
            </w: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29"/>
        </w:trPr>
        <w:tc>
          <w:tcPr>
            <w:tcW w:w="1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w:t>
            </w: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760" w:type="dxa"/>
            <w:vAlign w:val="bottom"/>
          </w:tcPr>
          <w:p>
            <w:pPr>
              <w:ind w:left="20"/>
              <w:spacing w:after="0" w:line="176" w:lineRule="exact"/>
              <w:rPr>
                <w:sz w:val="20"/>
                <w:szCs w:val="20"/>
                <w:color w:val="auto"/>
              </w:rPr>
            </w:pPr>
            <w:r>
              <w:rPr>
                <w:rFonts w:ascii="Arial" w:cs="Arial" w:eastAsia="Arial" w:hAnsi="Arial"/>
                <w:sz w:val="18"/>
                <w:szCs w:val="18"/>
                <w:color w:val="auto"/>
                <w:w w:val="96"/>
              </w:rPr>
              <w:t>Dividends on common</w:t>
            </w: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60" w:type="dxa"/>
            <w:vAlign w:val="bottom"/>
          </w:tcPr>
          <w:p>
            <w:pPr>
              <w:ind w:left="20"/>
              <w:spacing w:after="0" w:line="176" w:lineRule="exact"/>
              <w:rPr>
                <w:sz w:val="20"/>
                <w:szCs w:val="20"/>
                <w:color w:val="auto"/>
              </w:rPr>
            </w:pPr>
            <w:r>
              <w:rPr>
                <w:rFonts w:ascii="Arial" w:cs="Arial" w:eastAsia="Arial" w:hAnsi="Arial"/>
                <w:sz w:val="18"/>
                <w:szCs w:val="18"/>
                <w:color w:val="auto"/>
              </w:rPr>
              <w:t>stock of $0.75 per</w:t>
            </w: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(268.9)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(268.9)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(268.9)</w:t>
            </w:r>
          </w:p>
        </w:tc>
        <w:tc>
          <w:tcPr>
            <w:tcW w:w="0" w:type="dxa"/>
            <w:vAlign w:val="bottom"/>
          </w:tcPr>
          <w:p>
            <w:pPr>
              <w:spacing w:after="0"/>
              <w:rPr>
                <w:sz w:val="1"/>
                <w:szCs w:val="1"/>
                <w:color w:val="auto"/>
              </w:rPr>
            </w:pPr>
          </w:p>
        </w:tc>
      </w:tr>
      <w:tr>
        <w:trPr>
          <w:trHeight w:val="229"/>
        </w:trPr>
        <w:tc>
          <w:tcPr>
            <w:tcW w:w="1760" w:type="dxa"/>
            <w:vAlign w:val="bottom"/>
          </w:tcPr>
          <w:p>
            <w:pPr>
              <w:ind w:left="20"/>
              <w:spacing w:after="0"/>
              <w:rPr>
                <w:sz w:val="20"/>
                <w:szCs w:val="20"/>
                <w:color w:val="auto"/>
              </w:rPr>
            </w:pPr>
            <w:r>
              <w:rPr>
                <w:rFonts w:ascii="Arial" w:cs="Arial" w:eastAsia="Arial" w:hAnsi="Arial"/>
                <w:sz w:val="18"/>
                <w:szCs w:val="18"/>
                <w:color w:val="auto"/>
              </w:rPr>
              <w:t>share</w:t>
            </w: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7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Changes in non-</w:t>
            </w: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controlling interest due</w:t>
            </w: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17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to measurement period</w:t>
            </w: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760" w:type="dxa"/>
            <w:vAlign w:val="bottom"/>
          </w:tcPr>
          <w:p>
            <w:pPr>
              <w:ind w:left="20"/>
              <w:spacing w:after="0" w:line="176" w:lineRule="exact"/>
              <w:rPr>
                <w:sz w:val="20"/>
                <w:szCs w:val="20"/>
                <w:color w:val="auto"/>
              </w:rPr>
            </w:pPr>
            <w:r>
              <w:rPr>
                <w:rFonts w:ascii="Arial" w:cs="Arial" w:eastAsia="Arial" w:hAnsi="Arial"/>
                <w:sz w:val="18"/>
                <w:szCs w:val="18"/>
                <w:color w:val="auto"/>
              </w:rPr>
              <w:t>Exercise of stock</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9"/>
        </w:trPr>
        <w:tc>
          <w:tcPr>
            <w:tcW w:w="1760" w:type="dxa"/>
            <w:vAlign w:val="bottom"/>
          </w:tcPr>
          <w:p>
            <w:pPr>
              <w:ind w:left="20"/>
              <w:spacing w:after="0"/>
              <w:rPr>
                <w:sz w:val="20"/>
                <w:szCs w:val="20"/>
                <w:color w:val="auto"/>
              </w:rPr>
            </w:pPr>
            <w:r>
              <w:rPr>
                <w:rFonts w:ascii="Arial" w:cs="Arial" w:eastAsia="Arial" w:hAnsi="Arial"/>
                <w:sz w:val="18"/>
                <w:szCs w:val="18"/>
                <w:color w:val="auto"/>
              </w:rPr>
              <w:t>options</w:t>
            </w:r>
          </w:p>
        </w:tc>
        <w:tc>
          <w:tcPr>
            <w:tcW w:w="8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7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Vesting of issued</w:t>
            </w: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restricted Class A</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29"/>
        </w:trPr>
        <w:tc>
          <w:tcPr>
            <w:tcW w:w="1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w:t>
            </w:r>
          </w:p>
        </w:tc>
        <w:tc>
          <w:tcPr>
            <w:tcW w:w="8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760" w:type="dxa"/>
            <w:vAlign w:val="bottom"/>
          </w:tcPr>
          <w:p>
            <w:pPr>
              <w:ind w:left="20"/>
              <w:spacing w:after="0" w:line="176" w:lineRule="exact"/>
              <w:rPr>
                <w:sz w:val="20"/>
                <w:szCs w:val="20"/>
                <w:color w:val="auto"/>
              </w:rPr>
            </w:pPr>
            <w:r>
              <w:rPr>
                <w:rFonts w:ascii="Arial" w:cs="Arial" w:eastAsia="Arial" w:hAnsi="Arial"/>
                <w:sz w:val="18"/>
                <w:szCs w:val="18"/>
                <w:color w:val="auto"/>
              </w:rPr>
              <w:t>Stock-based</w:t>
            </w: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14.4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14.4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29"/>
        </w:trPr>
        <w:tc>
          <w:tcPr>
            <w:tcW w:w="1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compensation</w:t>
            </w:r>
          </w:p>
        </w:tc>
        <w:tc>
          <w:tcPr>
            <w:tcW w:w="8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7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w w:val="91"/>
              </w:rPr>
              <w:t>Balance at September</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357,447</w:t>
            </w:r>
          </w:p>
        </w:tc>
        <w:tc>
          <w:tcPr>
            <w:tcW w:w="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21,111.2</w:t>
            </w:r>
          </w:p>
        </w:tc>
        <w:tc>
          <w:tcPr>
            <w:tcW w:w="8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5,704.2</w:t>
            </w:r>
          </w:p>
        </w:tc>
        <w:tc>
          <w:tcPr>
            <w:tcW w:w="8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8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26,783.2</w:t>
            </w:r>
          </w:p>
        </w:tc>
        <w:tc>
          <w:tcPr>
            <w:tcW w:w="8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26,813.3</w:t>
            </w:r>
          </w:p>
        </w:tc>
        <w:tc>
          <w:tcPr>
            <w:tcW w:w="0" w:type="dxa"/>
            <w:vAlign w:val="bottom"/>
          </w:tcPr>
          <w:p>
            <w:pPr>
              <w:spacing w:after="0"/>
              <w:rPr>
                <w:sz w:val="1"/>
                <w:szCs w:val="1"/>
                <w:color w:val="auto"/>
              </w:rPr>
            </w:pPr>
          </w:p>
        </w:tc>
      </w:tr>
      <w:tr>
        <w:trPr>
          <w:trHeight w:val="222"/>
        </w:trPr>
        <w:tc>
          <w:tcPr>
            <w:tcW w:w="176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30, 2019</w:t>
            </w: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(unaudited)</w:t>
      </w:r>
    </w:p>
    <w:p>
      <w:pPr>
        <w:spacing w:after="0" w:line="17" w:lineRule="exact"/>
        <w:rPr>
          <w:sz w:val="20"/>
          <w:szCs w:val="20"/>
          <w:color w:val="auto"/>
        </w:rPr>
      </w:pPr>
    </w:p>
    <w:p>
      <w:pPr>
        <w:ind w:left="9180"/>
        <w:spacing w:after="0"/>
        <w:rPr>
          <w:sz w:val="20"/>
          <w:szCs w:val="20"/>
          <w:color w:val="auto"/>
        </w:rPr>
      </w:pPr>
      <w:r>
        <w:rPr>
          <w:rFonts w:ascii="Arial" w:cs="Arial" w:eastAsia="Arial" w:hAnsi="Arial"/>
          <w:sz w:val="14"/>
          <w:szCs w:val="14"/>
          <w:b w:val="1"/>
          <w:bCs w:val="1"/>
          <w:color w:val="auto"/>
        </w:rPr>
        <w:t>Nine Months Ended</w:t>
      </w:r>
    </w:p>
    <w:p>
      <w:pPr>
        <w:ind w:left="9360"/>
        <w:spacing w:after="0"/>
        <w:rPr>
          <w:sz w:val="20"/>
          <w:szCs w:val="20"/>
          <w:color w:val="auto"/>
        </w:rPr>
      </w:pPr>
      <w:r>
        <w:rPr>
          <w:rFonts w:ascii="Arial" w:cs="Arial" w:eastAsia="Arial" w:hAnsi="Arial"/>
          <w:sz w:val="14"/>
          <w:szCs w:val="14"/>
          <w:b w:val="1"/>
          <w:bCs w:val="1"/>
          <w:color w:val="auto"/>
        </w:rPr>
        <w:t>September 30,</w:t>
      </w:r>
    </w:p>
    <w:p>
      <w:pPr>
        <w:spacing w:after="0" w:line="9" w:lineRule="exact"/>
        <w:rPr>
          <w:sz w:val="20"/>
          <w:szCs w:val="20"/>
          <w:color w:val="auto"/>
        </w:rPr>
      </w:pPr>
    </w:p>
    <w:tbl>
      <w:tblPr>
        <w:tblLayout w:type="fixed"/>
        <w:tblInd w:w="20" w:type="dxa"/>
        <w:tblCellMar>
          <w:top w:w="0" w:type="dxa"/>
          <w:left w:w="0" w:type="dxa"/>
          <w:bottom w:w="0" w:type="dxa"/>
          <w:right w:w="0" w:type="dxa"/>
        </w:tblCellMar>
      </w:tblPr>
      <w:tr>
        <w:trPr>
          <w:trHeight w:val="193"/>
        </w:trPr>
        <w:tc>
          <w:tcPr>
            <w:tcW w:w="838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r>
      <w:tr>
        <w:trPr>
          <w:trHeight w:val="211"/>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83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1,681.6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1,646.8</w:t>
            </w:r>
          </w:p>
        </w:tc>
      </w:tr>
      <w:tr>
        <w:trPr>
          <w:trHeight w:val="230"/>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838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70.8</w:t>
            </w:r>
          </w:p>
        </w:tc>
      </w:tr>
      <w:tr>
        <w:trPr>
          <w:trHeight w:val="229"/>
        </w:trPr>
        <w:tc>
          <w:tcPr>
            <w:tcW w:w="8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purchased intangibles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w:t>
            </w:r>
          </w:p>
        </w:tc>
      </w:tr>
      <w:tr>
        <w:trPr>
          <w:trHeight w:val="230"/>
        </w:trPr>
        <w:tc>
          <w:tcPr>
            <w:tcW w:w="838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120.6</w:t>
            </w:r>
          </w:p>
        </w:tc>
      </w:tr>
      <w:tr>
        <w:trPr>
          <w:trHeight w:val="229"/>
        </w:trPr>
        <w:tc>
          <w:tcPr>
            <w:tcW w:w="8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losses on impaired assets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r>
      <w:tr>
        <w:trPr>
          <w:trHeight w:val="230"/>
        </w:trPr>
        <w:tc>
          <w:tcPr>
            <w:tcW w:w="8380" w:type="dxa"/>
            <w:vAlign w:val="bottom"/>
          </w:tcPr>
          <w:p>
            <w:pPr>
              <w:ind w:left="120"/>
              <w:spacing w:after="0"/>
              <w:rPr>
                <w:sz w:val="20"/>
                <w:szCs w:val="20"/>
                <w:color w:val="auto"/>
              </w:rPr>
            </w:pPr>
            <w:r>
              <w:rPr>
                <w:rFonts w:ascii="Arial" w:cs="Arial" w:eastAsia="Arial" w:hAnsi="Arial"/>
                <w:sz w:val="18"/>
                <w:szCs w:val="18"/>
                <w:color w:val="auto"/>
              </w:rPr>
              <w:t>Net (gain) loss on derivative contracts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17.9</w:t>
            </w:r>
          </w:p>
        </w:tc>
      </w:tr>
      <w:tr>
        <w:trPr>
          <w:trHeight w:val="229"/>
        </w:trPr>
        <w:tc>
          <w:tcPr>
            <w:tcW w:w="8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realized and unrealized losses on investments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r>
      <w:tr>
        <w:trPr>
          <w:trHeight w:val="229"/>
        </w:trPr>
        <w:tc>
          <w:tcPr>
            <w:tcW w:w="8380" w:type="dxa"/>
            <w:vAlign w:val="bottom"/>
          </w:tcPr>
          <w:p>
            <w:pPr>
              <w:ind w:left="120"/>
              <w:spacing w:after="0"/>
              <w:rPr>
                <w:sz w:val="20"/>
                <w:szCs w:val="20"/>
                <w:color w:val="auto"/>
              </w:rPr>
            </w:pPr>
            <w:r>
              <w:rPr>
                <w:rFonts w:ascii="Arial" w:cs="Arial" w:eastAsia="Arial" w:hAnsi="Arial"/>
                <w:sz w:val="18"/>
                <w:szCs w:val="18"/>
                <w:color w:val="auto"/>
              </w:rPr>
              <w:t>Undistributed net earnings of unconsolidated subsidiaries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(41.1)</w:t>
            </w:r>
          </w:p>
        </w:tc>
      </w:tr>
      <w:tr>
        <w:trPr>
          <w:trHeight w:val="230"/>
        </w:trPr>
        <w:tc>
          <w:tcPr>
            <w:tcW w:w="8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income taxes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r>
      <w:tr>
        <w:trPr>
          <w:trHeight w:val="229"/>
        </w:trPr>
        <w:tc>
          <w:tcPr>
            <w:tcW w:w="8380" w:type="dxa"/>
            <w:vAlign w:val="bottom"/>
          </w:tcPr>
          <w:p>
            <w:pPr>
              <w:ind w:left="120"/>
              <w:spacing w:after="0"/>
              <w:rPr>
                <w:sz w:val="20"/>
                <w:szCs w:val="20"/>
                <w:color w:val="auto"/>
              </w:rPr>
            </w:pPr>
            <w:r>
              <w:rPr>
                <w:rFonts w:ascii="Arial" w:cs="Arial" w:eastAsia="Arial" w:hAnsi="Arial"/>
                <w:sz w:val="18"/>
                <w:szCs w:val="18"/>
                <w:color w:val="auto"/>
              </w:rPr>
              <w:t>Change in:</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receivable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29"/>
        </w:trPr>
        <w:tc>
          <w:tcPr>
            <w:tcW w:w="8380" w:type="dxa"/>
            <w:vAlign w:val="bottom"/>
          </w:tcPr>
          <w:p>
            <w:pPr>
              <w:ind w:left="320"/>
              <w:spacing w:after="0"/>
              <w:rPr>
                <w:sz w:val="20"/>
                <w:szCs w:val="20"/>
                <w:color w:val="auto"/>
              </w:rPr>
            </w:pPr>
            <w:r>
              <w:rPr>
                <w:rFonts w:ascii="Arial" w:cs="Arial" w:eastAsia="Arial" w:hAnsi="Arial"/>
                <w:sz w:val="18"/>
                <w:szCs w:val="18"/>
                <w:color w:val="auto"/>
              </w:rPr>
              <w:t>Other current assets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(106.5)</w:t>
            </w:r>
          </w:p>
        </w:tc>
      </w:tr>
      <w:tr>
        <w:trPr>
          <w:trHeight w:val="229"/>
        </w:trPr>
        <w:tc>
          <w:tcPr>
            <w:tcW w:w="8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assets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30"/>
        </w:trPr>
        <w:tc>
          <w:tcPr>
            <w:tcW w:w="838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(54.4)</w:t>
            </w:r>
          </w:p>
        </w:tc>
      </w:tr>
      <w:tr>
        <w:trPr>
          <w:trHeight w:val="229"/>
        </w:trPr>
        <w:tc>
          <w:tcPr>
            <w:tcW w:w="8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taxes payable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w:t>
            </w:r>
          </w:p>
        </w:tc>
      </w:tr>
      <w:tr>
        <w:trPr>
          <w:trHeight w:val="229"/>
        </w:trPr>
        <w:tc>
          <w:tcPr>
            <w:tcW w:w="8380" w:type="dxa"/>
            <w:vAlign w:val="bottom"/>
          </w:tcPr>
          <w:p>
            <w:pPr>
              <w:ind w:left="320"/>
              <w:spacing w:after="0"/>
              <w:rPr>
                <w:sz w:val="20"/>
                <w:szCs w:val="20"/>
                <w:color w:val="auto"/>
              </w:rPr>
            </w:pPr>
            <w:r>
              <w:rPr>
                <w:rFonts w:ascii="Arial" w:cs="Arial" w:eastAsia="Arial" w:hAnsi="Arial"/>
                <w:sz w:val="18"/>
                <w:szCs w:val="18"/>
                <w:color w:val="auto"/>
              </w:rPr>
              <w:t>Other current liabilities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91.9</w:t>
            </w:r>
          </w:p>
        </w:tc>
      </w:tr>
      <w:tr>
        <w:trPr>
          <w:trHeight w:val="230"/>
        </w:trPr>
        <w:tc>
          <w:tcPr>
            <w:tcW w:w="8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liabilities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83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r>
      <w:tr>
        <w:trPr>
          <w:trHeight w:val="223"/>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2,055.3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1,953.1</w:t>
            </w:r>
          </w:p>
        </w:tc>
      </w:tr>
    </w:tbl>
    <w:p>
      <w:pPr>
        <w:spacing w:after="0" w:line="200" w:lineRule="exact"/>
        <w:rPr>
          <w:sz w:val="20"/>
          <w:szCs w:val="20"/>
          <w:color w:val="auto"/>
        </w:rPr>
      </w:pPr>
    </w:p>
    <w:p>
      <w:pPr>
        <w:sectPr>
          <w:pgSz w:w="11900" w:h="16838" w:orient="portrait"/>
          <w:cols w:equalWidth="0" w:num="1">
            <w:col w:w="11220"/>
          </w:cols>
          <w:pgMar w:left="320" w:top="125" w:right="359" w:bottom="1440" w:gutter="0" w:footer="0" w:header="0"/>
        </w:sectPr>
      </w:pPr>
    </w:p>
    <w:p>
      <w:pPr>
        <w:spacing w:after="0" w:line="3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-127635</wp:posOffset>
            </wp:positionV>
            <wp:extent cx="7115175"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7" w:lineRule="exact"/>
        <w:rPr>
          <w:sz w:val="20"/>
          <w:szCs w:val="20"/>
          <w:color w:val="auto"/>
        </w:rPr>
      </w:pPr>
    </w:p>
    <w:p>
      <w:pPr>
        <w:ind w:left="40" w:right="3560"/>
        <w:spacing w:after="0" w:line="323" w:lineRule="auto"/>
        <w:rPr>
          <w:sz w:val="20"/>
          <w:szCs w:val="20"/>
          <w:color w:val="auto"/>
        </w:rPr>
      </w:pPr>
      <w:r>
        <w:rPr>
          <w:rFonts w:ascii="Arial" w:cs="Arial" w:eastAsia="Arial" w:hAnsi="Arial"/>
          <w:sz w:val="17"/>
          <w:szCs w:val="17"/>
          <w:color w:val="auto"/>
        </w:rPr>
        <w:t>Proceeds from maturities of available-for-sale marketable securities Purchases of available-for-sale 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-187960</wp:posOffset>
            </wp:positionV>
            <wp:extent cx="7115175"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Purchases of property, net</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Investments in privately-held equity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-130175</wp:posOffset>
            </wp:positionV>
            <wp:extent cx="7115175"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Proceeds from sales of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7115175"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9.4</w:t>
      </w:r>
    </w:p>
    <w:p>
      <w:pPr>
        <w:spacing w:after="0" w:line="23" w:lineRule="exact"/>
        <w:rPr>
          <w:sz w:val="20"/>
          <w:szCs w:val="20"/>
          <w:color w:val="auto"/>
        </w:rPr>
      </w:pPr>
    </w:p>
    <w:p>
      <w:pPr>
        <w:jc w:val="right"/>
        <w:ind w:right="240"/>
        <w:spacing w:after="0"/>
        <w:rPr>
          <w:sz w:val="20"/>
          <w:szCs w:val="20"/>
          <w:color w:val="auto"/>
        </w:rPr>
      </w:pPr>
      <w:r>
        <w:rPr>
          <w:rFonts w:ascii="Arial" w:cs="Arial" w:eastAsia="Arial" w:hAnsi="Arial"/>
          <w:sz w:val="18"/>
          <w:szCs w:val="18"/>
          <w:color w:val="auto"/>
        </w:rPr>
        <w:t>(8.7)</w:t>
      </w:r>
    </w:p>
    <w:p>
      <w:pPr>
        <w:spacing w:after="0" w:line="197" w:lineRule="exact"/>
        <w:rPr>
          <w:sz w:val="20"/>
          <w:szCs w:val="20"/>
          <w:color w:val="auto"/>
        </w:rPr>
      </w:pPr>
    </w:p>
    <w:p>
      <w:pPr>
        <w:jc w:val="right"/>
        <w:ind w:right="240"/>
        <w:spacing w:after="0"/>
        <w:rPr>
          <w:sz w:val="20"/>
          <w:szCs w:val="20"/>
          <w:color w:val="auto"/>
        </w:rPr>
      </w:pPr>
      <w:r>
        <w:rPr>
          <w:rFonts w:ascii="Arial" w:cs="Arial" w:eastAsia="Arial" w:hAnsi="Arial"/>
          <w:sz w:val="16"/>
          <w:szCs w:val="16"/>
          <w:color w:val="auto"/>
        </w:rPr>
        <w:t>(127.5)</w:t>
      </w:r>
    </w:p>
    <w:p>
      <w:pPr>
        <w:spacing w:after="0" w:line="46" w:lineRule="exact"/>
        <w:rPr>
          <w:sz w:val="20"/>
          <w:szCs w:val="20"/>
          <w:color w:val="auto"/>
        </w:rPr>
      </w:pPr>
    </w:p>
    <w:p>
      <w:pPr>
        <w:jc w:val="right"/>
        <w:ind w:right="240"/>
        <w:spacing w:after="0"/>
        <w:rPr>
          <w:sz w:val="20"/>
          <w:szCs w:val="20"/>
          <w:color w:val="auto"/>
        </w:rPr>
      </w:pPr>
      <w:r>
        <w:rPr>
          <w:rFonts w:ascii="Arial" w:cs="Arial" w:eastAsia="Arial" w:hAnsi="Arial"/>
          <w:sz w:val="18"/>
          <w:szCs w:val="18"/>
          <w:color w:val="auto"/>
        </w:rPr>
        <w:t>(5.5)</w:t>
      </w:r>
    </w:p>
    <w:p>
      <w:pPr>
        <w:spacing w:after="0" w:line="23" w:lineRule="exact"/>
        <w:rPr>
          <w:sz w:val="20"/>
          <w:szCs w:val="20"/>
          <w:color w:val="auto"/>
        </w:rPr>
      </w:pPr>
    </w:p>
    <w:p>
      <w:pPr>
        <w:jc w:val="right"/>
        <w:ind w:right="280"/>
        <w:spacing w:after="0"/>
        <w:rPr>
          <w:sz w:val="20"/>
          <w:szCs w:val="20"/>
          <w:color w:val="auto"/>
        </w:rPr>
      </w:pPr>
      <w:r>
        <w:rPr>
          <w:rFonts w:ascii="Arial" w:cs="Arial" w:eastAsia="Arial" w:hAnsi="Arial"/>
          <w:sz w:val="18"/>
          <w:szCs w:val="18"/>
          <w:color w:val="auto"/>
        </w:rPr>
        <w:t>8.9</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(123.4)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-513080</wp:posOffset>
            </wp:positionH>
            <wp:positionV relativeFrom="paragraph">
              <wp:posOffset>29210</wp:posOffset>
            </wp:positionV>
            <wp:extent cx="86550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13.0</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(9.8)</w:t>
      </w:r>
    </w:p>
    <w:p>
      <w:pPr>
        <w:spacing w:after="0" w:line="197"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(179.2)</w:t>
      </w:r>
    </w:p>
    <w:p>
      <w:pPr>
        <w:spacing w:after="0" w:line="46"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39.3</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(136.7)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-518160</wp:posOffset>
            </wp:positionH>
            <wp:positionV relativeFrom="paragraph">
              <wp:posOffset>29210</wp:posOffset>
            </wp:positionV>
            <wp:extent cx="86614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66140" cy="8255"/>
                    </a:xfrm>
                    <a:prstGeom prst="rect">
                      <a:avLst/>
                    </a:prstGeom>
                    <a:noFill/>
                  </pic:spPr>
                </pic:pic>
              </a:graphicData>
            </a:graphic>
          </wp:anchor>
        </w:drawing>
      </w:r>
    </w:p>
    <w:p>
      <w:pPr>
        <w:spacing w:after="0" w:line="210" w:lineRule="exact"/>
        <w:rPr>
          <w:sz w:val="20"/>
          <w:szCs w:val="20"/>
          <w:color w:val="auto"/>
        </w:rPr>
      </w:pPr>
    </w:p>
    <w:p>
      <w:pPr>
        <w:sectPr>
          <w:pgSz w:w="11900" w:h="16838" w:orient="portrait"/>
          <w:cols w:equalWidth="0" w:num="3">
            <w:col w:w="8480" w:space="720"/>
            <w:col w:w="760" w:space="720"/>
            <w:col w:w="540"/>
          </w:cols>
          <w:pgMar w:left="320" w:top="125" w:right="359" w:bottom="1440" w:gutter="0" w:footer="0" w:header="0"/>
          <w:type w:val="continuous"/>
        </w:sectPr>
      </w:pPr>
    </w:p>
    <w:p>
      <w:pPr>
        <w:spacing w:after="0" w:line="9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8380" w:type="dxa"/>
            <w:vAlign w:val="bottom"/>
          </w:tcPr>
          <w:p>
            <w:pPr>
              <w:ind w:left="20"/>
              <w:spacing w:after="0"/>
              <w:rPr>
                <w:sz w:val="20"/>
                <w:szCs w:val="20"/>
                <w:color w:val="auto"/>
              </w:rPr>
            </w:pPr>
            <w:r>
              <w:rPr>
                <w:rFonts w:ascii="Arial" w:cs="Arial" w:eastAsia="Arial" w:hAnsi="Arial"/>
                <w:sz w:val="18"/>
                <w:szCs w:val="18"/>
                <w:color w:val="auto"/>
              </w:rPr>
              <w:t>Issuance of commercial paper, net of maturities</w:t>
            </w:r>
          </w:p>
        </w:tc>
        <w:tc>
          <w:tcPr>
            <w:tcW w:w="1360" w:type="dxa"/>
            <w:vAlign w:val="bottom"/>
          </w:tcPr>
          <w:p>
            <w:pPr>
              <w:jc w:val="right"/>
              <w:spacing w:after="0"/>
              <w:rPr>
                <w:sz w:val="20"/>
                <w:szCs w:val="20"/>
                <w:color w:val="auto"/>
              </w:rPr>
            </w:pPr>
            <w:r>
              <w:rPr>
                <w:rFonts w:ascii="Arial" w:cs="Arial" w:eastAsia="Arial" w:hAnsi="Arial"/>
                <w:sz w:val="18"/>
                <w:szCs w:val="18"/>
                <w:color w:val="auto"/>
              </w:rPr>
              <w:t>(304.6)</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38.9</w:t>
            </w:r>
          </w:p>
        </w:tc>
      </w:tr>
      <w:tr>
        <w:trPr>
          <w:trHeight w:val="230"/>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 of debt</w:t>
            </w:r>
          </w:p>
        </w:tc>
        <w:tc>
          <w:tcPr>
            <w:tcW w:w="146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(569.2)</w:t>
            </w:r>
          </w:p>
        </w:tc>
      </w:tr>
      <w:tr>
        <w:trPr>
          <w:trHeight w:val="229"/>
        </w:trPr>
        <w:tc>
          <w:tcPr>
            <w:tcW w:w="8380" w:type="dxa"/>
            <w:vAlign w:val="bottom"/>
          </w:tcPr>
          <w:p>
            <w:pPr>
              <w:ind w:left="20"/>
              <w:spacing w:after="0"/>
              <w:rPr>
                <w:sz w:val="20"/>
                <w:szCs w:val="20"/>
                <w:color w:val="auto"/>
              </w:rPr>
            </w:pPr>
            <w:r>
              <w:rPr>
                <w:rFonts w:ascii="Arial" w:cs="Arial" w:eastAsia="Arial" w:hAnsi="Arial"/>
                <w:sz w:val="18"/>
                <w:szCs w:val="18"/>
                <w:color w:val="auto"/>
              </w:rPr>
              <w:t>Cash dividends</w:t>
            </w:r>
          </w:p>
        </w:tc>
        <w:tc>
          <w:tcPr>
            <w:tcW w:w="1360" w:type="dxa"/>
            <w:vAlign w:val="bottom"/>
          </w:tcPr>
          <w:p>
            <w:pPr>
              <w:jc w:val="right"/>
              <w:spacing w:after="0"/>
              <w:rPr>
                <w:sz w:val="20"/>
                <w:szCs w:val="20"/>
                <w:color w:val="auto"/>
              </w:rPr>
            </w:pPr>
            <w:r>
              <w:rPr>
                <w:rFonts w:ascii="Arial" w:cs="Arial" w:eastAsia="Arial" w:hAnsi="Arial"/>
                <w:sz w:val="18"/>
                <w:szCs w:val="18"/>
                <w:color w:val="auto"/>
              </w:rPr>
              <w:t>(1,805.7)</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(1,427.8)</w:t>
            </w:r>
          </w:p>
        </w:tc>
      </w:tr>
      <w:tr>
        <w:trPr>
          <w:trHeight w:val="230"/>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 of derivative contracts</w:t>
            </w:r>
          </w:p>
        </w:tc>
        <w:tc>
          <w:tcPr>
            <w:tcW w:w="146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30"/>
        </w:trPr>
        <w:tc>
          <w:tcPr>
            <w:tcW w:w="8380" w:type="dxa"/>
            <w:vAlign w:val="bottom"/>
          </w:tcPr>
          <w:p>
            <w:pPr>
              <w:ind w:left="20"/>
              <w:spacing w:after="0"/>
              <w:rPr>
                <w:sz w:val="20"/>
                <w:szCs w:val="20"/>
                <w:color w:val="auto"/>
              </w:rPr>
            </w:pPr>
            <w:r>
              <w:rPr>
                <w:rFonts w:ascii="Arial" w:cs="Arial" w:eastAsia="Arial" w:hAnsi="Arial"/>
                <w:sz w:val="18"/>
                <w:szCs w:val="18"/>
                <w:color w:val="auto"/>
              </w:rPr>
              <w:t>Employee taxes paid on restricted stock vesting</w:t>
            </w:r>
          </w:p>
        </w:tc>
        <w:tc>
          <w:tcPr>
            <w:tcW w:w="1360" w:type="dxa"/>
            <w:vAlign w:val="bottom"/>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(36.8)</w:t>
            </w:r>
          </w:p>
        </w:tc>
      </w:tr>
      <w:tr>
        <w:trPr>
          <w:trHeight w:val="230"/>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8380" w:type="dxa"/>
            <w:vAlign w:val="bottom"/>
          </w:tcPr>
          <w:p>
            <w:pPr>
              <w:ind w:left="20"/>
              <w:spacing w:after="0"/>
              <w:rPr>
                <w:sz w:val="20"/>
                <w:szCs w:val="20"/>
                <w:color w:val="auto"/>
              </w:rPr>
            </w:pPr>
            <w:r>
              <w:rPr>
                <w:rFonts w:ascii="Arial" w:cs="Arial" w:eastAsia="Arial" w:hAnsi="Arial"/>
                <w:sz w:val="18"/>
                <w:szCs w:val="18"/>
                <w:b w:val="1"/>
                <w:bCs w:val="1"/>
                <w:color w:val="auto"/>
              </w:rPr>
              <w:t>Net Cash Used in Financing Activities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(2,151.2)</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(1,977.5)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CONSOLIDATED STATEMENTS OF CASH FLOWS </w:t>
      </w:r>
      <w:r>
        <w:rPr>
          <w:rFonts w:ascii="Arial" w:cs="Arial" w:eastAsia="Arial" w:hAnsi="Arial"/>
          <w:sz w:val="18"/>
          <w:szCs w:val="18"/>
          <w:color w:val="auto"/>
        </w:rPr>
        <w:t>(continued)</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(unaudited)</w:t>
      </w:r>
    </w:p>
    <w:p>
      <w:pPr>
        <w:spacing w:after="0" w:line="71" w:lineRule="exact"/>
        <w:rPr>
          <w:sz w:val="20"/>
          <w:szCs w:val="20"/>
          <w:color w:val="auto"/>
        </w:rPr>
      </w:pPr>
    </w:p>
    <w:p>
      <w:pPr>
        <w:ind w:left="9180"/>
        <w:spacing w:after="0"/>
        <w:rPr>
          <w:sz w:val="20"/>
          <w:szCs w:val="20"/>
          <w:color w:val="auto"/>
        </w:rPr>
      </w:pPr>
      <w:r>
        <w:rPr>
          <w:rFonts w:ascii="Arial" w:cs="Arial" w:eastAsia="Arial" w:hAnsi="Arial"/>
          <w:sz w:val="14"/>
          <w:szCs w:val="14"/>
          <w:b w:val="1"/>
          <w:bCs w:val="1"/>
          <w:color w:val="auto"/>
        </w:rPr>
        <w:t>Nine Months Ended</w:t>
      </w:r>
    </w:p>
    <w:p>
      <w:pPr>
        <w:ind w:left="9360"/>
        <w:spacing w:after="0"/>
        <w:rPr>
          <w:sz w:val="20"/>
          <w:szCs w:val="20"/>
          <w:color w:val="auto"/>
        </w:rPr>
      </w:pPr>
      <w:r>
        <w:rPr>
          <w:rFonts w:ascii="Arial" w:cs="Arial" w:eastAsia="Arial" w:hAnsi="Arial"/>
          <w:sz w:val="14"/>
          <w:szCs w:val="14"/>
          <w:b w:val="1"/>
          <w:bCs w:val="1"/>
          <w:color w:val="auto"/>
        </w:rPr>
        <w:t>September 30,</w:t>
      </w:r>
    </w:p>
    <w:p>
      <w:pPr>
        <w:spacing w:after="0" w:line="9" w:lineRule="exact"/>
        <w:rPr>
          <w:sz w:val="20"/>
          <w:szCs w:val="20"/>
          <w:color w:val="auto"/>
        </w:rPr>
      </w:pPr>
    </w:p>
    <w:tbl>
      <w:tblPr>
        <w:tblLayout w:type="fixed"/>
        <w:tblInd w:w="20" w:type="dxa"/>
        <w:tblCellMar>
          <w:top w:w="0" w:type="dxa"/>
          <w:left w:w="0" w:type="dxa"/>
          <w:bottom w:w="0" w:type="dxa"/>
          <w:right w:w="0" w:type="dxa"/>
        </w:tblCellMar>
      </w:tblPr>
      <w:tr>
        <w:trPr>
          <w:trHeight w:val="193"/>
        </w:trPr>
        <w:tc>
          <w:tcPr>
            <w:tcW w:w="838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r>
      <w:tr>
        <w:trPr>
          <w:trHeight w:val="224"/>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 in cash, cash equivalents and restricted cash</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w:t>
            </w:r>
          </w:p>
        </w:tc>
      </w:tr>
      <w:tr>
        <w:trPr>
          <w:trHeight w:val="229"/>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1,556.6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1,377.2</w:t>
            </w:r>
          </w:p>
        </w:tc>
      </w:tr>
      <w:tr>
        <w:trPr>
          <w:trHeight w:val="248"/>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1,216.1</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0"/>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Reconciliation of cash, cash equivalents and restricted cash:</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83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1,332.1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1,210.1</w:t>
            </w:r>
          </w:p>
        </w:tc>
      </w:tr>
      <w:tr>
        <w:trPr>
          <w:trHeight w:val="229"/>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restricted cash</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Long-term restricted cash</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r>
      <w:tr>
        <w:trPr>
          <w:trHeight w:val="248"/>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1,216.1</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0"/>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8380" w:type="dxa"/>
            <w:vAlign w:val="bottom"/>
          </w:tcPr>
          <w:p>
            <w:pPr>
              <w:ind w:left="20"/>
              <w:spacing w:after="0"/>
              <w:rPr>
                <w:sz w:val="20"/>
                <w:szCs w:val="20"/>
                <w:color w:val="auto"/>
              </w:rPr>
            </w:pPr>
            <w:r>
              <w:rPr>
                <w:rFonts w:ascii="Arial" w:cs="Arial" w:eastAsia="Arial" w:hAnsi="Arial"/>
                <w:sz w:val="18"/>
                <w:szCs w:val="18"/>
                <w:color w:val="auto"/>
              </w:rPr>
              <w:t>Income taxes paid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553.2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550.6</w:t>
            </w:r>
          </w:p>
        </w:tc>
      </w:tr>
      <w:tr>
        <w:trPr>
          <w:trHeight w:val="230"/>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paid</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color w:val="auto"/>
        </w:rPr>
        <w:t>The consolidated financial statements consist of CME Group Inc. (CME Group) and its subsidiaries (collectively, the company), including Chicago Mercantile Exchange Inc. (CME), Board of Trade of the City of Chicago, Inc. (CBOT), New York Mercantile Exchange, Inc. (NYMEX), Commodity Exchange, Inc. (COMEX) and NEX Group Limited (NEX). The clearing house is operated by CME.</w:t>
      </w:r>
    </w:p>
    <w:p>
      <w:pPr>
        <w:spacing w:after="0" w:line="5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accompanying interim consolidated financial statements have been prepared by CME Group without audit. Certain notes and other information normally included in financial statements prepared in accordance with accounting principles generally accepted in the United States have been condensed or omitted. In the opinion of management, the accompanying consolidated financial statements include all normal recurring adjustments considered necessary to present fairly the financial position of the company at September 30, 2020 and December 31, 2019 and the results of operations and cash flows for the periods indicated. Quarterly results are not necessarily indicative of results for any subsequent period.</w:t>
      </w:r>
    </w:p>
    <w:p>
      <w:pPr>
        <w:spacing w:after="0" w:line="68"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accompanying consolidated financial statements should be read in conjunction with the consolidated financial statements and notes thereto in CME Group’s Annual Report on Form 10-K for the year ended December 31, 2019, filed with the Securities and Exchange Commission (SEC) on February 28, 2020.</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Newly Adopted Accounting Policies. </w:t>
      </w:r>
      <w:r>
        <w:rPr>
          <w:rFonts w:ascii="Arial" w:cs="Arial" w:eastAsia="Arial" w:hAnsi="Arial"/>
          <w:sz w:val="18"/>
          <w:szCs w:val="18"/>
          <w:color w:val="auto"/>
        </w:rPr>
        <w:t>The company adopted the following accounting policies during 2020:</w:t>
      </w:r>
    </w:p>
    <w:p>
      <w:pPr>
        <w:spacing w:after="0" w:line="12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i w:val="1"/>
          <w:iCs w:val="1"/>
          <w:color w:val="auto"/>
        </w:rPr>
        <w:t xml:space="preserve">Credit Losses. </w:t>
      </w:r>
      <w:r>
        <w:rPr>
          <w:rFonts w:ascii="Arial" w:cs="Arial" w:eastAsia="Arial" w:hAnsi="Arial"/>
          <w:sz w:val="16"/>
          <w:szCs w:val="16"/>
          <w:color w:val="auto"/>
        </w:rPr>
        <w:t>In June 2016, the FASB issued guidance that changes how credit losses are measured for most financial assets measured at amortized cost</w:t>
      </w:r>
      <w:r>
        <w:rPr>
          <w:rFonts w:ascii="Arial" w:cs="Arial" w:eastAsia="Arial" w:hAnsi="Arial"/>
          <w:sz w:val="16"/>
          <w:szCs w:val="16"/>
          <w:i w:val="1"/>
          <w:iCs w:val="1"/>
          <w:color w:val="auto"/>
        </w:rPr>
        <w:t xml:space="preserve"> </w:t>
      </w:r>
      <w:r>
        <w:rPr>
          <w:rFonts w:ascii="Arial" w:cs="Arial" w:eastAsia="Arial" w:hAnsi="Arial"/>
          <w:sz w:val="16"/>
          <w:szCs w:val="16"/>
          <w:color w:val="auto"/>
        </w:rPr>
        <w:t>and certain other instruments. The standard requires an entity to estimate its lifetime expected credit loss and record an allowance, that when deducted from the amortized cost basis of the financial asset, presents the net amount expected to be collected on the financial asset. This forward-looking expected loss model generally will result in the earlier recognition of allowances for losses. The standard also amends the impairment model for available for sale debt securities and requires entities to determine whether all or a portion of the unrealized loss on an available for sale debt security is a credit loss. Severity and duration of the unrealized loss are no longer permissible factors in concluding whether a credit loss exists. Entities will recognize improvements to estimated credit losses on available for sale debt securities immediately in earnings rather than as interest income over time. The company implemented this standard on January 1, 2020 by recognizing an immaterial cumulative-effect adjustment to the beginning balance of retained earnings.</w:t>
      </w:r>
    </w:p>
    <w:p>
      <w:pPr>
        <w:spacing w:after="0" w:line="5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has not experienced significant levels of underpayment or nonpayment by customers and does not expect changes to this trend over the payment terms of our receivables. Exposure to losses on receivables for clearing and transaction fees and other amounts owed by clearing and trading firms is dependent on each firm's financial condition. With respect to clearing firms, the company's credit loss exposure is mitigated by the memberships that collateralize fees owed to the company. The allowance for credit losses on accounts receivable is calculated by evaluating the aging of the company's billings by revenue stream: clearing and transaction, market data, and other. This aging assessment, as well as contemplation of current and anticipated economic factors, including the interest rate environment and pricing levels are the primary considerations that most significantly impact the collectibility of accounts receivable. The allowance for accounts receivable is $4.8 million at September 30, 2020.</w:t>
      </w:r>
    </w:p>
    <w:p>
      <w:pPr>
        <w:spacing w:after="0" w:line="69"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In December 2019, the FASB issued an accounting update that is intended to reduce cost and complexity related to accounting for income</w:t>
      </w:r>
      <w:r>
        <w:rPr>
          <w:rFonts w:ascii="Arial" w:cs="Arial" w:eastAsia="Arial" w:hAnsi="Arial"/>
          <w:sz w:val="17"/>
          <w:szCs w:val="17"/>
          <w:i w:val="1"/>
          <w:iCs w:val="1"/>
          <w:color w:val="auto"/>
        </w:rPr>
        <w:t xml:space="preserve"> </w:t>
      </w:r>
      <w:r>
        <w:rPr>
          <w:rFonts w:ascii="Arial" w:cs="Arial" w:eastAsia="Arial" w:hAnsi="Arial"/>
          <w:sz w:val="17"/>
          <w:szCs w:val="17"/>
          <w:color w:val="auto"/>
        </w:rPr>
        <w:t>taxes. The update removes specific exceptions to the general principles for accounting for income taxes. Specifically, it eliminates the need for an entity to analyze whether the following exceptions apply in a given period: incremental approach for intraperiod tax allocation, accounting basis differences when there are ownership changes in foreign investments, and interim period income tax accounting for year-to-date losses that exceed anticipated losses. The update also simplifies the accounting for the following: franchise taxes that are partially based on income, transactions with a government that result in a step up in the tax basis of goodwill, separate financial statements of legal entities that are not subject to tax, and enacted changes in tax laws in interim periods. This update is effective for reporting periods beginning after December 15, 2020. The company has early adopted this standard on January 1, 2020. The impact of adoption of this standard was immaterial to the consolidated financial statements.</w:t>
      </w:r>
    </w:p>
    <w:p>
      <w:pPr>
        <w:spacing w:after="0" w:line="6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b w:val="1"/>
          <w:bCs w:val="1"/>
          <w:color w:val="auto"/>
        </w:rPr>
        <w:t xml:space="preserve">Recently Issued Accounting Pronouncements. </w:t>
      </w:r>
      <w:r>
        <w:rPr>
          <w:rFonts w:ascii="Arial" w:cs="Arial" w:eastAsia="Arial" w:hAnsi="Arial"/>
          <w:sz w:val="16"/>
          <w:szCs w:val="16"/>
          <w:color w:val="auto"/>
        </w:rPr>
        <w:t>In August 2018, the FASB issued a standards update that modifies the disclosure requirements for</w:t>
      </w:r>
      <w:r>
        <w:rPr>
          <w:rFonts w:ascii="Arial" w:cs="Arial" w:eastAsia="Arial" w:hAnsi="Arial"/>
          <w:sz w:val="16"/>
          <w:szCs w:val="16"/>
          <w:b w:val="1"/>
          <w:bCs w:val="1"/>
          <w:color w:val="auto"/>
        </w:rPr>
        <w:t xml:space="preserve"> </w:t>
      </w:r>
      <w:r>
        <w:rPr>
          <w:rFonts w:ascii="Arial" w:cs="Arial" w:eastAsia="Arial" w:hAnsi="Arial"/>
          <w:sz w:val="16"/>
          <w:szCs w:val="16"/>
          <w:color w:val="auto"/>
        </w:rPr>
        <w:t>employers that sponsor defined pension or other postretirement plans. The guidance clarifies certain existing disclosures and expands the requirements for others. Disclosures that are not considered cost beneficial are removed by the update. Also, there is a new disclosure requirement to include an explanation of the reasons for significant gains and losses related to changes in the benefit obligation for the period. This guidance is effective for reporting periods beginning in 2021. Early adoption is permitted. The company plans to update the disclosures for these changes upon adoption of the guidance in 2021.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generates revenue from customers from the following sources:</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 xml:space="preserve">Clearing and transaction fees. </w:t>
      </w:r>
      <w:r>
        <w:rPr>
          <w:rFonts w:ascii="Arial" w:cs="Arial" w:eastAsia="Arial" w:hAnsi="Arial"/>
          <w:sz w:val="17"/>
          <w:szCs w:val="17"/>
          <w:color w:val="auto"/>
        </w:rPr>
        <w:t>Clearing and transaction fees include electronic trading fees and brokerage commissions, surcharges for privately-negotiated</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transactions, portfolio reconciliation and compression services, risk mitigation and other volume-related charges for trade contracts. Clearing and transaction fees are assessed upfront at the time of trade execution. As such, the company recognizes the majority of the fee revenue upon successful execution of the trade. The minimal remaining portion of the fee revenue related to settlement activities performed after trade execution is recognized over the short-term period that the contract is outstanding, based on management’s estimates of the average contract lifecycle. These estimates are based on various assumptions to approximate the amount of fee revenue to be attributed to services performed through contract settlement, expiration, or termination. For cleared trades, these assumptions include the average number of days that a contract remains in open interest, contract turnover, average revenue per day, and revenue remaining in open interest at the end of each period.</w:t>
      </w:r>
    </w:p>
    <w:p>
      <w:pPr>
        <w:spacing w:after="0" w:line="57"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nature of contracts gives rise to several types of variable consideration, including volume-based pricing tiers, customer incentives associated with market maker programs and other fee discounts. The company includes fee discounts and incentives in the estimated transaction price when there is a basis to reasonably estimate the amount of the fee reduction. These estimates are based on historical experience, anticipated performance, and best judgment at the time. Because of the company's certainty in estimating these amounts, they are included in the transaction price of contracts.</w:t>
      </w:r>
    </w:p>
    <w:p>
      <w:pPr>
        <w:spacing w:after="0" w:line="2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i w:val="1"/>
          <w:iCs w:val="1"/>
          <w:color w:val="auto"/>
        </w:rPr>
        <w:t xml:space="preserve">Market data and information services. </w:t>
      </w:r>
      <w:r>
        <w:rPr>
          <w:rFonts w:ascii="Arial" w:cs="Arial" w:eastAsia="Arial" w:hAnsi="Arial"/>
          <w:sz w:val="17"/>
          <w:szCs w:val="17"/>
          <w:color w:val="auto"/>
        </w:rPr>
        <w:t>Market data and information services represent revenue from the dissemination of market data to subscribers,</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distributors, and other third-party licensees of market data. Pricing for market data is primarily based on the number of reportable devices used as well as the number of subscribers enrolled under the arrangement. Fees for these services are generally billed monthly. Market data services are satisfied over time and revenue is recognized on a monthly basis as the customers receive and consume the benefit of the market data services. However, the company also maintains certain annual license arrangements with one-time upfront fees. The fees for annual licenses are initially recorded as a contract liability and recognized as revenue monthly over the term of the annual period.</w:t>
      </w:r>
    </w:p>
    <w:p>
      <w:pPr>
        <w:spacing w:after="0" w:line="5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i w:val="1"/>
          <w:iCs w:val="1"/>
          <w:color w:val="auto"/>
        </w:rPr>
        <w:t xml:space="preserve">Other. </w:t>
      </w:r>
      <w:r>
        <w:rPr>
          <w:rFonts w:ascii="Arial" w:cs="Arial" w:eastAsia="Arial" w:hAnsi="Arial"/>
          <w:sz w:val="17"/>
          <w:szCs w:val="17"/>
          <w:color w:val="auto"/>
        </w:rPr>
        <w:t>Other revenues include certain access and communication fees, fees for collateral management, equity membership subscription fees, and fees for</w:t>
      </w:r>
      <w:r>
        <w:rPr>
          <w:rFonts w:ascii="Arial" w:cs="Arial" w:eastAsia="Arial" w:hAnsi="Arial"/>
          <w:sz w:val="17"/>
          <w:szCs w:val="17"/>
          <w:i w:val="1"/>
          <w:iCs w:val="1"/>
          <w:color w:val="auto"/>
        </w:rPr>
        <w:t xml:space="preserve"> </w:t>
      </w:r>
      <w:r>
        <w:rPr>
          <w:rFonts w:ascii="Arial" w:cs="Arial" w:eastAsia="Arial" w:hAnsi="Arial"/>
          <w:sz w:val="17"/>
          <w:szCs w:val="17"/>
          <w:color w:val="auto"/>
        </w:rPr>
        <w:t>trade order routing through agreements from various strategic relationships. Access and communication fees are charges to customers that utilize various telecommunications networks and communications services. Fees for these services are generally billed monthly and the associated fee revenue is recognized as billed. Collateral management fees are charged to clearing firms that have collateral on deposit with the clearing house to meet their minimum performance bond and guaranty fund obligations on the exchange. These fees are calculated based on daily collateral balances and are billed monthly. This fee revenue is recognized monthly as billed as the customers receive and consume the benefits of the services. We also have an equity membership program which provides equity members the option to substitute a monthly subscription fee for their existing requirement to hold CME Group Class A common stock. Choosing to pay this fee in lieu of holding Class A shares is entirely voluntary and the client's choice. Fee revenue under this program is earned monthly as billed over the contractual term. Pricing for strategic relationships may be driven by customer levels and activity. There are fee arrangements which provide for monthly as well as quarterly payments in arrears. Revenue is recognized monthly for strategic relationship arrangements as the customers receive and consume the benefits of the services.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represents a disaggregation of revenue from contracts with customers by product line for the quarters and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2020 and 2019:</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6"/>
              </w:rPr>
              <w:t>Quarter Ended</w:t>
            </w:r>
          </w:p>
        </w:tc>
        <w:tc>
          <w:tcPr>
            <w:tcW w:w="200" w:type="dxa"/>
            <w:vAlign w:val="bottom"/>
          </w:tcPr>
          <w:p>
            <w:pPr>
              <w:spacing w:after="0"/>
              <w:rPr>
                <w:sz w:val="14"/>
                <w:szCs w:val="14"/>
                <w:color w:val="auto"/>
              </w:rPr>
            </w:pPr>
          </w:p>
        </w:tc>
        <w:tc>
          <w:tcPr>
            <w:tcW w:w="1820" w:type="dxa"/>
            <w:vAlign w:val="bottom"/>
            <w:gridSpan w:val="4"/>
          </w:tcPr>
          <w:p>
            <w:pPr>
              <w:jc w:val="right"/>
              <w:ind w:right="331"/>
              <w:spacing w:after="0"/>
              <w:rPr>
                <w:sz w:val="20"/>
                <w:szCs w:val="20"/>
                <w:color w:val="auto"/>
              </w:rPr>
            </w:pPr>
            <w:r>
              <w:rPr>
                <w:rFonts w:ascii="Arial" w:cs="Arial" w:eastAsia="Arial" w:hAnsi="Arial"/>
                <w:sz w:val="14"/>
                <w:szCs w:val="14"/>
                <w:b w:val="1"/>
                <w:bCs w:val="1"/>
                <w:color w:val="auto"/>
              </w:rPr>
              <w:t>Nine Months Ended</w:t>
            </w:r>
          </w:p>
        </w:tc>
      </w:tr>
      <w:tr>
        <w:trPr>
          <w:trHeight w:val="186"/>
        </w:trPr>
        <w:tc>
          <w:tcPr>
            <w:tcW w:w="6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6"/>
                <w:szCs w:val="16"/>
                <w:color w:val="auto"/>
              </w:rPr>
            </w:pPr>
          </w:p>
        </w:tc>
        <w:tc>
          <w:tcPr>
            <w:tcW w:w="1820" w:type="dxa"/>
            <w:vAlign w:val="bottom"/>
            <w:gridSpan w:val="4"/>
          </w:tcPr>
          <w:p>
            <w:pPr>
              <w:jc w:val="right"/>
              <w:ind w:right="491"/>
              <w:spacing w:after="0"/>
              <w:rPr>
                <w:sz w:val="20"/>
                <w:szCs w:val="20"/>
                <w:color w:val="auto"/>
              </w:rPr>
            </w:pPr>
            <w:r>
              <w:rPr>
                <w:rFonts w:ascii="Arial" w:cs="Arial" w:eastAsia="Arial" w:hAnsi="Arial"/>
                <w:sz w:val="14"/>
                <w:szCs w:val="14"/>
                <w:b w:val="1"/>
                <w:bCs w:val="1"/>
                <w:color w:val="auto"/>
              </w:rPr>
              <w:t>September 30,</w:t>
            </w:r>
          </w:p>
        </w:tc>
      </w:tr>
      <w:tr>
        <w:trPr>
          <w:trHeight w:val="184"/>
        </w:trPr>
        <w:tc>
          <w:tcPr>
            <w:tcW w:w="6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2019</w:t>
            </w:r>
          </w:p>
        </w:tc>
      </w:tr>
      <w:tr>
        <w:trPr>
          <w:trHeight w:val="224"/>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347.9</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998.1</w:t>
            </w: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Equity indexes</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181.8</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153.9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631.4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447.9</w:t>
            </w:r>
          </w:p>
        </w:tc>
      </w:tr>
      <w:tr>
        <w:trPr>
          <w:trHeight w:val="229"/>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w:t>
            </w:r>
          </w:p>
        </w:tc>
      </w:tr>
      <w:tr>
        <w:trPr>
          <w:trHeight w:val="229"/>
        </w:trPr>
        <w:tc>
          <w:tcPr>
            <w:tcW w:w="6980" w:type="dxa"/>
            <w:vAlign w:val="bottom"/>
          </w:tcPr>
          <w:p>
            <w:pPr>
              <w:ind w:left="20"/>
              <w:spacing w:after="0"/>
              <w:rPr>
                <w:sz w:val="20"/>
                <w:szCs w:val="20"/>
                <w:color w:val="auto"/>
              </w:rPr>
            </w:pPr>
            <w:r>
              <w:rPr>
                <w:rFonts w:ascii="Arial" w:cs="Arial" w:eastAsia="Arial" w:hAnsi="Arial"/>
                <w:sz w:val="18"/>
                <w:szCs w:val="18"/>
                <w:color w:val="auto"/>
              </w:rPr>
              <w:t>Agricultural commodities</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112.8</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104.2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339.2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350.7</w:t>
            </w:r>
          </w:p>
        </w:tc>
      </w:tr>
      <w:tr>
        <w:trPr>
          <w:trHeight w:val="23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Energy</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523.0</w:t>
            </w:r>
          </w:p>
        </w:tc>
      </w:tr>
      <w:tr>
        <w:trPr>
          <w:trHeight w:val="229"/>
        </w:trPr>
        <w:tc>
          <w:tcPr>
            <w:tcW w:w="6980" w:type="dxa"/>
            <w:vAlign w:val="bottom"/>
          </w:tcPr>
          <w:p>
            <w:pPr>
              <w:ind w:left="20"/>
              <w:spacing w:after="0"/>
              <w:rPr>
                <w:sz w:val="20"/>
                <w:szCs w:val="20"/>
                <w:color w:val="auto"/>
              </w:rPr>
            </w:pPr>
            <w:r>
              <w:rPr>
                <w:rFonts w:ascii="Arial" w:cs="Arial" w:eastAsia="Arial" w:hAnsi="Arial"/>
                <w:sz w:val="18"/>
                <w:szCs w:val="18"/>
                <w:color w:val="auto"/>
              </w:rPr>
              <w:t>Metals</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69.1</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74.3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197.5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183.4</w:t>
            </w:r>
          </w:p>
        </w:tc>
      </w:tr>
      <w:tr>
        <w:trPr>
          <w:trHeight w:val="229"/>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markets business</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368.5</w:t>
            </w:r>
          </w:p>
        </w:tc>
      </w:tr>
      <w:tr>
        <w:trPr>
          <w:trHeight w:val="230"/>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rate swap</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w:t>
            </w:r>
          </w:p>
        </w:tc>
      </w:tr>
      <w:tr>
        <w:trPr>
          <w:trHeight w:val="223"/>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clearing and transaction fees</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835.4</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1,040.7</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3,054.4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3,045.1</w:t>
            </w: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Market data and information services</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139.4</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129.8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405.6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388.2</w:t>
            </w:r>
          </w:p>
        </w:tc>
      </w:tr>
      <w:tr>
        <w:trPr>
          <w:trHeight w:val="229"/>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2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296.3</w:t>
            </w:r>
          </w:p>
        </w:tc>
      </w:tr>
      <w:tr>
        <w:trPr>
          <w:trHeight w:val="223"/>
        </w:trPr>
        <w:tc>
          <w:tcPr>
            <w:tcW w:w="698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1,080.7</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1,277.3</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3,785.1</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3,729.6</w:t>
            </w: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75"/>
        </w:trPr>
        <w:tc>
          <w:tcPr>
            <w:tcW w:w="69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r>
      <w:tr>
        <w:trPr>
          <w:trHeight w:val="229"/>
        </w:trPr>
        <w:tc>
          <w:tcPr>
            <w:tcW w:w="6980" w:type="dxa"/>
            <w:vAlign w:val="bottom"/>
          </w:tcPr>
          <w:p>
            <w:pPr>
              <w:ind w:left="20"/>
              <w:spacing w:after="0"/>
              <w:rPr>
                <w:sz w:val="20"/>
                <w:szCs w:val="20"/>
                <w:color w:val="auto"/>
              </w:rPr>
            </w:pPr>
            <w:r>
              <w:rPr>
                <w:rFonts w:ascii="Arial" w:cs="Arial" w:eastAsia="Arial" w:hAnsi="Arial"/>
                <w:sz w:val="18"/>
                <w:szCs w:val="18"/>
                <w:b w:val="1"/>
                <w:bCs w:val="1"/>
                <w:color w:val="auto"/>
              </w:rPr>
              <w:t>Timing of Revenue Recognition</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9"/>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Services transferred at a point in time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827.3</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973.3</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2,919.8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2,854.3</w:t>
            </w: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Services transferred over time</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250.3</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301.6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856.6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861.2</w:t>
            </w:r>
          </w:p>
        </w:tc>
      </w:tr>
      <w:tr>
        <w:trPr>
          <w:trHeight w:val="229"/>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One-time charges and miscellaneous revenues</w:t>
            </w: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23"/>
        </w:trPr>
        <w:tc>
          <w:tcPr>
            <w:tcW w:w="698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1,080.7</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1,277.3</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3,785.1</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3,729.6</w:t>
            </w:r>
          </w:p>
        </w:tc>
      </w:tr>
      <w:tr>
        <w:trPr>
          <w:trHeight w:val="20"/>
        </w:trPr>
        <w:tc>
          <w:tcPr>
            <w:tcW w:w="6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The timing of revenue recognition, billings and cash collections results in billed accounts receivable, and customer advances and deposits (contract liabilities) on the consolidated balance sheets. Certain fees for transactions, annual licenses, and other revenue arrangements are billed upfront before revenue is recognized, which results in the recognition of contract liabilities. These liabilities are recognized on the consolidated balance sheets on a contract-by-contract basis at the end of each reporting period. For annual licenses and upfront fee arrangements, the company generally bills customers upon contract execution. These payments are recognized as revenue over time as the obligations under the contracts are satisfied. Changes in the contract liability balances during the nine months ended September 30, 2020 were not materially impacted by any other factors. The balance of contract liabilities was $48.2 million and $42.6 million as of September 30, 2020 and December 31, 2019, respectively.</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Performance Bonds and Guaranty Fund Contributions</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i w:val="1"/>
          <w:iCs w:val="1"/>
          <w:color w:val="auto"/>
        </w:rPr>
        <w:t xml:space="preserve">Performance Bonds and Guaranty Fund Contributions. </w:t>
      </w:r>
      <w:r>
        <w:rPr>
          <w:rFonts w:ascii="Arial" w:cs="Arial" w:eastAsia="Arial" w:hAnsi="Arial"/>
          <w:sz w:val="17"/>
          <w:szCs w:val="17"/>
          <w:color w:val="auto"/>
        </w:rPr>
        <w:t>At September 30, 2020, performance bonds and guaranty fund contribution assets on the</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consolidated balance sheets include cash as well as U.S. Treasury securities and U.S. government agency securities. U.S. Treasury securities and U.S. government agency securities are purchased by CME, at its discretion, using cash collateral. The benefits, including interest earned, and risks of ownership accrue to CME. Interest earned is included in investment income on the consolidated statements of income. These debt securities are classified as available-for-sale. At September 30, 2020, the amortized cost and fair value of the U.S. Treasury securities were both $800.0 million. At September 30, 2020, the amortized cost and fair value of the U.S. government agency securities were both $195.0 million.</w:t>
      </w:r>
    </w:p>
    <w:p>
      <w:pPr>
        <w:spacing w:after="0" w:line="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CME has been designated as a systemically important financial market utility by the Financial Stability Oversight Council and is authorized to establish and maintain a cash account at the Federal Reserve Bank of Chicago. At September 30, 2020, CME maintained $70.6 billion within the cash account at the Federal Reserve Bank of Chicago. The cash deposit at the Federal Reserve Bank of Chicago is included within performance bonds and guaranty fund contributions on the consolidated balance sheets.</w:t>
      </w:r>
    </w:p>
    <w:p>
      <w:pPr>
        <w:spacing w:after="0" w:line="79"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i w:val="1"/>
          <w:iCs w:val="1"/>
          <w:color w:val="auto"/>
        </w:rPr>
        <w:t xml:space="preserve">Clearing House Contract Settlement. </w:t>
      </w:r>
      <w:r>
        <w:rPr>
          <w:rFonts w:ascii="Arial" w:cs="Arial" w:eastAsia="Arial" w:hAnsi="Arial"/>
          <w:sz w:val="18"/>
          <w:szCs w:val="18"/>
          <w:color w:val="auto"/>
        </w:rPr>
        <w:t>The clearing house marks-to-market open positions for all futures and options contracts twice a day (once a day for</w:t>
      </w:r>
      <w:r>
        <w:rPr>
          <w:rFonts w:ascii="Arial" w:cs="Arial" w:eastAsia="Arial" w:hAnsi="Arial"/>
          <w:sz w:val="18"/>
          <w:szCs w:val="18"/>
          <w:i w:val="1"/>
          <w:iCs w:val="1"/>
          <w:color w:val="auto"/>
        </w:rPr>
        <w:t xml:space="preserve"> </w:t>
      </w:r>
      <w:r>
        <w:rPr>
          <w:rFonts w:ascii="Arial" w:cs="Arial" w:eastAsia="Arial" w:hAnsi="Arial"/>
          <w:sz w:val="18"/>
          <w:szCs w:val="18"/>
          <w:color w:val="auto"/>
        </w:rPr>
        <w:t>CME's cleared-only interest rate swap contracts). Based on values derived from the mark-to-market process, the clearing house requires payments from clearing firms whose positions have lost value and makes payments to clearing firms whose positions have gained value. Under the extremely unlikely scenario of simultaneous default by every clearing firm who has open positions with unrealized losses, the maximum exposure related to positions other than cleared-only</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interest rate swap contracts would be one half day of changes in fair value of all open positions, before considering the clearing house's ability to access defaulting clearing firms' collateral deposits.</w:t>
      </w:r>
    </w:p>
    <w:p>
      <w:pPr>
        <w:spacing w:after="0" w:line="6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 CME's cleared-only interest rate swap contracts, the maximum exposure related to CME's guarantee would be one full day of changes in fair value of all open positions, before considering CME's ability to access defaulting clearing firms' collateral.</w:t>
      </w:r>
    </w:p>
    <w:p>
      <w:pPr>
        <w:spacing w:after="0" w:line="6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During the first nine months of 2020, the clearing house transferred an average of approximately $5.1 billion a day through its clearing systems for settlement from clearing firms whose positions had lost value to clearing firms whose positions had gained value. The clearing house reduces its guarantee exposure through initial and maintenance performance bond requirements and mandatory guaranty fund contributions. The company believes that its guarantee liability is immaterial and therefore has not recorded any liability at September 30, 2020. The company does not have a history of significant losses recognized on performance bond collateral as posted by our clearing members, and management currently does not anticipate any future credit losses on its performance bond assets. Accordingly, the company has not provided an allowance for credit losses on these performance bond deposits, nor have we recorded any liabilities to reflect an allowance for credit losses related to our off-balance sheet credit exposures and guarantees.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 at September 30, 2020 and December 31, 2019:</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 2020</w:t>
            </w: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9"/>
              </w:rPr>
              <w:t>December 31, 2019</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9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0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Assigned Value</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1"/>
                <w:szCs w:val="11"/>
                <w:color w:val="auto"/>
              </w:rPr>
            </w:pPr>
          </w:p>
        </w:tc>
        <w:tc>
          <w:tcPr>
            <w:tcW w:w="900" w:type="dxa"/>
            <w:vAlign w:val="bottom"/>
          </w:tcPr>
          <w:p>
            <w:pPr>
              <w:jc w:val="right"/>
              <w:ind w:right="174"/>
              <w:spacing w:after="0" w:line="135" w:lineRule="exact"/>
              <w:rPr>
                <w:sz w:val="20"/>
                <w:szCs w:val="20"/>
                <w:color w:val="auto"/>
              </w:rPr>
            </w:pPr>
            <w:r>
              <w:rPr>
                <w:rFonts w:ascii="Arial" w:cs="Arial" w:eastAsia="Arial" w:hAnsi="Arial"/>
                <w:sz w:val="14"/>
                <w:szCs w:val="14"/>
                <w:b w:val="1"/>
                <w:bCs w:val="1"/>
                <w:color w:val="auto"/>
              </w:rPr>
              <w:t>Net Book</w:t>
            </w:r>
          </w:p>
        </w:tc>
        <w:tc>
          <w:tcPr>
            <w:tcW w:w="120" w:type="dxa"/>
            <w:vAlign w:val="bottom"/>
          </w:tcPr>
          <w:p>
            <w:pPr>
              <w:spacing w:after="0"/>
              <w:rPr>
                <w:sz w:val="11"/>
                <w:szCs w:val="11"/>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Assigned Value</w:t>
            </w:r>
          </w:p>
        </w:tc>
        <w:tc>
          <w:tcPr>
            <w:tcW w:w="140" w:type="dxa"/>
            <w:vAlign w:val="bottom"/>
          </w:tcPr>
          <w:p>
            <w:pPr>
              <w:spacing w:after="0"/>
              <w:rPr>
                <w:sz w:val="11"/>
                <w:szCs w:val="11"/>
                <w:color w:val="auto"/>
              </w:rPr>
            </w:pPr>
          </w:p>
        </w:tc>
        <w:tc>
          <w:tcPr>
            <w:tcW w:w="116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1"/>
                <w:szCs w:val="11"/>
                <w:color w:val="auto"/>
              </w:rPr>
            </w:pPr>
          </w:p>
        </w:tc>
        <w:tc>
          <w:tcPr>
            <w:tcW w:w="920" w:type="dxa"/>
            <w:vAlign w:val="bottom"/>
          </w:tcPr>
          <w:p>
            <w:pPr>
              <w:jc w:val="right"/>
              <w:ind w:right="194"/>
              <w:spacing w:after="0" w:line="135" w:lineRule="exact"/>
              <w:rPr>
                <w:sz w:val="20"/>
                <w:szCs w:val="20"/>
                <w:color w:val="auto"/>
              </w:rPr>
            </w:pPr>
            <w:r>
              <w:rPr>
                <w:rFonts w:ascii="Arial" w:cs="Arial" w:eastAsia="Arial" w:hAnsi="Arial"/>
                <w:sz w:val="14"/>
                <w:szCs w:val="14"/>
                <w:b w:val="1"/>
                <w:bCs w:val="1"/>
                <w:color w:val="auto"/>
              </w:rPr>
              <w:t>Net Book</w:t>
            </w:r>
          </w:p>
        </w:tc>
        <w:tc>
          <w:tcPr>
            <w:tcW w:w="0" w:type="dxa"/>
            <w:vAlign w:val="bottom"/>
          </w:tcPr>
          <w:p>
            <w:pPr>
              <w:spacing w:after="0"/>
              <w:rPr>
                <w:sz w:val="1"/>
                <w:szCs w:val="1"/>
                <w:color w:val="auto"/>
              </w:rPr>
            </w:pPr>
          </w:p>
        </w:tc>
      </w:tr>
      <w:tr>
        <w:trPr>
          <w:trHeight w:val="188"/>
        </w:trPr>
        <w:tc>
          <w:tcPr>
            <w:tcW w:w="390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4"/>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Amortizable Intangible Assets:</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900" w:type="dxa"/>
            <w:vAlign w:val="bottom"/>
          </w:tcPr>
          <w:p>
            <w:pPr>
              <w:ind w:left="20"/>
              <w:spacing w:after="0" w:line="176" w:lineRule="exact"/>
              <w:rPr>
                <w:sz w:val="20"/>
                <w:szCs w:val="20"/>
                <w:color w:val="auto"/>
              </w:rPr>
            </w:pPr>
            <w:r>
              <w:rPr>
                <w:rFonts w:ascii="Arial" w:cs="Arial" w:eastAsia="Arial" w:hAnsi="Arial"/>
                <w:sz w:val="18"/>
                <w:szCs w:val="18"/>
                <w:color w:val="auto"/>
              </w:rPr>
              <w:t>Clearing firm, market data and other customer</w:t>
            </w:r>
          </w:p>
        </w:tc>
        <w:tc>
          <w:tcPr>
            <w:tcW w:w="300" w:type="dxa"/>
            <w:vAlign w:val="bottom"/>
            <w:vMerge w:val="restart"/>
          </w:tcPr>
          <w:p>
            <w:pPr>
              <w:jc w:val="right"/>
              <w:ind w:right="116"/>
              <w:spacing w:after="0"/>
              <w:rPr>
                <w:sz w:val="20"/>
                <w:szCs w:val="20"/>
                <w:color w:val="auto"/>
              </w:rPr>
            </w:pPr>
            <w:r>
              <w:rPr>
                <w:rFonts w:ascii="Arial" w:cs="Arial" w:eastAsia="Arial" w:hAnsi="Arial"/>
                <w:sz w:val="18"/>
                <w:szCs w:val="18"/>
                <w:color w:val="auto"/>
                <w:w w:val="7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5,806.7</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(1,555.5)</w:t>
            </w:r>
          </w:p>
        </w:tc>
        <w:tc>
          <w:tcPr>
            <w:tcW w:w="12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4,251.2</w:t>
            </w:r>
          </w:p>
        </w:tc>
        <w:tc>
          <w:tcPr>
            <w:tcW w:w="400" w:type="dxa"/>
            <w:vAlign w:val="bottom"/>
            <w:gridSpan w:val="2"/>
            <w:vMerge w:val="restart"/>
          </w:tcPr>
          <w:p>
            <w:pPr>
              <w:jc w:val="right"/>
              <w:ind w:right="99"/>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5,797.1</w:t>
            </w:r>
          </w:p>
        </w:tc>
        <w:tc>
          <w:tcPr>
            <w:tcW w:w="120" w:type="dxa"/>
            <w:vAlign w:val="bottom"/>
          </w:tcPr>
          <w:p>
            <w:pPr>
              <w:spacing w:after="0"/>
              <w:rPr>
                <w:sz w:val="15"/>
                <w:szCs w:val="15"/>
                <w:color w:val="auto"/>
              </w:rPr>
            </w:pPr>
          </w:p>
        </w:tc>
        <w:tc>
          <w:tcPr>
            <w:tcW w:w="140" w:type="dxa"/>
            <w:vAlign w:val="bottom"/>
            <w:vMerge w:val="restart"/>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(1,346.0)</w:t>
            </w:r>
          </w:p>
        </w:tc>
        <w:tc>
          <w:tcPr>
            <w:tcW w:w="10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4,451.1</w:t>
            </w:r>
          </w:p>
        </w:tc>
        <w:tc>
          <w:tcPr>
            <w:tcW w:w="0" w:type="dxa"/>
            <w:vAlign w:val="bottom"/>
          </w:tcPr>
          <w:p>
            <w:pPr>
              <w:spacing w:after="0"/>
              <w:rPr>
                <w:sz w:val="1"/>
                <w:szCs w:val="1"/>
                <w:color w:val="auto"/>
              </w:rPr>
            </w:pPr>
          </w:p>
        </w:tc>
      </w:tr>
      <w:tr>
        <w:trPr>
          <w:trHeight w:val="229"/>
        </w:trPr>
        <w:tc>
          <w:tcPr>
            <w:tcW w:w="3900" w:type="dxa"/>
            <w:vAlign w:val="bottom"/>
          </w:tcPr>
          <w:p>
            <w:pPr>
              <w:ind w:left="20"/>
              <w:spacing w:after="0"/>
              <w:rPr>
                <w:sz w:val="20"/>
                <w:szCs w:val="20"/>
                <w:color w:val="auto"/>
              </w:rPr>
            </w:pPr>
            <w:r>
              <w:rPr>
                <w:rFonts w:ascii="Arial" w:cs="Arial" w:eastAsia="Arial" w:hAnsi="Arial"/>
                <w:sz w:val="18"/>
                <w:szCs w:val="18"/>
                <w:color w:val="auto"/>
              </w:rPr>
              <w:t>relationships</w:t>
            </w:r>
          </w:p>
        </w:tc>
        <w:tc>
          <w:tcPr>
            <w:tcW w:w="30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260" w:type="dxa"/>
            <w:vAlign w:val="bottom"/>
            <w:gridSpan w:val="2"/>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400" w:type="dxa"/>
            <w:vAlign w:val="bottom"/>
            <w:gridSpan w:val="2"/>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Technology-related intellectual property</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w:t>
            </w:r>
          </w:p>
        </w:tc>
        <w:tc>
          <w:tcPr>
            <w:tcW w:w="0" w:type="dxa"/>
            <w:vAlign w:val="bottom"/>
          </w:tcPr>
          <w:p>
            <w:pPr>
              <w:spacing w:after="0"/>
              <w:rPr>
                <w:sz w:val="1"/>
                <w:szCs w:val="1"/>
                <w:color w:val="auto"/>
              </w:rPr>
            </w:pPr>
          </w:p>
        </w:tc>
      </w:tr>
      <w:tr>
        <w:trPr>
          <w:trHeight w:val="229"/>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48"/>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amortizable intangible assets</w:t>
            </w:r>
          </w:p>
        </w:tc>
        <w:tc>
          <w:tcPr>
            <w:tcW w:w="3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4,443.8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4,667.7</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Indefinite-Lived Intangible Assets:</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Trade names</w:t>
            </w:r>
          </w:p>
        </w:tc>
        <w:tc>
          <w:tcPr>
            <w:tcW w:w="30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48"/>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intangible assets – other, net</w:t>
            </w: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4,893.8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5,117.7</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00" w:type="dxa"/>
            <w:vAlign w:val="bottom"/>
          </w:tcPr>
          <w:p>
            <w:pPr>
              <w:ind w:left="20"/>
              <w:spacing w:after="0" w:line="203" w:lineRule="exact"/>
              <w:rPr>
                <w:sz w:val="20"/>
                <w:szCs w:val="20"/>
                <w:color w:val="auto"/>
              </w:rPr>
            </w:pPr>
            <w:r>
              <w:rPr>
                <w:rFonts w:ascii="Arial" w:cs="Arial" w:eastAsia="Arial" w:hAnsi="Arial"/>
                <w:sz w:val="18"/>
                <w:szCs w:val="18"/>
                <w:color w:val="auto"/>
              </w:rPr>
              <w:t xml:space="preserve">Trading products </w:t>
            </w:r>
            <w:r>
              <w:rPr>
                <w:rFonts w:ascii="Arial" w:cs="Arial" w:eastAsia="Arial" w:hAnsi="Arial"/>
                <w:sz w:val="23"/>
                <w:szCs w:val="23"/>
                <w:color w:val="auto"/>
                <w:vertAlign w:val="superscript"/>
              </w:rPr>
              <w:t>(1)</w:t>
            </w: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17,175.3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17,175.3</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right="100" w:hanging="328"/>
        <w:spacing w:after="0" w:line="259" w:lineRule="auto"/>
        <w:tabs>
          <w:tab w:leader="none" w:pos="654"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Trading products represent futures and options products acquired in our business combinations with CBOT Holdings, Inc., NYMEX Holdings, Inc. and The Board of Trade of Kansas City, Missouri, Inc. Clearing and transaction fees are generated through the trading of these products. These trading products, most of which have traded for decades, require authorization from the Commodity Futures Trading Commission (CFTC). Product authorizations from the CFTC have no term limits.</w:t>
      </w:r>
    </w:p>
    <w:p>
      <w:pPr>
        <w:spacing w:after="0" w:line="79"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Total amortization expense for intangible assets was $78.3 million and $79.8 million for the quarters ended September 30, 2020 and 2019, respectively. Total amortization expense for intangible assets was $232.2 million and $236.6 million for the nine months ended September 30, 2020 and 2019, respectively.</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2020, the future estimated amortization expense related to amortizable intangible assets is expected to be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58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Amortization Expense</w:t>
            </w:r>
          </w:p>
        </w:tc>
      </w:tr>
      <w:tr>
        <w:trPr>
          <w:trHeight w:val="229"/>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2020</w:t>
            </w:r>
          </w:p>
        </w:tc>
        <w:tc>
          <w:tcPr>
            <w:tcW w:w="5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r>
      <w:tr>
        <w:trPr>
          <w:trHeight w:val="229"/>
        </w:trPr>
        <w:tc>
          <w:tcPr>
            <w:tcW w:w="3480" w:type="dxa"/>
            <w:vAlign w:val="bottom"/>
          </w:tcPr>
          <w:p>
            <w:pPr>
              <w:ind w:left="20"/>
              <w:spacing w:after="0"/>
              <w:rPr>
                <w:sz w:val="20"/>
                <w:szCs w:val="20"/>
                <w:color w:val="auto"/>
              </w:rPr>
            </w:pPr>
            <w:r>
              <w:rPr>
                <w:rFonts w:ascii="Arial" w:cs="Arial" w:eastAsia="Arial" w:hAnsi="Arial"/>
                <w:sz w:val="18"/>
                <w:szCs w:val="18"/>
                <w:color w:val="auto"/>
              </w:rPr>
              <w:t>2021</w:t>
            </w:r>
          </w:p>
        </w:tc>
        <w:tc>
          <w:tcPr>
            <w:tcW w:w="58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312.8</w:t>
            </w:r>
          </w:p>
        </w:tc>
      </w:tr>
      <w:tr>
        <w:trPr>
          <w:trHeight w:val="230"/>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58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312.4</w:t>
            </w:r>
          </w:p>
        </w:tc>
      </w:tr>
      <w:tr>
        <w:trPr>
          <w:trHeight w:val="230"/>
        </w:trPr>
        <w:tc>
          <w:tcPr>
            <w:tcW w:w="3480" w:type="dxa"/>
            <w:vAlign w:val="bottom"/>
          </w:tcPr>
          <w:p>
            <w:pPr>
              <w:ind w:left="20"/>
              <w:spacing w:after="0"/>
              <w:rPr>
                <w:sz w:val="20"/>
                <w:szCs w:val="20"/>
                <w:color w:val="auto"/>
              </w:rPr>
            </w:pPr>
            <w:r>
              <w:rPr>
                <w:rFonts w:ascii="Arial" w:cs="Arial" w:eastAsia="Arial" w:hAnsi="Arial"/>
                <w:sz w:val="18"/>
                <w:szCs w:val="18"/>
                <w:color w:val="auto"/>
              </w:rPr>
              <w:t>2023</w:t>
            </w:r>
          </w:p>
        </w:tc>
        <w:tc>
          <w:tcPr>
            <w:tcW w:w="58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311.0</w:t>
            </w:r>
          </w:p>
        </w:tc>
      </w:tr>
      <w:tr>
        <w:trPr>
          <w:trHeight w:val="230"/>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8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304.3</w:t>
            </w:r>
          </w:p>
        </w:tc>
      </w:tr>
      <w:tr>
        <w:trPr>
          <w:trHeight w:val="229"/>
        </w:trPr>
        <w:tc>
          <w:tcPr>
            <w:tcW w:w="3480" w:type="dxa"/>
            <w:vAlign w:val="bottom"/>
          </w:tcPr>
          <w:p>
            <w:pPr>
              <w:ind w:left="20"/>
              <w:spacing w:after="0"/>
              <w:rPr>
                <w:sz w:val="20"/>
                <w:szCs w:val="20"/>
                <w:color w:val="auto"/>
              </w:rPr>
            </w:pPr>
            <w:r>
              <w:rPr>
                <w:rFonts w:ascii="Arial" w:cs="Arial" w:eastAsia="Arial" w:hAnsi="Arial"/>
                <w:sz w:val="18"/>
                <w:szCs w:val="18"/>
                <w:color w:val="auto"/>
              </w:rPr>
              <w:t>2025</w:t>
            </w:r>
          </w:p>
        </w:tc>
        <w:tc>
          <w:tcPr>
            <w:tcW w:w="58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304.1</w:t>
            </w:r>
          </w:p>
        </w:tc>
      </w:tr>
      <w:tr>
        <w:trPr>
          <w:trHeight w:val="230"/>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58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2,821.0</w:t>
            </w:r>
          </w:p>
        </w:tc>
      </w:tr>
      <w:tr>
        <w:trPr>
          <w:trHeight w:val="878"/>
        </w:trPr>
        <w:tc>
          <w:tcPr>
            <w:tcW w:w="3480" w:type="dxa"/>
            <w:vAlign w:val="bottom"/>
          </w:tcPr>
          <w:p>
            <w:pPr>
              <w:spacing w:after="0"/>
              <w:rPr>
                <w:sz w:val="24"/>
                <w:szCs w:val="24"/>
                <w:color w:val="auto"/>
              </w:rPr>
            </w:pPr>
          </w:p>
        </w:tc>
        <w:tc>
          <w:tcPr>
            <w:tcW w:w="5800" w:type="dxa"/>
            <w:vAlign w:val="bottom"/>
          </w:tcPr>
          <w:p>
            <w:pPr>
              <w:jc w:val="right"/>
              <w:ind w:right="3470"/>
              <w:spacing w:after="0"/>
              <w:rPr>
                <w:sz w:val="20"/>
                <w:szCs w:val="20"/>
                <w:color w:val="auto"/>
              </w:rPr>
            </w:pPr>
            <w:r>
              <w:rPr>
                <w:rFonts w:ascii="Arial" w:cs="Arial" w:eastAsia="Arial" w:hAnsi="Arial"/>
                <w:sz w:val="18"/>
                <w:szCs w:val="18"/>
                <w:color w:val="auto"/>
              </w:rPr>
              <w:t>17</w:t>
            </w:r>
          </w:p>
        </w:tc>
        <w:tc>
          <w:tcPr>
            <w:tcW w:w="1960" w:type="dxa"/>
            <w:vAlign w:val="bottom"/>
          </w:tcPr>
          <w:p>
            <w:pPr>
              <w:spacing w:after="0"/>
              <w:rPr>
                <w:sz w:val="24"/>
                <w:szCs w:val="24"/>
                <w:color w:val="auto"/>
              </w:rPr>
            </w:pPr>
          </w:p>
        </w:tc>
      </w:tr>
      <w:tr>
        <w:trPr>
          <w:trHeight w:val="115"/>
        </w:trPr>
        <w:tc>
          <w:tcPr>
            <w:tcW w:w="3480" w:type="dxa"/>
            <w:vAlign w:val="bottom"/>
            <w:tcBorders>
              <w:bottom w:val="single" w:sz="8" w:color="9A9A9A"/>
            </w:tcBorders>
          </w:tcPr>
          <w:p>
            <w:pPr>
              <w:spacing w:after="0"/>
              <w:rPr>
                <w:sz w:val="10"/>
                <w:szCs w:val="10"/>
                <w:color w:val="auto"/>
              </w:rPr>
            </w:pPr>
          </w:p>
        </w:tc>
        <w:tc>
          <w:tcPr>
            <w:tcW w:w="580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 at September 30, 2020 and December 31, 2019:</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September 30, 2020</w:t>
            </w: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6"/>
              </w:rPr>
              <w:t>December 31, 2019</w:t>
            </w:r>
          </w:p>
        </w:tc>
      </w:tr>
      <w:tr>
        <w:trPr>
          <w:trHeight w:val="229"/>
        </w:trPr>
        <w:tc>
          <w:tcPr>
            <w:tcW w:w="7740" w:type="dxa"/>
            <w:vAlign w:val="bottom"/>
            <w:shd w:val="clear" w:color="auto" w:fill="CCEEFF"/>
          </w:tcPr>
          <w:p>
            <w:pPr>
              <w:ind w:left="20"/>
              <w:spacing w:after="0" w:line="229" w:lineRule="exact"/>
              <w:rPr>
                <w:sz w:val="20"/>
                <w:szCs w:val="20"/>
                <w:color w:val="auto"/>
              </w:rPr>
            </w:pPr>
            <w:r>
              <w:rPr>
                <w:rFonts w:ascii="Arial" w:cs="Arial" w:eastAsia="Arial" w:hAnsi="Arial"/>
                <w:sz w:val="18"/>
                <w:szCs w:val="18"/>
                <w:color w:val="auto"/>
              </w:rPr>
              <w:t xml:space="preserve">$750.0 million fixed rate notes due September 2022, stated rate of 3.00% </w:t>
            </w:r>
            <w:r>
              <w:rPr>
                <w:rFonts w:ascii="Arial" w:cs="Arial" w:eastAsia="Arial" w:hAnsi="Arial"/>
                <w:sz w:val="23"/>
                <w:szCs w:val="23"/>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747.7</w:t>
            </w:r>
          </w:p>
        </w:tc>
      </w:tr>
      <w:tr>
        <w:trPr>
          <w:trHeight w:val="230"/>
        </w:trPr>
        <w:tc>
          <w:tcPr>
            <w:tcW w:w="7740" w:type="dxa"/>
            <w:vAlign w:val="bottom"/>
          </w:tcPr>
          <w:p>
            <w:pPr>
              <w:ind w:left="20"/>
              <w:spacing w:after="0"/>
              <w:rPr>
                <w:sz w:val="20"/>
                <w:szCs w:val="20"/>
                <w:color w:val="auto"/>
              </w:rPr>
            </w:pPr>
            <w:r>
              <w:rPr>
                <w:rFonts w:ascii="Arial" w:cs="Arial" w:eastAsia="Arial" w:hAnsi="Arial"/>
                <w:sz w:val="18"/>
                <w:szCs w:val="18"/>
                <w:color w:val="auto"/>
              </w:rPr>
              <w:t>€15.0 million fixed rate notes due May 2023, stated rate of 4.30%</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29"/>
        </w:trPr>
        <w:tc>
          <w:tcPr>
            <w:tcW w:w="77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$750.0 million fixed rate notes due March 2025, stated rate of 3.00% </w:t>
            </w:r>
            <w:r>
              <w:rPr>
                <w:rFonts w:ascii="Arial" w:cs="Arial" w:eastAsia="Arial" w:hAnsi="Arial"/>
                <w:sz w:val="23"/>
                <w:szCs w:val="23"/>
                <w:color w:val="auto"/>
                <w:vertAlign w:val="superscript"/>
              </w:rPr>
              <w:t>(2)</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746.3</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$500.0 million fixed rate notes due June 2028, stated rate of 3.75%</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496.7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496.4</w:t>
            </w:r>
          </w:p>
        </w:tc>
      </w:tr>
      <w:tr>
        <w:trPr>
          <w:trHeight w:val="230"/>
        </w:trPr>
        <w:tc>
          <w:tcPr>
            <w:tcW w:w="77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$750.0 million fixed rate notes due September 2043, stated rate of 5.30% </w:t>
            </w:r>
            <w:r>
              <w:rPr>
                <w:rFonts w:ascii="Arial" w:cs="Arial" w:eastAsia="Arial" w:hAnsi="Arial"/>
                <w:sz w:val="23"/>
                <w:szCs w:val="23"/>
                <w:color w:val="auto"/>
                <w:vertAlign w:val="superscript"/>
              </w:rPr>
              <w:t>(3)</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742.8</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$700.0 million fixed rate notes due June 2048, stated rate of 4.15%</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690.2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689.8</w:t>
            </w:r>
          </w:p>
        </w:tc>
      </w:tr>
      <w:tr>
        <w:trPr>
          <w:trHeight w:val="229"/>
        </w:trPr>
        <w:tc>
          <w:tcPr>
            <w:tcW w:w="77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Commercial paper </w:t>
            </w:r>
            <w:r>
              <w:rPr>
                <w:rFonts w:ascii="Arial" w:cs="Arial" w:eastAsia="Arial" w:hAnsi="Arial"/>
                <w:sz w:val="23"/>
                <w:szCs w:val="23"/>
                <w:color w:val="auto"/>
                <w:vertAlign w:val="superscript"/>
              </w:rPr>
              <w:t>(4)</w:t>
            </w: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303.8</w:t>
            </w:r>
          </w:p>
        </w:tc>
      </w:tr>
      <w:tr>
        <w:trPr>
          <w:trHeight w:val="223"/>
        </w:trPr>
        <w:tc>
          <w:tcPr>
            <w:tcW w:w="7740" w:type="dxa"/>
            <w:vAlign w:val="bottom"/>
          </w:tcPr>
          <w:p>
            <w:pPr>
              <w:ind w:left="20"/>
              <w:spacing w:after="0"/>
              <w:rPr>
                <w:sz w:val="20"/>
                <w:szCs w:val="20"/>
                <w:color w:val="auto"/>
              </w:rPr>
            </w:pPr>
            <w:r>
              <w:rPr>
                <w:rFonts w:ascii="Arial" w:cs="Arial" w:eastAsia="Arial" w:hAnsi="Arial"/>
                <w:sz w:val="18"/>
                <w:szCs w:val="18"/>
                <w:color w:val="auto"/>
              </w:rPr>
              <w:t>Total long-term debt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3,442.2</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3,743.2</w:t>
            </w:r>
          </w:p>
        </w:tc>
      </w:tr>
      <w:tr>
        <w:trPr>
          <w:trHeight w:val="21"/>
        </w:trPr>
        <w:tc>
          <w:tcPr>
            <w:tcW w:w="7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right="180" w:hanging="328"/>
        <w:spacing w:after="0" w:line="277" w:lineRule="auto"/>
        <w:tabs>
          <w:tab w:leader="none" w:pos="65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maintained a forward-starting interest rate swap agreement that modified the interest obligation associated with these notes so that the interest payable on the notes effectively became fixed at a rate of 3.32%.</w:t>
      </w:r>
    </w:p>
    <w:p>
      <w:pPr>
        <w:spacing w:after="0" w:line="62" w:lineRule="exact"/>
        <w:rPr>
          <w:rFonts w:ascii="Arial" w:cs="Arial" w:eastAsia="Arial" w:hAnsi="Arial"/>
          <w:sz w:val="18"/>
          <w:szCs w:val="18"/>
          <w:color w:val="auto"/>
        </w:rPr>
      </w:pPr>
    </w:p>
    <w:p>
      <w:pPr>
        <w:ind w:left="660" w:right="180" w:hanging="328"/>
        <w:spacing w:after="0" w:line="277" w:lineRule="auto"/>
        <w:tabs>
          <w:tab w:leader="none" w:pos="65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maintained a forward-starting interest rate swap agreement that modified the interest obligation associated with these notes so that the interest payable on the notes effectively became fixed at a rate of 3.11%.</w:t>
      </w:r>
    </w:p>
    <w:p>
      <w:pPr>
        <w:spacing w:after="0" w:line="62" w:lineRule="exact"/>
        <w:rPr>
          <w:rFonts w:ascii="Arial" w:cs="Arial" w:eastAsia="Arial" w:hAnsi="Arial"/>
          <w:sz w:val="18"/>
          <w:szCs w:val="18"/>
          <w:color w:val="auto"/>
        </w:rPr>
      </w:pPr>
    </w:p>
    <w:p>
      <w:pPr>
        <w:ind w:left="660" w:right="180" w:hanging="328"/>
        <w:spacing w:after="0" w:line="277" w:lineRule="auto"/>
        <w:tabs>
          <w:tab w:leader="none" w:pos="65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maintained a forward-starting interest rate swap agreement that modified the interest obligation associated with these notes so that the interest payable on the notes effectively became fixed at a rate of 4.73%.</w:t>
      </w:r>
    </w:p>
    <w:p>
      <w:pPr>
        <w:spacing w:after="0" w:line="62" w:lineRule="exact"/>
        <w:rPr>
          <w:rFonts w:ascii="Arial" w:cs="Arial" w:eastAsia="Arial" w:hAnsi="Arial"/>
          <w:sz w:val="18"/>
          <w:szCs w:val="18"/>
          <w:color w:val="auto"/>
        </w:rPr>
      </w:pPr>
    </w:p>
    <w:p>
      <w:pPr>
        <w:ind w:left="640" w:hanging="308"/>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commercial paper is backed by the five-year multi-currency revolving credit facility, which expires in 2022.</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Commercial paper with an aggregate par value of $1.3 billion and maturities ranging from 1 to 18 days was issued during the first nine months of 2020.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balance of commercial paper outstanding during the first nine months of 2020 was $62.0 million.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Long-term debt maturities, at par value (in U.S. dollar equivalent), were as follows at September 30, 2020:</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48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Par Value</w:t>
            </w:r>
          </w:p>
        </w:tc>
      </w:tr>
      <w:tr>
        <w:trPr>
          <w:trHeight w:val="229"/>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4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360" w:type="dxa"/>
            <w:vAlign w:val="bottom"/>
          </w:tcPr>
          <w:p>
            <w:pPr>
              <w:ind w:left="20"/>
              <w:spacing w:after="0"/>
              <w:rPr>
                <w:sz w:val="20"/>
                <w:szCs w:val="20"/>
                <w:color w:val="auto"/>
              </w:rPr>
            </w:pPr>
            <w:r>
              <w:rPr>
                <w:rFonts w:ascii="Arial" w:cs="Arial" w:eastAsia="Arial" w:hAnsi="Arial"/>
                <w:sz w:val="18"/>
                <w:szCs w:val="18"/>
                <w:color w:val="auto"/>
              </w:rPr>
              <w:t>2022</w:t>
            </w:r>
          </w:p>
        </w:tc>
        <w:tc>
          <w:tcPr>
            <w:tcW w:w="48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750.0</w:t>
            </w: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8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2024</w:t>
            </w:r>
          </w:p>
        </w:tc>
        <w:tc>
          <w:tcPr>
            <w:tcW w:w="48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8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48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1,950.0</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and Regulatory Matters</w:t>
      </w:r>
      <w:r>
        <w:rPr>
          <w:rFonts w:ascii="Arial" w:cs="Arial" w:eastAsia="Arial" w:hAnsi="Arial"/>
          <w:sz w:val="18"/>
          <w:szCs w:val="18"/>
          <w:color w:val="auto"/>
        </w:rPr>
        <w:t>. In 2013, the CFTC filed suit against NYMEX and two former employees (the NYMEX Defendants) alleging disclosure of</w:t>
      </w:r>
      <w:r>
        <w:rPr>
          <w:rFonts w:ascii="Arial" w:cs="Arial" w:eastAsia="Arial" w:hAnsi="Arial"/>
          <w:sz w:val="18"/>
          <w:szCs w:val="18"/>
          <w:i w:val="1"/>
          <w:iCs w:val="1"/>
          <w:color w:val="auto"/>
        </w:rPr>
        <w:t xml:space="preserve"> </w:t>
      </w:r>
      <w:r>
        <w:rPr>
          <w:rFonts w:ascii="Arial" w:cs="Arial" w:eastAsia="Arial" w:hAnsi="Arial"/>
          <w:sz w:val="18"/>
          <w:szCs w:val="18"/>
          <w:color w:val="auto"/>
        </w:rPr>
        <w:t>confidential customer information in violation of the Commodity Exchange Act. On June 3, 2020, the parties informed the United States District Court for the Southern District of New York that the CFTC's Division of Enforcement and the NYMEX Defendants had reached an agreement in principle to resolve the matter, subject to final approval by the CFTC. On July 31, 2020, the parties informed the Court that the CFTC had approved the agreed-upon settlement and further requested that the court enter an order implementing the agreed-upon resolution. The Court approved the settlement on August 3, 2020, concluding the matter.</w:t>
      </w:r>
    </w:p>
    <w:p>
      <w:pPr>
        <w:spacing w:after="0" w:line="68"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In 2003, the U.S. Futures Exchange, L.L.C. (Eurex U.S.) and U.S. Exchange Holdings, Inc. filed suit in federal court alleging that CBOT and CME violated the antitrust laws and tortuously interfered with the business relationship and contract between Eurex U.S. and The Clearing Corporation. On October 31, 2018, the district court granted CBOT's and CME's motion for summary judgment and dismissed the case in its entirety. On March 23, 2020, the Seventh Circuit affirmed the decision of the district court. Eurex U.S. and U.S. Exchange Holdings, Inc. did not file a petition for certiorari with the United States Supreme Court by the September 18, 2020 deadline, concluding the matter.</w:t>
      </w:r>
    </w:p>
    <w:p>
      <w:pPr>
        <w:spacing w:after="0" w:line="5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the normal course of business, the company discusses matters with its regulators raised during regulatory examinations or otherwise subject to their inquiry and oversight. These matters could result in censures, fines, penalties or other sanctions. Management believes the outcome of any resulting actions will not have a material impact on its consolidated financial position or results of operations. However, the company is unable to predict the outcome or the timing of the ultimate resolution of these matters, or the potential fines, penalties or injunctive or other equitable relief, if any, that may result from these matters.</w:t>
      </w:r>
    </w:p>
    <w:p>
      <w:pPr>
        <w:spacing w:after="0" w:line="5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 addition, the company is a defendant in, and has potential for, various other legal proceedings arising from its regular business activities. While the ultimate results of such proceedings against the company cannot be predicted with certainty, the</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company believes that the resolution of any of these matters on an individual or aggregate basis will not have a material impact on its consolidated financial position or results of operations.</w:t>
      </w:r>
    </w:p>
    <w:p>
      <w:pPr>
        <w:spacing w:after="0" w:line="3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of September 30, 2020, an accrual of $2.1 million was recognized for probable and estimable legal and regulatory issues. No accrual was required as of December 31, 2019.</w:t>
      </w:r>
    </w:p>
    <w:p>
      <w:pPr>
        <w:spacing w:after="0" w:line="10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Intellectual Property Indemnifications</w:t>
      </w:r>
      <w:r>
        <w:rPr>
          <w:rFonts w:ascii="Arial" w:cs="Arial" w:eastAsia="Arial" w:hAnsi="Arial"/>
          <w:sz w:val="18"/>
          <w:szCs w:val="18"/>
          <w:color w:val="auto"/>
        </w:rPr>
        <w:t>. Certain agreements with customers and other third parties related to accessing the CME Group platforms, utilizing</w:t>
      </w:r>
      <w:r>
        <w:rPr>
          <w:rFonts w:ascii="Arial" w:cs="Arial" w:eastAsia="Arial" w:hAnsi="Arial"/>
          <w:sz w:val="18"/>
          <w:szCs w:val="18"/>
          <w:i w:val="1"/>
          <w:iCs w:val="1"/>
          <w:color w:val="auto"/>
        </w:rPr>
        <w:t xml:space="preserve"> </w:t>
      </w:r>
      <w:r>
        <w:rPr>
          <w:rFonts w:ascii="Arial" w:cs="Arial" w:eastAsia="Arial" w:hAnsi="Arial"/>
          <w:sz w:val="18"/>
          <w:szCs w:val="18"/>
          <w:color w:val="auto"/>
        </w:rPr>
        <w:t>market data services and licensing CME SPAN software may contain indemnifications from intellectual property claims that may be made against them as a result of their use of the applicable products and/or services. The potential future claims relating to these indemnifications cannot be estimated and therefore no liability has been recorded.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w:t>
      </w:r>
    </w:p>
    <w:p>
      <w:pPr>
        <w:spacing w:after="0" w:line="12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company has operating leases for datacenters, corporate offices, and certain information technology equipment. The operating leases have remaining lease terms of up to 18 years, some of which include options to extend or renew the leases for up to an additional five years, and some of which include options to early terminate the leases in less than 12 months. Management evaluates the exercisability of these options at least quarterly in order to determine whether the contract term must be reassessed. For a small number of the leases, primarily the international locations, management's approach is to enter into short-term leases for a lease term of 12 months or less in order to provide for greater flexibility in the local environment. For certain office spaces, the company has entered into arrangements to sublease excess space to third parties, while the original lease contract remains in effect with the landlord.</w:t>
      </w:r>
    </w:p>
    <w:p>
      <w:pPr>
        <w:spacing w:after="0" w:line="60"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The company also has one finance lease, which is related to the sale of our datacenter in March 2016. In connection with the sale, the company leased back a portion of the property. The sale leaseback transaction was recognized under the financing method and not as a sale leaseback arrangement.</w:t>
      </w:r>
    </w:p>
    <w:p>
      <w:pPr>
        <w:spacing w:after="0" w:line="2" w:lineRule="exact"/>
        <w:rPr>
          <w:sz w:val="20"/>
          <w:szCs w:val="20"/>
          <w:color w:val="auto"/>
        </w:rPr>
      </w:pPr>
    </w:p>
    <w:p>
      <w:pPr>
        <w:ind w:right="600"/>
        <w:spacing w:after="0" w:line="263" w:lineRule="auto"/>
        <w:rPr>
          <w:sz w:val="20"/>
          <w:szCs w:val="20"/>
          <w:color w:val="auto"/>
        </w:rPr>
      </w:pPr>
      <w:r>
        <w:rPr>
          <w:rFonts w:ascii="Arial" w:cs="Arial" w:eastAsia="Arial" w:hAnsi="Arial"/>
          <w:sz w:val="18"/>
          <w:szCs w:val="18"/>
          <w:color w:val="auto"/>
        </w:rPr>
        <w:t>The right-of-use lease asset is recorded within other assets, and the present value of the lease liability is recorded within other liabilities (segregated between short term and long term) on the consolidated balance sheets. The discount rate applied to the lease payments represents the company's incremental borrowing rate.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costs were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10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Quarter Ended</w:t>
            </w: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16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Nine Months Ended</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5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12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4"/>
                <w:szCs w:val="14"/>
                <w:b w:val="1"/>
                <w:bCs w:val="1"/>
                <w:color w:val="auto"/>
              </w:rPr>
              <w:t>September 30,</w:t>
            </w: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4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expense:</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tcPr>
          <w:p>
            <w:pPr>
              <w:ind w:left="220"/>
              <w:spacing w:after="0"/>
              <w:rPr>
                <w:sz w:val="20"/>
                <w:szCs w:val="20"/>
                <w:color w:val="auto"/>
              </w:rPr>
            </w:pPr>
            <w:r>
              <w:rPr>
                <w:rFonts w:ascii="Arial" w:cs="Arial" w:eastAsia="Arial" w:hAnsi="Arial"/>
                <w:sz w:val="18"/>
                <w:szCs w:val="18"/>
                <w:color w:val="auto"/>
              </w:rPr>
              <w:t>Operating lease cost</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17.7</w:t>
            </w:r>
          </w:p>
        </w:tc>
        <w:tc>
          <w:tcPr>
            <w:tcW w:w="16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16.2</w:t>
            </w:r>
          </w:p>
        </w:tc>
        <w:tc>
          <w:tcPr>
            <w:tcW w:w="16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49.0</w:t>
            </w:r>
          </w:p>
        </w:tc>
        <w:tc>
          <w:tcPr>
            <w:tcW w:w="180" w:type="dxa"/>
            <w:vAlign w:val="bottom"/>
          </w:tcPr>
          <w:p>
            <w:pPr>
              <w:spacing w:after="0"/>
              <w:rPr>
                <w:sz w:val="19"/>
                <w:szCs w:val="19"/>
                <w:color w:val="auto"/>
              </w:rPr>
            </w:pP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Short-term lease cost</w:t>
            </w: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8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55"/>
        </w:trPr>
        <w:tc>
          <w:tcPr>
            <w:tcW w:w="3520" w:type="dxa"/>
            <w:vAlign w:val="bottom"/>
          </w:tcPr>
          <w:p>
            <w:pPr>
              <w:ind w:left="20"/>
              <w:spacing w:after="0" w:line="156" w:lineRule="exact"/>
              <w:rPr>
                <w:sz w:val="20"/>
                <w:szCs w:val="20"/>
                <w:color w:val="auto"/>
              </w:rPr>
            </w:pPr>
            <w:r>
              <w:rPr>
                <w:rFonts w:ascii="Arial" w:cs="Arial" w:eastAsia="Arial" w:hAnsi="Arial"/>
                <w:sz w:val="18"/>
                <w:szCs w:val="18"/>
                <w:color w:val="auto"/>
                <w:w w:val="92"/>
              </w:rPr>
              <w:t>Total operating lease expense included in other</w:t>
            </w:r>
          </w:p>
        </w:tc>
        <w:tc>
          <w:tcPr>
            <w:tcW w:w="440" w:type="dxa"/>
            <w:vAlign w:val="bottom"/>
            <w:vMerge w:val="restart"/>
          </w:tcPr>
          <w:p>
            <w:pPr>
              <w:jc w:val="right"/>
              <w:ind w:right="250"/>
              <w:spacing w:after="0"/>
              <w:rPr>
                <w:sz w:val="20"/>
                <w:szCs w:val="20"/>
                <w:color w:val="auto"/>
              </w:rPr>
            </w:pPr>
            <w:r>
              <w:rPr>
                <w:rFonts w:ascii="Arial" w:cs="Arial" w:eastAsia="Arial" w:hAnsi="Arial"/>
                <w:sz w:val="18"/>
                <w:szCs w:val="18"/>
                <w:color w:val="auto"/>
                <w:w w:val="79"/>
              </w:rPr>
              <w:t>$</w:t>
            </w: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17.9</w:t>
            </w:r>
          </w:p>
        </w:tc>
        <w:tc>
          <w:tcPr>
            <w:tcW w:w="160" w:type="dxa"/>
            <w:vAlign w:val="bottom"/>
          </w:tcPr>
          <w:p>
            <w:pPr>
              <w:spacing w:after="0"/>
              <w:rPr>
                <w:sz w:val="13"/>
                <w:szCs w:val="13"/>
                <w:color w:val="auto"/>
              </w:rPr>
            </w:pPr>
          </w:p>
        </w:tc>
        <w:tc>
          <w:tcPr>
            <w:tcW w:w="580" w:type="dxa"/>
            <w:vAlign w:val="bottom"/>
            <w:vMerge w:val="restart"/>
          </w:tcPr>
          <w:p>
            <w:pPr>
              <w:jc w:val="right"/>
              <w:ind w:right="370"/>
              <w:spacing w:after="0"/>
              <w:rPr>
                <w:sz w:val="20"/>
                <w:szCs w:val="20"/>
                <w:color w:val="auto"/>
              </w:rPr>
            </w:pPr>
            <w:r>
              <w:rPr>
                <w:rFonts w:ascii="Arial" w:cs="Arial" w:eastAsia="Arial" w:hAnsi="Arial"/>
                <w:sz w:val="18"/>
                <w:szCs w:val="18"/>
                <w:color w:val="auto"/>
                <w:w w:val="9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16.9</w:t>
            </w:r>
          </w:p>
        </w:tc>
        <w:tc>
          <w:tcPr>
            <w:tcW w:w="160" w:type="dxa"/>
            <w:vAlign w:val="bottom"/>
          </w:tcPr>
          <w:p>
            <w:pPr>
              <w:spacing w:after="0"/>
              <w:rPr>
                <w:sz w:val="13"/>
                <w:szCs w:val="13"/>
                <w:color w:val="auto"/>
              </w:rPr>
            </w:pPr>
          </w:p>
        </w:tc>
        <w:tc>
          <w:tcPr>
            <w:tcW w:w="440" w:type="dxa"/>
            <w:vAlign w:val="bottom"/>
            <w:vMerge w:val="restart"/>
          </w:tcPr>
          <w:p>
            <w:pPr>
              <w:jc w:val="right"/>
              <w:ind w:right="250"/>
              <w:spacing w:after="0"/>
              <w:rPr>
                <w:sz w:val="20"/>
                <w:szCs w:val="20"/>
                <w:color w:val="auto"/>
              </w:rPr>
            </w:pPr>
            <w:r>
              <w:rPr>
                <w:rFonts w:ascii="Arial" w:cs="Arial" w:eastAsia="Arial" w:hAnsi="Arial"/>
                <w:sz w:val="18"/>
                <w:szCs w:val="18"/>
                <w:color w:val="auto"/>
                <w:w w:val="79"/>
              </w:rPr>
              <w:t>$</w:t>
            </w: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49.9</w:t>
            </w:r>
          </w:p>
        </w:tc>
        <w:tc>
          <w:tcPr>
            <w:tcW w:w="180" w:type="dxa"/>
            <w:vAlign w:val="bottom"/>
          </w:tcPr>
          <w:p>
            <w:pPr>
              <w:spacing w:after="0"/>
              <w:rPr>
                <w:sz w:val="13"/>
                <w:szCs w:val="13"/>
                <w:color w:val="auto"/>
              </w:rPr>
            </w:pPr>
          </w:p>
        </w:tc>
        <w:tc>
          <w:tcPr>
            <w:tcW w:w="620" w:type="dxa"/>
            <w:vAlign w:val="bottom"/>
            <w:vMerge w:val="restart"/>
          </w:tcPr>
          <w:p>
            <w:pPr>
              <w:jc w:val="right"/>
              <w:ind w:right="430"/>
              <w:spacing w:after="0"/>
              <w:rPr>
                <w:sz w:val="20"/>
                <w:szCs w:val="20"/>
                <w:color w:val="auto"/>
              </w:rPr>
            </w:pPr>
            <w:r>
              <w:rPr>
                <w:rFonts w:ascii="Arial" w:cs="Arial" w:eastAsia="Arial" w:hAnsi="Arial"/>
                <w:sz w:val="18"/>
                <w:szCs w:val="18"/>
                <w:color w:val="auto"/>
                <w:w w:val="7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08"/>
        </w:trPr>
        <w:tc>
          <w:tcPr>
            <w:tcW w:w="3520" w:type="dxa"/>
            <w:vAlign w:val="bottom"/>
          </w:tcPr>
          <w:p>
            <w:pPr>
              <w:ind w:left="20"/>
              <w:spacing w:after="0" w:line="202" w:lineRule="exact"/>
              <w:rPr>
                <w:sz w:val="20"/>
                <w:szCs w:val="20"/>
                <w:color w:val="auto"/>
              </w:rPr>
            </w:pPr>
            <w:r>
              <w:rPr>
                <w:rFonts w:ascii="Arial" w:cs="Arial" w:eastAsia="Arial" w:hAnsi="Arial"/>
                <w:sz w:val="18"/>
                <w:szCs w:val="18"/>
                <w:color w:val="auto"/>
              </w:rPr>
              <w:t>expense</w:t>
            </w:r>
          </w:p>
        </w:tc>
        <w:tc>
          <w:tcPr>
            <w:tcW w:w="440" w:type="dxa"/>
            <w:vAlign w:val="bottom"/>
            <w:tcBorders>
              <w:bottom w:val="single" w:sz="8" w:color="auto"/>
            </w:tcBorders>
            <w:vMerge w:val="continue"/>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Borders>
              <w:bottom w:val="single" w:sz="8" w:color="auto"/>
            </w:tcBorders>
            <w:vMerge w:val="continue"/>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5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520" w:type="dxa"/>
            <w:vAlign w:val="bottom"/>
          </w:tcPr>
          <w:p>
            <w:pPr>
              <w:ind w:left="20"/>
              <w:spacing w:after="0"/>
              <w:rPr>
                <w:sz w:val="20"/>
                <w:szCs w:val="20"/>
                <w:color w:val="auto"/>
              </w:rPr>
            </w:pPr>
            <w:r>
              <w:rPr>
                <w:rFonts w:ascii="Arial" w:cs="Arial" w:eastAsia="Arial" w:hAnsi="Arial"/>
                <w:sz w:val="18"/>
                <w:szCs w:val="18"/>
                <w:color w:val="auto"/>
              </w:rPr>
              <w:t>Finance lease expense:</w:t>
            </w:r>
          </w:p>
        </w:tc>
        <w:tc>
          <w:tcPr>
            <w:tcW w:w="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35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Depreciation expense</w:t>
            </w: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6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8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8"/>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finance lease expense</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Sublease revenue included in other revenue</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was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100" w:type="dxa"/>
            <w:vAlign w:val="bottom"/>
            <w:gridSpan w:val="2"/>
          </w:tcPr>
          <w:p>
            <w:pPr>
              <w:jc w:val="center"/>
              <w:ind w:left="681"/>
              <w:spacing w:after="0"/>
              <w:rPr>
                <w:sz w:val="20"/>
                <w:szCs w:val="20"/>
                <w:color w:val="auto"/>
              </w:rPr>
            </w:pPr>
            <w:r>
              <w:rPr>
                <w:rFonts w:ascii="Arial" w:cs="Arial" w:eastAsia="Arial" w:hAnsi="Arial"/>
                <w:sz w:val="14"/>
                <w:szCs w:val="14"/>
                <w:b w:val="1"/>
                <w:bCs w:val="1"/>
                <w:color w:val="auto"/>
                <w:w w:val="96"/>
              </w:rPr>
              <w:t>Quarter Ended</w:t>
            </w: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160" w:type="dxa"/>
            <w:vAlign w:val="bottom"/>
            <w:gridSpan w:val="2"/>
          </w:tcPr>
          <w:p>
            <w:pPr>
              <w:jc w:val="center"/>
              <w:ind w:left="621"/>
              <w:spacing w:after="0"/>
              <w:rPr>
                <w:sz w:val="20"/>
                <w:szCs w:val="20"/>
                <w:color w:val="auto"/>
              </w:rPr>
            </w:pPr>
            <w:r>
              <w:rPr>
                <w:rFonts w:ascii="Arial" w:cs="Arial" w:eastAsia="Arial" w:hAnsi="Arial"/>
                <w:sz w:val="14"/>
                <w:szCs w:val="14"/>
                <w:b w:val="1"/>
                <w:bCs w:val="1"/>
                <w:color w:val="auto"/>
                <w:w w:val="93"/>
              </w:rPr>
              <w:t>Nine Months Ended</w:t>
            </w:r>
          </w:p>
        </w:tc>
        <w:tc>
          <w:tcPr>
            <w:tcW w:w="1180" w:type="dxa"/>
            <w:vAlign w:val="bottom"/>
          </w:tcPr>
          <w:p>
            <w:pPr>
              <w:spacing w:after="0"/>
              <w:rPr>
                <w:sz w:val="14"/>
                <w:szCs w:val="14"/>
                <w:color w:val="auto"/>
              </w:rPr>
            </w:pPr>
          </w:p>
        </w:tc>
      </w:tr>
      <w:tr>
        <w:trPr>
          <w:trHeight w:val="186"/>
        </w:trPr>
        <w:tc>
          <w:tcPr>
            <w:tcW w:w="35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2"/>
          </w:tcPr>
          <w:p>
            <w:pPr>
              <w:jc w:val="center"/>
              <w:ind w:left="701"/>
              <w:spacing w:after="0"/>
              <w:rPr>
                <w:sz w:val="20"/>
                <w:szCs w:val="20"/>
                <w:color w:val="auto"/>
              </w:rPr>
            </w:pPr>
            <w:r>
              <w:rPr>
                <w:rFonts w:ascii="Arial" w:cs="Arial" w:eastAsia="Arial" w:hAnsi="Arial"/>
                <w:sz w:val="14"/>
                <w:szCs w:val="14"/>
                <w:b w:val="1"/>
                <w:bCs w:val="1"/>
                <w:color w:val="auto"/>
                <w:w w:val="91"/>
              </w:rPr>
              <w:t>September 30,</w:t>
            </w:r>
          </w:p>
        </w:tc>
        <w:tc>
          <w:tcPr>
            <w:tcW w:w="12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2"/>
          </w:tcPr>
          <w:p>
            <w:pPr>
              <w:jc w:val="center"/>
              <w:ind w:left="661"/>
              <w:spacing w:after="0"/>
              <w:rPr>
                <w:sz w:val="20"/>
                <w:szCs w:val="20"/>
                <w:color w:val="auto"/>
              </w:rPr>
            </w:pPr>
            <w:r>
              <w:rPr>
                <w:rFonts w:ascii="Arial" w:cs="Arial" w:eastAsia="Arial" w:hAnsi="Arial"/>
                <w:sz w:val="14"/>
                <w:szCs w:val="14"/>
                <w:b w:val="1"/>
                <w:bCs w:val="1"/>
                <w:color w:val="auto"/>
                <w:w w:val="89"/>
              </w:rPr>
              <w:t>September 30,</w:t>
            </w:r>
          </w:p>
        </w:tc>
        <w:tc>
          <w:tcPr>
            <w:tcW w:w="1180" w:type="dxa"/>
            <w:vAlign w:val="bottom"/>
            <w:tcBorders>
              <w:bottom w:val="single" w:sz="8" w:color="auto"/>
            </w:tcBorders>
          </w:tcPr>
          <w:p>
            <w:pPr>
              <w:spacing w:after="0"/>
              <w:rPr>
                <w:sz w:val="16"/>
                <w:szCs w:val="16"/>
                <w:color w:val="auto"/>
              </w:rPr>
            </w:pPr>
          </w:p>
        </w:tc>
      </w:tr>
      <w:tr>
        <w:trPr>
          <w:trHeight w:val="184"/>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4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741"/>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741"/>
              <w:spacing w:after="0"/>
              <w:rPr>
                <w:sz w:val="20"/>
                <w:szCs w:val="20"/>
                <w:color w:val="auto"/>
              </w:rPr>
            </w:pPr>
            <w:r>
              <w:rPr>
                <w:rFonts w:ascii="Arial" w:cs="Arial" w:eastAsia="Arial" w:hAnsi="Arial"/>
                <w:sz w:val="14"/>
                <w:szCs w:val="14"/>
                <w:b w:val="1"/>
                <w:bCs w:val="1"/>
                <w:color w:val="auto"/>
              </w:rPr>
              <w:t>2020</w:t>
            </w:r>
          </w:p>
        </w:tc>
        <w:tc>
          <w:tcPr>
            <w:tcW w:w="7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2019</w:t>
            </w:r>
          </w:p>
        </w:tc>
      </w:tr>
      <w:tr>
        <w:trPr>
          <w:trHeight w:val="224"/>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outflows for operating leases</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16.4</w:t>
            </w:r>
          </w:p>
        </w:tc>
        <w:tc>
          <w:tcPr>
            <w:tcW w:w="6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48.0</w:t>
            </w:r>
          </w:p>
        </w:tc>
        <w:tc>
          <w:tcPr>
            <w:tcW w:w="7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r>
      <w:tr>
        <w:trPr>
          <w:trHeight w:val="230"/>
        </w:trPr>
        <w:tc>
          <w:tcPr>
            <w:tcW w:w="3520" w:type="dxa"/>
            <w:vAlign w:val="bottom"/>
          </w:tcPr>
          <w:p>
            <w:pPr>
              <w:ind w:left="20"/>
              <w:spacing w:after="0"/>
              <w:rPr>
                <w:sz w:val="20"/>
                <w:szCs w:val="20"/>
                <w:color w:val="auto"/>
              </w:rPr>
            </w:pPr>
            <w:r>
              <w:rPr>
                <w:rFonts w:ascii="Arial" w:cs="Arial" w:eastAsia="Arial" w:hAnsi="Arial"/>
                <w:sz w:val="18"/>
                <w:szCs w:val="18"/>
                <w:color w:val="auto"/>
              </w:rPr>
              <w:t>Cash outflows for finance leases</w:t>
            </w:r>
          </w:p>
        </w:tc>
        <w:tc>
          <w:tcPr>
            <w:tcW w:w="440" w:type="dxa"/>
            <w:vAlign w:val="bottom"/>
          </w:tcPr>
          <w:p>
            <w:pPr>
              <w:spacing w:after="0"/>
              <w:rPr>
                <w:sz w:val="20"/>
                <w:szCs w:val="20"/>
                <w:color w:val="auto"/>
              </w:rPr>
            </w:pPr>
          </w:p>
        </w:tc>
        <w:tc>
          <w:tcPr>
            <w:tcW w:w="1420" w:type="dxa"/>
            <w:vAlign w:val="bottom"/>
          </w:tcPr>
          <w:p>
            <w:pPr>
              <w:jc w:val="right"/>
              <w:ind w:right="41"/>
              <w:spacing w:after="0"/>
              <w:rPr>
                <w:sz w:val="20"/>
                <w:szCs w:val="20"/>
                <w:color w:val="auto"/>
              </w:rPr>
            </w:pPr>
            <w:r>
              <w:rPr>
                <w:rFonts w:ascii="Arial" w:cs="Arial" w:eastAsia="Arial" w:hAnsi="Arial"/>
                <w:sz w:val="18"/>
                <w:szCs w:val="18"/>
                <w:color w:val="auto"/>
              </w:rPr>
              <w:t>4.3</w:t>
            </w:r>
          </w:p>
        </w:tc>
        <w:tc>
          <w:tcPr>
            <w:tcW w:w="6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jc w:val="right"/>
              <w:ind w:right="41"/>
              <w:spacing w:after="0"/>
              <w:rPr>
                <w:sz w:val="20"/>
                <w:szCs w:val="20"/>
                <w:color w:val="auto"/>
              </w:rPr>
            </w:pPr>
            <w:r>
              <w:rPr>
                <w:rFonts w:ascii="Arial" w:cs="Arial" w:eastAsia="Arial" w:hAnsi="Arial"/>
                <w:sz w:val="18"/>
                <w:szCs w:val="18"/>
                <w:color w:val="auto"/>
              </w:rPr>
              <w:t>12.7</w:t>
            </w:r>
          </w:p>
        </w:tc>
        <w:tc>
          <w:tcPr>
            <w:tcW w:w="7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14.1</w:t>
            </w: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gridSpan w:val="4"/>
          </w:tcPr>
          <w:p>
            <w:pPr>
              <w:ind w:left="140"/>
              <w:spacing w:after="0"/>
              <w:rPr>
                <w:sz w:val="20"/>
                <w:szCs w:val="20"/>
                <w:color w:val="auto"/>
              </w:rPr>
            </w:pPr>
            <w:r>
              <w:rPr>
                <w:rFonts w:ascii="Arial" w:cs="Arial" w:eastAsia="Arial" w:hAnsi="Arial"/>
                <w:sz w:val="14"/>
                <w:szCs w:val="14"/>
                <w:b w:val="1"/>
                <w:bCs w:val="1"/>
                <w:color w:val="auto"/>
              </w:rPr>
              <w:t>September 30, 2020</w:t>
            </w:r>
          </w:p>
        </w:tc>
        <w:tc>
          <w:tcPr>
            <w:tcW w:w="200" w:type="dxa"/>
            <w:vAlign w:val="bottom"/>
          </w:tcPr>
          <w:p>
            <w:pPr>
              <w:spacing w:after="0"/>
              <w:rPr>
                <w:sz w:val="16"/>
                <w:szCs w:val="16"/>
                <w:color w:val="auto"/>
              </w:rPr>
            </w:pPr>
          </w:p>
        </w:tc>
        <w:tc>
          <w:tcPr>
            <w:tcW w:w="1760" w:type="dxa"/>
            <w:vAlign w:val="bottom"/>
            <w:gridSpan w:val="2"/>
          </w:tcPr>
          <w:p>
            <w:pPr>
              <w:ind w:left="18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29"/>
        </w:trPr>
        <w:tc>
          <w:tcPr>
            <w:tcW w:w="46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Operating lease right-of-use assets</w:t>
            </w:r>
          </w:p>
        </w:tc>
        <w:tc>
          <w:tcPr>
            <w:tcW w:w="2780" w:type="dxa"/>
            <w:vAlign w:val="bottom"/>
            <w:tcBorders>
              <w:top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401.3</w:t>
            </w: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417.1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640" w:type="dxa"/>
            <w:vAlign w:val="bottom"/>
            <w:shd w:val="clear" w:color="auto" w:fill="CCEEFF"/>
          </w:tcPr>
          <w:p>
            <w:pPr>
              <w:spacing w:after="0"/>
              <w:rPr>
                <w:sz w:val="23"/>
                <w:szCs w:val="23"/>
                <w:color w:val="auto"/>
              </w:rPr>
            </w:pPr>
          </w:p>
        </w:tc>
        <w:tc>
          <w:tcPr>
            <w:tcW w:w="25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60" w:type="dxa"/>
            <w:vAlign w:val="bottom"/>
            <w:tcBorders>
              <w:left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64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2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current liabilities</w:t>
            </w:r>
          </w:p>
        </w:tc>
        <w:tc>
          <w:tcPr>
            <w:tcW w:w="27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42.6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42.3</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liabilities</w:t>
            </w:r>
          </w:p>
        </w:tc>
        <w:tc>
          <w:tcPr>
            <w:tcW w:w="25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496.1</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514.8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lease liabilities</w:t>
            </w:r>
          </w:p>
        </w:tc>
        <w:tc>
          <w:tcPr>
            <w:tcW w:w="25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538.7</w:t>
            </w:r>
          </w:p>
        </w:tc>
        <w:tc>
          <w:tcPr>
            <w:tcW w:w="8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557.1</w:t>
            </w:r>
          </w:p>
        </w:tc>
        <w:tc>
          <w:tcPr>
            <w:tcW w:w="6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(in months)</w:t>
            </w:r>
          </w:p>
        </w:tc>
        <w:tc>
          <w:tcPr>
            <w:tcW w:w="2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2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3.9 %</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4.0 %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4640" w:type="dxa"/>
            <w:vAlign w:val="bottom"/>
          </w:tcPr>
          <w:p>
            <w:pPr>
              <w:spacing w:after="0"/>
              <w:rPr>
                <w:sz w:val="20"/>
                <w:szCs w:val="20"/>
                <w:color w:val="auto"/>
              </w:rPr>
            </w:pPr>
            <w:r>
              <w:rPr>
                <w:rFonts w:ascii="Arial" w:cs="Arial" w:eastAsia="Arial" w:hAnsi="Arial"/>
                <w:sz w:val="18"/>
                <w:szCs w:val="18"/>
                <w:b w:val="1"/>
                <w:bCs w:val="1"/>
                <w:i w:val="1"/>
                <w:iCs w:val="1"/>
                <w:color w:val="auto"/>
              </w:rPr>
              <w:t>Finance leases</w:t>
            </w:r>
          </w:p>
        </w:tc>
        <w:tc>
          <w:tcPr>
            <w:tcW w:w="2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6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gridSpan w:val="4"/>
          </w:tcPr>
          <w:p>
            <w:pPr>
              <w:ind w:left="120"/>
              <w:spacing w:after="0"/>
              <w:rPr>
                <w:sz w:val="20"/>
                <w:szCs w:val="20"/>
                <w:color w:val="auto"/>
              </w:rPr>
            </w:pPr>
            <w:r>
              <w:rPr>
                <w:rFonts w:ascii="Arial" w:cs="Arial" w:eastAsia="Arial" w:hAnsi="Arial"/>
                <w:sz w:val="14"/>
                <w:szCs w:val="14"/>
                <w:b w:val="1"/>
                <w:bCs w:val="1"/>
                <w:color w:val="auto"/>
              </w:rPr>
              <w:t>September 30, 2020</w:t>
            </w:r>
          </w:p>
        </w:tc>
        <w:tc>
          <w:tcPr>
            <w:tcW w:w="200" w:type="dxa"/>
            <w:vAlign w:val="bottom"/>
          </w:tcPr>
          <w:p>
            <w:pPr>
              <w:spacing w:after="0"/>
              <w:rPr>
                <w:sz w:val="24"/>
                <w:szCs w:val="24"/>
                <w:color w:val="auto"/>
              </w:rPr>
            </w:pPr>
          </w:p>
        </w:tc>
        <w:tc>
          <w:tcPr>
            <w:tcW w:w="1760" w:type="dxa"/>
            <w:vAlign w:val="bottom"/>
            <w:gridSpan w:val="2"/>
          </w:tcPr>
          <w:p>
            <w:pPr>
              <w:ind w:left="18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29"/>
        </w:trPr>
        <w:tc>
          <w:tcPr>
            <w:tcW w:w="4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Finance lease right-of-use assets</w:t>
            </w:r>
          </w:p>
        </w:tc>
        <w:tc>
          <w:tcPr>
            <w:tcW w:w="2780" w:type="dxa"/>
            <w:vAlign w:val="bottom"/>
            <w:tcBorders>
              <w:top w:val="single" w:sz="8" w:color="auto"/>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91.0</w:t>
            </w:r>
          </w:p>
        </w:tc>
        <w:tc>
          <w:tcPr>
            <w:tcW w:w="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97.5</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64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liabilities:</w:t>
            </w:r>
          </w:p>
        </w:tc>
        <w:tc>
          <w:tcPr>
            <w:tcW w:w="2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tcPr>
          <w:p>
            <w:pPr>
              <w:ind w:left="220"/>
              <w:spacing w:after="0"/>
              <w:rPr>
                <w:sz w:val="20"/>
                <w:szCs w:val="20"/>
                <w:color w:val="auto"/>
              </w:rPr>
            </w:pPr>
            <w:r>
              <w:rPr>
                <w:rFonts w:ascii="Arial" w:cs="Arial" w:eastAsia="Arial" w:hAnsi="Arial"/>
                <w:sz w:val="18"/>
                <w:szCs w:val="18"/>
                <w:color w:val="auto"/>
              </w:rPr>
              <w:t>Other current liabilities</w:t>
            </w:r>
          </w:p>
        </w:tc>
        <w:tc>
          <w:tcPr>
            <w:tcW w:w="278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52"/>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92"/>
              <w:spacing w:after="0"/>
              <w:rPr>
                <w:sz w:val="20"/>
                <w:szCs w:val="20"/>
                <w:color w:val="auto"/>
              </w:rPr>
            </w:pPr>
            <w:r>
              <w:rPr>
                <w:rFonts w:ascii="Arial" w:cs="Arial" w:eastAsia="Arial" w:hAnsi="Arial"/>
                <w:sz w:val="18"/>
                <w:szCs w:val="18"/>
                <w:color w:val="auto"/>
              </w:rPr>
              <w:t>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liabilities</w:t>
            </w:r>
          </w:p>
        </w:tc>
        <w:tc>
          <w:tcPr>
            <w:tcW w:w="254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85.8</w:t>
            </w: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91.5</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Pr>
          <w:p>
            <w:pPr>
              <w:ind w:left="20"/>
              <w:spacing w:after="0"/>
              <w:rPr>
                <w:sz w:val="20"/>
                <w:szCs w:val="20"/>
                <w:color w:val="auto"/>
              </w:rPr>
            </w:pPr>
            <w:r>
              <w:rPr>
                <w:rFonts w:ascii="Arial" w:cs="Arial" w:eastAsia="Arial" w:hAnsi="Arial"/>
                <w:sz w:val="18"/>
                <w:szCs w:val="18"/>
                <w:color w:val="auto"/>
              </w:rPr>
              <w:t>Total finance lease liabilities</w:t>
            </w:r>
          </w:p>
        </w:tc>
        <w:tc>
          <w:tcPr>
            <w:tcW w:w="254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93.4</w:t>
            </w:r>
          </w:p>
        </w:tc>
        <w:tc>
          <w:tcPr>
            <w:tcW w:w="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98.9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40" w:type="dxa"/>
            <w:vAlign w:val="bottom"/>
            <w:shd w:val="clear" w:color="auto" w:fill="CCEEFF"/>
          </w:tcPr>
          <w:p>
            <w:pPr>
              <w:spacing w:after="0"/>
              <w:rPr>
                <w:sz w:val="20"/>
                <w:szCs w:val="20"/>
                <w:color w:val="auto"/>
              </w:rPr>
            </w:pPr>
          </w:p>
        </w:tc>
        <w:tc>
          <w:tcPr>
            <w:tcW w:w="25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6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Arial" w:cs="Arial" w:eastAsia="Arial" w:hAnsi="Arial"/>
                <w:sz w:val="18"/>
                <w:szCs w:val="18"/>
                <w:color w:val="auto"/>
              </w:rPr>
              <w:t>Weighted average remaining lease term (in months)</w:t>
            </w:r>
          </w:p>
        </w:tc>
        <w:tc>
          <w:tcPr>
            <w:tcW w:w="2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discount rate</w:t>
            </w:r>
          </w:p>
        </w:tc>
        <w:tc>
          <w:tcPr>
            <w:tcW w:w="2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9280" w:type="dxa"/>
            <w:vAlign w:val="bottom"/>
            <w:gridSpan w:val="8"/>
          </w:tcPr>
          <w:p>
            <w:pPr>
              <w:spacing w:after="0"/>
              <w:rPr>
                <w:sz w:val="20"/>
                <w:szCs w:val="20"/>
                <w:color w:val="auto"/>
              </w:rPr>
            </w:pPr>
            <w:r>
              <w:rPr>
                <w:rFonts w:ascii="Arial" w:cs="Arial" w:eastAsia="Arial" w:hAnsi="Arial"/>
                <w:sz w:val="18"/>
                <w:szCs w:val="18"/>
                <w:color w:val="auto"/>
              </w:rPr>
              <w:t>Future minimum lease payments were as follows as of September 30, 2020 for operating and finance leases:</w:t>
            </w: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6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gridSpan w:val="2"/>
          </w:tcPr>
          <w:p>
            <w:pPr>
              <w:ind w:left="80"/>
              <w:spacing w:after="0"/>
              <w:rPr>
                <w:sz w:val="20"/>
                <w:szCs w:val="20"/>
                <w:color w:val="auto"/>
              </w:rPr>
            </w:pPr>
            <w:r>
              <w:rPr>
                <w:rFonts w:ascii="Arial" w:cs="Arial" w:eastAsia="Arial" w:hAnsi="Arial"/>
                <w:sz w:val="14"/>
                <w:szCs w:val="14"/>
                <w:b w:val="1"/>
                <w:bCs w:val="1"/>
                <w:color w:val="auto"/>
              </w:rPr>
              <w:t>Operating Leases</w:t>
            </w:r>
          </w:p>
        </w:tc>
        <w:tc>
          <w:tcPr>
            <w:tcW w:w="0" w:type="dxa"/>
            <w:vAlign w:val="bottom"/>
          </w:tcPr>
          <w:p>
            <w:pPr>
              <w:spacing w:after="0"/>
              <w:rPr>
                <w:sz w:val="1"/>
                <w:szCs w:val="1"/>
                <w:color w:val="auto"/>
              </w:rPr>
            </w:pPr>
          </w:p>
        </w:tc>
      </w:tr>
      <w:tr>
        <w:trPr>
          <w:trHeight w:val="229"/>
        </w:trPr>
        <w:tc>
          <w:tcPr>
            <w:tcW w:w="46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Remainder of 2020</w:t>
            </w:r>
          </w:p>
        </w:tc>
        <w:tc>
          <w:tcPr>
            <w:tcW w:w="25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tcPr>
          <w:p>
            <w:pPr>
              <w:ind w:left="20"/>
              <w:spacing w:after="0"/>
              <w:rPr>
                <w:sz w:val="20"/>
                <w:szCs w:val="20"/>
                <w:color w:val="auto"/>
              </w:rPr>
            </w:pPr>
            <w:r>
              <w:rPr>
                <w:rFonts w:ascii="Arial" w:cs="Arial" w:eastAsia="Arial" w:hAnsi="Arial"/>
                <w:sz w:val="18"/>
                <w:szCs w:val="18"/>
                <w:color w:val="auto"/>
              </w:rPr>
              <w:t>2022</w:t>
            </w:r>
          </w:p>
        </w:tc>
        <w:tc>
          <w:tcPr>
            <w:tcW w:w="2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Arial" w:cs="Arial" w:eastAsia="Arial" w:hAnsi="Arial"/>
                <w:sz w:val="18"/>
                <w:szCs w:val="18"/>
                <w:color w:val="auto"/>
              </w:rPr>
              <w:t>2024</w:t>
            </w:r>
          </w:p>
        </w:tc>
        <w:tc>
          <w:tcPr>
            <w:tcW w:w="2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5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6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2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25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6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liability</w:t>
            </w:r>
          </w:p>
        </w:tc>
        <w:tc>
          <w:tcPr>
            <w:tcW w:w="25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bottom w:val="single" w:sz="8" w:color="CCEEFF"/>
            </w:tcBorders>
            <w:vMerge w:val="restart"/>
          </w:tcPr>
          <w:p>
            <w:pPr>
              <w:jc w:val="right"/>
              <w:ind w:right="1370"/>
              <w:spacing w:after="0"/>
              <w:rPr>
                <w:sz w:val="20"/>
                <w:szCs w:val="20"/>
                <w:color w:val="auto"/>
              </w:rPr>
            </w:pPr>
            <w:r>
              <w:rPr>
                <w:rFonts w:ascii="Arial" w:cs="Arial" w:eastAsia="Arial" w:hAnsi="Arial"/>
                <w:sz w:val="18"/>
                <w:szCs w:val="18"/>
                <w:color w:val="auto"/>
              </w:rPr>
              <w:t>20</w:t>
            </w: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2"/>
        </w:trPr>
        <w:tc>
          <w:tcPr>
            <w:tcW w:w="464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40" w:type="dxa"/>
            <w:vAlign w:val="bottom"/>
            <w:tcBorders>
              <w:bottom w:val="single" w:sz="8" w:color="9A9A9A"/>
            </w:tcBorders>
          </w:tcPr>
          <w:p>
            <w:pPr>
              <w:spacing w:after="0"/>
              <w:rPr>
                <w:sz w:val="10"/>
                <w:szCs w:val="10"/>
                <w:color w:val="auto"/>
              </w:rPr>
            </w:pPr>
          </w:p>
        </w:tc>
        <w:tc>
          <w:tcPr>
            <w:tcW w:w="25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9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3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Finance Leases</w:t>
            </w:r>
          </w:p>
        </w:tc>
      </w:tr>
      <w:tr>
        <w:trPr>
          <w:trHeight w:val="229"/>
        </w:trPr>
        <w:tc>
          <w:tcPr>
            <w:tcW w:w="9020" w:type="dxa"/>
            <w:vAlign w:val="bottom"/>
          </w:tcPr>
          <w:p>
            <w:pPr>
              <w:ind w:left="20"/>
              <w:spacing w:after="0"/>
              <w:rPr>
                <w:sz w:val="20"/>
                <w:szCs w:val="20"/>
                <w:color w:val="auto"/>
              </w:rPr>
            </w:pPr>
            <w:r>
              <w:rPr>
                <w:rFonts w:ascii="Arial" w:cs="Arial" w:eastAsia="Arial" w:hAnsi="Arial"/>
                <w:sz w:val="18"/>
                <w:szCs w:val="18"/>
                <w:color w:val="auto"/>
              </w:rPr>
              <w:t>Remainder of 2020</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29"/>
        </w:trPr>
        <w:tc>
          <w:tcPr>
            <w:tcW w:w="9020" w:type="dxa"/>
            <w:vAlign w:val="bottom"/>
          </w:tcPr>
          <w:p>
            <w:pPr>
              <w:ind w:left="20"/>
              <w:spacing w:after="0"/>
              <w:rPr>
                <w:sz w:val="20"/>
                <w:szCs w:val="20"/>
                <w:color w:val="auto"/>
              </w:rPr>
            </w:pPr>
            <w:r>
              <w:rPr>
                <w:rFonts w:ascii="Arial" w:cs="Arial" w:eastAsia="Arial" w:hAnsi="Arial"/>
                <w:sz w:val="18"/>
                <w:szCs w:val="18"/>
                <w:color w:val="auto"/>
              </w:rPr>
              <w:t>2022</w:t>
            </w:r>
          </w:p>
        </w:tc>
        <w:tc>
          <w:tcPr>
            <w:tcW w:w="3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17.1</w:t>
            </w:r>
          </w:p>
        </w:tc>
      </w:tr>
      <w:tr>
        <w:trPr>
          <w:trHeight w:val="230"/>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29"/>
        </w:trPr>
        <w:tc>
          <w:tcPr>
            <w:tcW w:w="9020" w:type="dxa"/>
            <w:vAlign w:val="bottom"/>
          </w:tcPr>
          <w:p>
            <w:pPr>
              <w:ind w:left="20"/>
              <w:spacing w:after="0"/>
              <w:rPr>
                <w:sz w:val="20"/>
                <w:szCs w:val="20"/>
                <w:color w:val="auto"/>
              </w:rPr>
            </w:pPr>
            <w:r>
              <w:rPr>
                <w:rFonts w:ascii="Arial" w:cs="Arial" w:eastAsia="Arial" w:hAnsi="Arial"/>
                <w:sz w:val="18"/>
                <w:szCs w:val="18"/>
                <w:color w:val="auto"/>
              </w:rPr>
              <w:t>2024</w:t>
            </w:r>
          </w:p>
        </w:tc>
        <w:tc>
          <w:tcPr>
            <w:tcW w:w="3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29"/>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30"/>
        </w:trPr>
        <w:tc>
          <w:tcPr>
            <w:tcW w:w="9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3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w:t>
            </w:r>
          </w:p>
        </w:tc>
      </w:tr>
      <w:tr>
        <w:trPr>
          <w:trHeight w:val="223"/>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w:t>
            </w:r>
          </w:p>
        </w:tc>
      </w:tr>
      <w:tr>
        <w:trPr>
          <w:trHeight w:val="230"/>
        </w:trPr>
        <w:tc>
          <w:tcPr>
            <w:tcW w:w="9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3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w:t>
            </w:r>
          </w:p>
        </w:tc>
      </w:tr>
      <w:tr>
        <w:trPr>
          <w:trHeight w:val="248"/>
        </w:trPr>
        <w:tc>
          <w:tcPr>
            <w:tcW w:w="9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liability</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Guarantees</w:t>
      </w:r>
    </w:p>
    <w:p>
      <w:pPr>
        <w:spacing w:after="0" w:line="121"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i w:val="1"/>
          <w:iCs w:val="1"/>
          <w:color w:val="auto"/>
        </w:rPr>
        <w:t xml:space="preserve">Mutual Offset Agreement. </w:t>
      </w:r>
      <w:r>
        <w:rPr>
          <w:rFonts w:ascii="Arial" w:cs="Arial" w:eastAsia="Arial" w:hAnsi="Arial"/>
          <w:sz w:val="17"/>
          <w:szCs w:val="17"/>
          <w:color w:val="auto"/>
        </w:rPr>
        <w:t>CME and Singapore Exchange Limited (SGX) maintain a mutual offset agreement with a current term through May 2023. This</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enables market participants to open a futures position on one exchange and liquidate it on the other. The term of the agreement will automatically renew for a one-year period after May 2023 unless either party provides advance notice of their intent to terminate. CME can maintain collateral in the form of irrevocable, standby letters of credit. At September 30, 2020, CME was contingently liable to SGX on letters of credit totaling $310.0 million. CME also maintains a $350.0 million line of credit to meet its obligations under this agreement. Regardless of the collateral, CME guarantees all cleared transactions submitted through SGX and would initiate procedures designed to satisfy these financial obligations in the event of a default, such as the use of performance bonds and guaranty fund contributions of the defaulting clearing firm. The company believes that its guarantee liability is immaterial and therefore has not recorded any liability at September 30, 2020.</w:t>
      </w:r>
    </w:p>
    <w:p>
      <w:pPr>
        <w:spacing w:after="0" w:line="70"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 xml:space="preserve">Family Farmer and Rancher Protection Fund. </w:t>
      </w:r>
      <w:r>
        <w:rPr>
          <w:rFonts w:ascii="Arial" w:cs="Arial" w:eastAsia="Arial" w:hAnsi="Arial"/>
          <w:sz w:val="17"/>
          <w:szCs w:val="17"/>
          <w:color w:val="auto"/>
        </w:rPr>
        <w:t>In 2012, the company established the Family Farmer and Rancher Protection Fund (the Fund). The Fund is</w:t>
      </w:r>
      <w:r>
        <w:rPr>
          <w:rFonts w:ascii="Arial" w:cs="Arial" w:eastAsia="Arial" w:hAnsi="Arial"/>
          <w:sz w:val="17"/>
          <w:szCs w:val="17"/>
          <w:i w:val="1"/>
          <w:iCs w:val="1"/>
          <w:color w:val="auto"/>
        </w:rPr>
        <w:t xml:space="preserve"> </w:t>
      </w:r>
      <w:r>
        <w:rPr>
          <w:rFonts w:ascii="Arial" w:cs="Arial" w:eastAsia="Arial" w:hAnsi="Arial"/>
          <w:sz w:val="17"/>
          <w:szCs w:val="17"/>
          <w:color w:val="auto"/>
        </w:rPr>
        <w:t>designed to provide payments, up to certain maximum levels, to family farmers, ranchers and other agricultural industry participants who use the company's agricultural commodity products and who suffer losses to their segregated account balances due to their CME clearing member becoming insolvent. Under the terms of the Fund, farmers and ranchers are eligible for up to $25,000 per participant. Farming and ranching cooperatives are eligible for up to $100,000 per cooperative. The Fund was established with a maximum of $100.0 million available for distribution to participants. Since its establishment, the Fund has made payments of approximately $2.0 million, which leaves $98.0 million available for future claims. If, at any time, payments due to participants were to exceed the amount remaining in the fund, payments would be pro-rated. Clearing members and customers must register with the company in advance and provide certain documentation in order to substantiate their eligibility. The company believes that its guarantee liability is immaterial and therefore has not recorded any liability at September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Accumulated Other Comprehensive Income (Loss)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tables present changes in the accumulated balances for each component of other comprehensive income (loss), including current period other comprehensive income (loss) and reclassifications out of accumulated other comprehensive income (loss):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Investment</w:t>
            </w:r>
          </w:p>
        </w:tc>
        <w:tc>
          <w:tcPr>
            <w:tcW w:w="14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Defined Benefit</w:t>
            </w:r>
          </w:p>
        </w:tc>
        <w:tc>
          <w:tcPr>
            <w:tcW w:w="20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Derivative</w:t>
            </w:r>
          </w:p>
        </w:tc>
        <w:tc>
          <w:tcPr>
            <w:tcW w:w="14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Foreign Currency</w:t>
            </w:r>
          </w:p>
        </w:tc>
        <w:tc>
          <w:tcPr>
            <w:tcW w:w="300" w:type="dxa"/>
            <w:vAlign w:val="bottom"/>
          </w:tcPr>
          <w:p>
            <w:pPr>
              <w:spacing w:after="0"/>
              <w:rPr>
                <w:sz w:val="14"/>
                <w:szCs w:val="14"/>
                <w:color w:val="auto"/>
              </w:rPr>
            </w:pPr>
          </w:p>
        </w:tc>
        <w:tc>
          <w:tcPr>
            <w:tcW w:w="100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20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9"/>
              </w:rPr>
              <w:t>Securities</w:t>
            </w: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Plans</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Investments</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Translation</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76"/>
        </w:trPr>
        <w:tc>
          <w:tcPr>
            <w:tcW w:w="4200" w:type="dxa"/>
            <w:vAlign w:val="bottom"/>
          </w:tcPr>
          <w:p>
            <w:pPr>
              <w:ind w:left="20"/>
              <w:spacing w:after="0" w:line="176" w:lineRule="exact"/>
              <w:rPr>
                <w:sz w:val="20"/>
                <w:szCs w:val="20"/>
                <w:color w:val="auto"/>
              </w:rPr>
            </w:pPr>
            <w:r>
              <w:rPr>
                <w:rFonts w:ascii="Arial" w:cs="Arial" w:eastAsia="Arial" w:hAnsi="Arial"/>
                <w:sz w:val="18"/>
                <w:szCs w:val="18"/>
                <w:color w:val="auto"/>
              </w:rPr>
              <w:t>Other comprehensive income (loss) before</w:t>
            </w:r>
          </w:p>
        </w:tc>
        <w:tc>
          <w:tcPr>
            <w:tcW w:w="2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39.8</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reclassifications and income tax benefit (expense)</w:t>
            </w:r>
          </w:p>
        </w:tc>
        <w:tc>
          <w:tcPr>
            <w:tcW w:w="2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2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Amounts reclassified from accumulated other</w:t>
            </w:r>
          </w:p>
        </w:tc>
        <w:tc>
          <w:tcPr>
            <w:tcW w:w="20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20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Income tax benefit (expense)</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Net current period other comprehensive income (loss)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23"/>
        </w:trPr>
        <w:tc>
          <w:tcPr>
            <w:tcW w:w="4200" w:type="dxa"/>
            <w:vAlign w:val="bottom"/>
          </w:tcPr>
          <w:p>
            <w:pPr>
              <w:ind w:left="20"/>
              <w:spacing w:after="0"/>
              <w:rPr>
                <w:sz w:val="20"/>
                <w:szCs w:val="20"/>
                <w:color w:val="auto"/>
              </w:rPr>
            </w:pPr>
            <w:r>
              <w:rPr>
                <w:rFonts w:ascii="Arial" w:cs="Arial" w:eastAsia="Arial" w:hAnsi="Arial"/>
                <w:sz w:val="18"/>
                <w:szCs w:val="18"/>
                <w:color w:val="auto"/>
              </w:rPr>
              <w:t>Balance at September 30, 2020</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42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24"/>
                <w:szCs w:val="2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Investment</w:t>
            </w:r>
          </w:p>
        </w:tc>
        <w:tc>
          <w:tcPr>
            <w:tcW w:w="140" w:type="dxa"/>
            <w:vAlign w:val="bottom"/>
          </w:tcPr>
          <w:p>
            <w:pPr>
              <w:spacing w:after="0"/>
              <w:rPr>
                <w:sz w:val="24"/>
                <w:szCs w:val="2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Defined Benefit</w:t>
            </w:r>
          </w:p>
        </w:tc>
        <w:tc>
          <w:tcPr>
            <w:tcW w:w="200" w:type="dxa"/>
            <w:vAlign w:val="bottom"/>
          </w:tcPr>
          <w:p>
            <w:pPr>
              <w:spacing w:after="0"/>
              <w:rPr>
                <w:sz w:val="24"/>
                <w:szCs w:val="2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Derivative</w:t>
            </w:r>
          </w:p>
        </w:tc>
        <w:tc>
          <w:tcPr>
            <w:tcW w:w="14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Foreign Currency</w:t>
            </w:r>
          </w:p>
        </w:tc>
        <w:tc>
          <w:tcPr>
            <w:tcW w:w="300" w:type="dxa"/>
            <w:vAlign w:val="bottom"/>
          </w:tcPr>
          <w:p>
            <w:pPr>
              <w:spacing w:after="0"/>
              <w:rPr>
                <w:sz w:val="24"/>
                <w:szCs w:val="24"/>
                <w:color w:val="auto"/>
              </w:rPr>
            </w:pPr>
          </w:p>
        </w:tc>
        <w:tc>
          <w:tcPr>
            <w:tcW w:w="100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20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9"/>
              </w:rPr>
              <w:t>Securities</w:t>
            </w: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Plans</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Investments</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Translation</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76"/>
        </w:trPr>
        <w:tc>
          <w:tcPr>
            <w:tcW w:w="4200" w:type="dxa"/>
            <w:vAlign w:val="bottom"/>
          </w:tcPr>
          <w:p>
            <w:pPr>
              <w:ind w:left="20"/>
              <w:spacing w:after="0" w:line="176" w:lineRule="exact"/>
              <w:rPr>
                <w:sz w:val="20"/>
                <w:szCs w:val="20"/>
                <w:color w:val="auto"/>
              </w:rPr>
            </w:pPr>
            <w:r>
              <w:rPr>
                <w:rFonts w:ascii="Arial" w:cs="Arial" w:eastAsia="Arial" w:hAnsi="Arial"/>
                <w:sz w:val="18"/>
                <w:szCs w:val="18"/>
                <w:color w:val="auto"/>
              </w:rPr>
              <w:t>Other comprehensive income (loss) before</w:t>
            </w:r>
          </w:p>
        </w:tc>
        <w:tc>
          <w:tcPr>
            <w:tcW w:w="2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(38.5)</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reclassifications and income tax benefit (expense)</w:t>
            </w:r>
          </w:p>
        </w:tc>
        <w:tc>
          <w:tcPr>
            <w:tcW w:w="2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2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Amounts reclassified from accumulated other</w:t>
            </w:r>
          </w:p>
        </w:tc>
        <w:tc>
          <w:tcPr>
            <w:tcW w:w="20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20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Income tax benefit (expense)</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3"/>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Net current period other comprehensive income (loss)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23"/>
        </w:trPr>
        <w:tc>
          <w:tcPr>
            <w:tcW w:w="4200" w:type="dxa"/>
            <w:vAlign w:val="bottom"/>
          </w:tcPr>
          <w:p>
            <w:pPr>
              <w:ind w:left="20"/>
              <w:spacing w:after="0"/>
              <w:rPr>
                <w:sz w:val="20"/>
                <w:szCs w:val="20"/>
                <w:color w:val="auto"/>
              </w:rPr>
            </w:pPr>
            <w:r>
              <w:rPr>
                <w:rFonts w:ascii="Arial" w:cs="Arial" w:eastAsia="Arial" w:hAnsi="Arial"/>
                <w:sz w:val="18"/>
                <w:szCs w:val="18"/>
                <w:color w:val="auto"/>
              </w:rPr>
              <w:t>Balance at September 30, 2019</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Measurements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a three-level classification hierarchy of fair value measurements for disclosure purposes:</w:t>
      </w:r>
    </w:p>
    <w:p>
      <w:pPr>
        <w:spacing w:after="0" w:line="117" w:lineRule="exact"/>
        <w:rPr>
          <w:sz w:val="20"/>
          <w:szCs w:val="20"/>
          <w:color w:val="auto"/>
        </w:rPr>
      </w:pPr>
    </w:p>
    <w:p>
      <w:pPr>
        <w:ind w:left="660" w:right="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 inputs, which are considered the most reliable evidence of fair value, consist of quoted prices (unadjusted) for identical assets or liabilities in active markets.</w:t>
      </w:r>
    </w:p>
    <w:p>
      <w:pPr>
        <w:spacing w:after="0" w:line="62" w:lineRule="exact"/>
        <w:rPr>
          <w:rFonts w:ascii="Arial" w:cs="Arial" w:eastAsia="Arial" w:hAnsi="Arial"/>
          <w:sz w:val="18"/>
          <w:szCs w:val="18"/>
          <w:color w:val="auto"/>
        </w:rPr>
      </w:pPr>
    </w:p>
    <w:p>
      <w:pPr>
        <w:ind w:left="660" w:right="44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2 inputs consist of observable market data, such as quoted prices for similar assets and liabilities in active markets, or inputs other than quoted prices that are directly observable.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Level 3 inputs consist of unobservable inputs which are derived and cannot be corroborated by market data or other entity-specific inputs.</w:t>
      </w:r>
    </w:p>
    <w:p>
      <w:pPr>
        <w:spacing w:after="0" w:line="129"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The company's level 1 assets generally include investments in publicly traded mutual funds, equity securities, corporate debt securities and U.S. government securities with quoted market prices. In general, the company uses quoted prices in active markets for identical assets to determine the fair value of marketable securities.</w:t>
      </w:r>
    </w:p>
    <w:p>
      <w:pPr>
        <w:spacing w:after="0" w:line="7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company's level 2 assets and liabilities generally consist of asset-backed securities and long-term debt notes. Asset-backed securities were measured at fair value based on matrix pricing using prices of similar securities with similar inputs such as maturity dates, interest rates and credit ratings. The fair values of the long-term debt notes were based on quoted market prices in an inactive market.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company's level 3 assets include certain fixed assets, intangible assets and investments that were impaired or written up in fair value.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i w:val="1"/>
          <w:iCs w:val="1"/>
          <w:color w:val="auto"/>
        </w:rPr>
        <w:t xml:space="preserve">Recurring Fair Value Measurements. </w:t>
      </w:r>
      <w:r>
        <w:rPr>
          <w:rFonts w:ascii="Arial" w:cs="Arial" w:eastAsia="Arial" w:hAnsi="Arial"/>
          <w:sz w:val="18"/>
          <w:szCs w:val="18"/>
          <w:color w:val="auto"/>
        </w:rPr>
        <w:t>Financial assets and liabilities recorded at fair value on the consolidated balance sheet as of September 30, 2020 were</w:t>
      </w:r>
      <w:r>
        <w:rPr>
          <w:rFonts w:ascii="Arial" w:cs="Arial" w:eastAsia="Arial" w:hAnsi="Arial"/>
          <w:sz w:val="18"/>
          <w:szCs w:val="18"/>
          <w:i w:val="1"/>
          <w:iCs w:val="1"/>
          <w:color w:val="auto"/>
        </w:rPr>
        <w:t xml:space="preserve"> </w:t>
      </w:r>
      <w:r>
        <w:rPr>
          <w:rFonts w:ascii="Arial" w:cs="Arial" w:eastAsia="Arial" w:hAnsi="Arial"/>
          <w:sz w:val="18"/>
          <w:szCs w:val="18"/>
          <w:color w:val="auto"/>
        </w:rPr>
        <w:t>classified in their entirety based on the lowest level of input that was significant to each asset and liability's fair value measurement. The following table presents financial instruments measured at fair value on a recurring basis: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ind w:right="396"/>
              <w:spacing w:after="0"/>
              <w:rPr>
                <w:sz w:val="20"/>
                <w:szCs w:val="20"/>
                <w:color w:val="auto"/>
              </w:rPr>
            </w:pPr>
            <w:r>
              <w:rPr>
                <w:rFonts w:ascii="Arial" w:cs="Arial" w:eastAsia="Arial" w:hAnsi="Arial"/>
                <w:sz w:val="14"/>
                <w:szCs w:val="14"/>
                <w:b w:val="1"/>
                <w:bCs w:val="1"/>
                <w:color w:val="auto"/>
              </w:rPr>
              <w:t>September 30, 2020</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8"/>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Level 3</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Total</w:t>
            </w:r>
          </w:p>
        </w:tc>
      </w:tr>
      <w:tr>
        <w:trPr>
          <w:trHeight w:val="224"/>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at Fair Value: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5200" w:type="dxa"/>
            <w:vAlign w:val="bottom"/>
          </w:tcPr>
          <w:p>
            <w:pPr>
              <w:ind w:left="120"/>
              <w:spacing w:after="0"/>
              <w:rPr>
                <w:sz w:val="20"/>
                <w:szCs w:val="20"/>
                <w:color w:val="auto"/>
              </w:rPr>
            </w:pPr>
            <w:r>
              <w:rPr>
                <w:rFonts w:ascii="Arial" w:cs="Arial" w:eastAsia="Arial" w:hAnsi="Arial"/>
                <w:sz w:val="18"/>
                <w:szCs w:val="18"/>
                <w:color w:val="auto"/>
              </w:rPr>
              <w:t>Marketable securities: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52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Corporate debt securities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856"/>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r>
      <w:tr>
        <w:trPr>
          <w:trHeight w:val="230"/>
        </w:trPr>
        <w:tc>
          <w:tcPr>
            <w:tcW w:w="5200" w:type="dxa"/>
            <w:vAlign w:val="bottom"/>
          </w:tcPr>
          <w:p>
            <w:pPr>
              <w:ind w:left="460"/>
              <w:spacing w:after="0"/>
              <w:rPr>
                <w:sz w:val="20"/>
                <w:szCs w:val="20"/>
                <w:color w:val="auto"/>
              </w:rPr>
            </w:pPr>
            <w:r>
              <w:rPr>
                <w:rFonts w:ascii="Arial" w:cs="Arial" w:eastAsia="Arial" w:hAnsi="Arial"/>
                <w:sz w:val="18"/>
                <w:szCs w:val="18"/>
                <w:color w:val="auto"/>
              </w:rPr>
              <w:t>Mutual funds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73.9</w:t>
            </w:r>
          </w:p>
        </w:tc>
      </w:tr>
      <w:tr>
        <w:trPr>
          <w:trHeight w:val="229"/>
        </w:trPr>
        <w:tc>
          <w:tcPr>
            <w:tcW w:w="52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Equity securities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9"/>
        </w:trPr>
        <w:tc>
          <w:tcPr>
            <w:tcW w:w="5200" w:type="dxa"/>
            <w:vAlign w:val="bottom"/>
          </w:tcPr>
          <w:p>
            <w:pPr>
              <w:ind w:left="460"/>
              <w:spacing w:after="0"/>
              <w:rPr>
                <w:sz w:val="20"/>
                <w:szCs w:val="20"/>
                <w:color w:val="auto"/>
              </w:rPr>
            </w:pPr>
            <w:r>
              <w:rPr>
                <w:rFonts w:ascii="Arial" w:cs="Arial" w:eastAsia="Arial" w:hAnsi="Arial"/>
                <w:sz w:val="18"/>
                <w:szCs w:val="18"/>
                <w:color w:val="auto"/>
              </w:rPr>
              <w:t>Asset-backed securities</w:t>
            </w: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23"/>
        </w:trPr>
        <w:tc>
          <w:tcPr>
            <w:tcW w:w="520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Marketable Securities</w:t>
            </w:r>
          </w:p>
        </w:tc>
        <w:tc>
          <w:tcPr>
            <w:tcW w:w="3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w:t>
            </w:r>
          </w:p>
        </w:tc>
      </w:tr>
      <w:tr>
        <w:trPr>
          <w:trHeight w:val="229"/>
        </w:trPr>
        <w:tc>
          <w:tcPr>
            <w:tcW w:w="520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Performance bonds and guaranty fund contributions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Treasury securities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r>
      <w:tr>
        <w:trPr>
          <w:trHeight w:val="229"/>
        </w:trPr>
        <w:tc>
          <w:tcPr>
            <w:tcW w:w="5200" w:type="dxa"/>
            <w:vAlign w:val="bottom"/>
          </w:tcPr>
          <w:p>
            <w:pPr>
              <w:ind w:left="460"/>
              <w:spacing w:after="0"/>
              <w:rPr>
                <w:sz w:val="20"/>
                <w:szCs w:val="20"/>
                <w:color w:val="auto"/>
              </w:rPr>
            </w:pPr>
            <w:r>
              <w:rPr>
                <w:rFonts w:ascii="Arial" w:cs="Arial" w:eastAsia="Arial" w:hAnsi="Arial"/>
                <w:sz w:val="18"/>
                <w:szCs w:val="18"/>
                <w:color w:val="auto"/>
              </w:rPr>
              <w:t>U.S. government agency securities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195.0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195.0</w:t>
            </w:r>
          </w:p>
        </w:tc>
      </w:tr>
      <w:tr>
        <w:trPr>
          <w:trHeight w:val="248"/>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 at Fair Value</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ind w:right="856"/>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1,087.4</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100" w:firstLine="8"/>
        <w:spacing w:after="0" w:line="277" w:lineRule="auto"/>
        <w:tabs>
          <w:tab w:leader="none" w:pos="255"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Performance bonds and guaranty fund contributions on the consolidated balance sheet at September 30, 2020 include U.S. Treasury securities and U.S. government agency securities purchased with cash collateral.</w:t>
      </w:r>
    </w:p>
    <w:p>
      <w:pPr>
        <w:spacing w:after="0" w:line="62"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i w:val="1"/>
          <w:iCs w:val="1"/>
          <w:color w:val="auto"/>
        </w:rPr>
        <w:t xml:space="preserve">Non-Recurring Fair Value Measurements. </w:t>
      </w:r>
      <w:r>
        <w:rPr>
          <w:rFonts w:ascii="Arial" w:cs="Arial" w:eastAsia="Arial" w:hAnsi="Arial"/>
          <w:sz w:val="17"/>
          <w:szCs w:val="17"/>
          <w:color w:val="auto"/>
        </w:rPr>
        <w:t>During the first nine months of 2020, the company recognized impairment charges of $27.4 million related to</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intangible assets and fixed assets. The combined fair values of the assets were estimated to be zero at September 30, 2020. The company also recognized net unrealized gains on certain investments of $1.3 million. The combined fair value of these investments were estimated to be $18.4 million at September 30, 2020. These assessments were based on quantitative and qualitative indicators of fair value. The fair value measurements of the intangible assets, fixed assets and investments are considered level 3 and non-recurring.</w:t>
      </w:r>
    </w:p>
    <w:p>
      <w:pPr>
        <w:spacing w:after="0" w:line="122"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i w:val="1"/>
          <w:iCs w:val="1"/>
          <w:color w:val="auto"/>
        </w:rPr>
        <w:t xml:space="preserve">Fair Values of Long-Term Debt Notes. </w:t>
      </w:r>
      <w:r>
        <w:rPr>
          <w:rFonts w:ascii="Arial" w:cs="Arial" w:eastAsia="Arial" w:hAnsi="Arial"/>
          <w:sz w:val="18"/>
          <w:szCs w:val="18"/>
          <w:color w:val="auto"/>
        </w:rPr>
        <w:t>The following presents the estimated fair values of long-term debt notes, which are carried at amortized cost on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balance sheets. The fair values below are classified as level 2 under the fair value hierarchy and were estimated using quoted market prices in inactive markets.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2020, the fair values (in U.S. dollar equivalent) were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6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4380" w:type="dxa"/>
            <w:vAlign w:val="bottom"/>
          </w:tcPr>
          <w:p>
            <w:pPr>
              <w:spacing w:after="0"/>
              <w:rPr>
                <w:sz w:val="16"/>
                <w:szCs w:val="16"/>
                <w:color w:val="auto"/>
              </w:rPr>
            </w:pPr>
          </w:p>
        </w:tc>
        <w:tc>
          <w:tcPr>
            <w:tcW w:w="1080" w:type="dxa"/>
            <w:vAlign w:val="bottom"/>
          </w:tcPr>
          <w:p>
            <w:pPr>
              <w:jc w:val="right"/>
              <w:ind w:right="313"/>
              <w:spacing w:after="0"/>
              <w:rPr>
                <w:sz w:val="20"/>
                <w:szCs w:val="20"/>
                <w:color w:val="auto"/>
              </w:rPr>
            </w:pPr>
            <w:r>
              <w:rPr>
                <w:rFonts w:ascii="Arial" w:cs="Arial" w:eastAsia="Arial" w:hAnsi="Arial"/>
                <w:sz w:val="14"/>
                <w:szCs w:val="14"/>
                <w:b w:val="1"/>
                <w:bCs w:val="1"/>
                <w:color w:val="auto"/>
                <w:w w:val="98"/>
              </w:rPr>
              <w:t>Fair Value</w:t>
            </w:r>
          </w:p>
        </w:tc>
        <w:tc>
          <w:tcPr>
            <w:tcW w:w="11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Level</w:t>
            </w:r>
          </w:p>
        </w:tc>
      </w:tr>
      <w:tr>
        <w:trPr>
          <w:trHeight w:val="224"/>
        </w:trPr>
        <w:tc>
          <w:tcPr>
            <w:tcW w:w="4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$750.0 million fixed rate notes due September 2022</w:t>
            </w:r>
          </w:p>
        </w:tc>
        <w:tc>
          <w:tcPr>
            <w:tcW w:w="4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788.0</w:t>
            </w: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Level 2</w:t>
            </w:r>
          </w:p>
        </w:tc>
        <w:tc>
          <w:tcPr>
            <w:tcW w:w="40" w:type="dxa"/>
            <w:vAlign w:val="bottom"/>
          </w:tcPr>
          <w:p>
            <w:pPr>
              <w:spacing w:after="0"/>
              <w:rPr>
                <w:sz w:val="19"/>
                <w:szCs w:val="19"/>
                <w:color w:val="auto"/>
              </w:rPr>
            </w:pPr>
          </w:p>
        </w:tc>
      </w:tr>
      <w:tr>
        <w:trPr>
          <w:trHeight w:val="229"/>
        </w:trPr>
        <w:tc>
          <w:tcPr>
            <w:tcW w:w="4640" w:type="dxa"/>
            <w:vAlign w:val="bottom"/>
          </w:tcPr>
          <w:p>
            <w:pPr>
              <w:ind w:left="20"/>
              <w:spacing w:after="0"/>
              <w:rPr>
                <w:sz w:val="20"/>
                <w:szCs w:val="20"/>
                <w:color w:val="auto"/>
              </w:rPr>
            </w:pPr>
            <w:r>
              <w:rPr>
                <w:rFonts w:ascii="Arial" w:cs="Arial" w:eastAsia="Arial" w:hAnsi="Arial"/>
                <w:sz w:val="18"/>
                <w:szCs w:val="18"/>
                <w:color w:val="auto"/>
              </w:rPr>
              <w:t>€15.0 million fixed rate notes due May 2023</w:t>
            </w:r>
          </w:p>
        </w:tc>
        <w:tc>
          <w:tcPr>
            <w:tcW w:w="4380" w:type="dxa"/>
            <w:vAlign w:val="bottom"/>
          </w:tcPr>
          <w:p>
            <w:pPr>
              <w:spacing w:after="0"/>
              <w:rPr>
                <w:sz w:val="19"/>
                <w:szCs w:val="19"/>
                <w:color w:val="auto"/>
              </w:rPr>
            </w:pPr>
          </w:p>
        </w:tc>
        <w:tc>
          <w:tcPr>
            <w:tcW w:w="1080" w:type="dxa"/>
            <w:vAlign w:val="bottom"/>
          </w:tcPr>
          <w:p>
            <w:pPr>
              <w:jc w:val="right"/>
              <w:ind w:right="173"/>
              <w:spacing w:after="0"/>
              <w:rPr>
                <w:sz w:val="20"/>
                <w:szCs w:val="20"/>
                <w:color w:val="auto"/>
              </w:rPr>
            </w:pPr>
            <w:r>
              <w:rPr>
                <w:rFonts w:ascii="Arial" w:cs="Arial" w:eastAsia="Arial" w:hAnsi="Arial"/>
                <w:sz w:val="18"/>
                <w:szCs w:val="18"/>
                <w:color w:val="auto"/>
              </w:rPr>
              <w:t>19.3</w:t>
            </w: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Level 2</w:t>
            </w:r>
          </w:p>
        </w:tc>
        <w:tc>
          <w:tcPr>
            <w:tcW w:w="40" w:type="dxa"/>
            <w:vAlign w:val="bottom"/>
          </w:tcPr>
          <w:p>
            <w:pPr>
              <w:spacing w:after="0"/>
              <w:rPr>
                <w:sz w:val="19"/>
                <w:szCs w:val="19"/>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$750.0 million fixed rate notes due March 2025</w:t>
            </w:r>
          </w:p>
        </w:tc>
        <w:tc>
          <w:tcPr>
            <w:tcW w:w="4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821.8</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Level 2</w:t>
            </w:r>
          </w:p>
        </w:tc>
        <w:tc>
          <w:tcPr>
            <w:tcW w:w="40" w:type="dxa"/>
            <w:vAlign w:val="bottom"/>
          </w:tcPr>
          <w:p>
            <w:pPr>
              <w:spacing w:after="0"/>
              <w:rPr>
                <w:sz w:val="19"/>
                <w:szCs w:val="19"/>
                <w:color w:val="auto"/>
              </w:rPr>
            </w:pPr>
          </w:p>
        </w:tc>
      </w:tr>
      <w:tr>
        <w:trPr>
          <w:trHeight w:val="230"/>
        </w:trPr>
        <w:tc>
          <w:tcPr>
            <w:tcW w:w="4640" w:type="dxa"/>
            <w:vAlign w:val="bottom"/>
          </w:tcPr>
          <w:p>
            <w:pPr>
              <w:ind w:left="20"/>
              <w:spacing w:after="0"/>
              <w:rPr>
                <w:sz w:val="20"/>
                <w:szCs w:val="20"/>
                <w:color w:val="auto"/>
              </w:rPr>
            </w:pPr>
            <w:r>
              <w:rPr>
                <w:rFonts w:ascii="Arial" w:cs="Arial" w:eastAsia="Arial" w:hAnsi="Arial"/>
                <w:sz w:val="18"/>
                <w:szCs w:val="18"/>
                <w:color w:val="auto"/>
              </w:rPr>
              <w:t>$500.0 million fixed rate notes due June 2028</w:t>
            </w:r>
          </w:p>
        </w:tc>
        <w:tc>
          <w:tcPr>
            <w:tcW w:w="4380" w:type="dxa"/>
            <w:vAlign w:val="bottom"/>
          </w:tcPr>
          <w:p>
            <w:pPr>
              <w:spacing w:after="0"/>
              <w:rPr>
                <w:sz w:val="19"/>
                <w:szCs w:val="19"/>
                <w:color w:val="auto"/>
              </w:rPr>
            </w:pPr>
          </w:p>
        </w:tc>
        <w:tc>
          <w:tcPr>
            <w:tcW w:w="1080" w:type="dxa"/>
            <w:vAlign w:val="bottom"/>
          </w:tcPr>
          <w:p>
            <w:pPr>
              <w:jc w:val="right"/>
              <w:ind w:right="173"/>
              <w:spacing w:after="0"/>
              <w:rPr>
                <w:sz w:val="20"/>
                <w:szCs w:val="20"/>
                <w:color w:val="auto"/>
              </w:rPr>
            </w:pPr>
            <w:r>
              <w:rPr>
                <w:rFonts w:ascii="Arial" w:cs="Arial" w:eastAsia="Arial" w:hAnsi="Arial"/>
                <w:sz w:val="18"/>
                <w:szCs w:val="18"/>
                <w:color w:val="auto"/>
              </w:rPr>
              <w:t>587.0</w:t>
            </w: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Level 2</w:t>
            </w:r>
          </w:p>
        </w:tc>
        <w:tc>
          <w:tcPr>
            <w:tcW w:w="40" w:type="dxa"/>
            <w:vAlign w:val="bottom"/>
          </w:tcPr>
          <w:p>
            <w:pPr>
              <w:spacing w:after="0"/>
              <w:rPr>
                <w:sz w:val="19"/>
                <w:szCs w:val="19"/>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$750.0 million fixed rate notes due September 2043</w:t>
            </w:r>
          </w:p>
        </w:tc>
        <w:tc>
          <w:tcPr>
            <w:tcW w:w="4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1,113.9</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Level 2</w:t>
            </w:r>
          </w:p>
        </w:tc>
        <w:tc>
          <w:tcPr>
            <w:tcW w:w="40" w:type="dxa"/>
            <w:vAlign w:val="bottom"/>
          </w:tcPr>
          <w:p>
            <w:pPr>
              <w:spacing w:after="0"/>
              <w:rPr>
                <w:sz w:val="19"/>
                <w:szCs w:val="19"/>
                <w:color w:val="auto"/>
              </w:rPr>
            </w:pPr>
          </w:p>
        </w:tc>
      </w:tr>
      <w:tr>
        <w:trPr>
          <w:trHeight w:val="230"/>
        </w:trPr>
        <w:tc>
          <w:tcPr>
            <w:tcW w:w="4640" w:type="dxa"/>
            <w:vAlign w:val="bottom"/>
          </w:tcPr>
          <w:p>
            <w:pPr>
              <w:ind w:left="20"/>
              <w:spacing w:after="0"/>
              <w:rPr>
                <w:sz w:val="20"/>
                <w:szCs w:val="20"/>
                <w:color w:val="auto"/>
              </w:rPr>
            </w:pPr>
            <w:r>
              <w:rPr>
                <w:rFonts w:ascii="Arial" w:cs="Arial" w:eastAsia="Arial" w:hAnsi="Arial"/>
                <w:sz w:val="18"/>
                <w:szCs w:val="18"/>
                <w:color w:val="auto"/>
              </w:rPr>
              <w:t>$700.0 million fixed rate notes due June 2048</w:t>
            </w:r>
          </w:p>
        </w:tc>
        <w:tc>
          <w:tcPr>
            <w:tcW w:w="4380" w:type="dxa"/>
            <w:vAlign w:val="bottom"/>
          </w:tcPr>
          <w:p>
            <w:pPr>
              <w:spacing w:after="0"/>
              <w:rPr>
                <w:sz w:val="20"/>
                <w:szCs w:val="20"/>
                <w:color w:val="auto"/>
              </w:rPr>
            </w:pPr>
          </w:p>
        </w:tc>
        <w:tc>
          <w:tcPr>
            <w:tcW w:w="1080" w:type="dxa"/>
            <w:vAlign w:val="bottom"/>
          </w:tcPr>
          <w:p>
            <w:pPr>
              <w:jc w:val="right"/>
              <w:ind w:right="173"/>
              <w:spacing w:after="0"/>
              <w:rPr>
                <w:sz w:val="20"/>
                <w:szCs w:val="20"/>
                <w:color w:val="auto"/>
              </w:rPr>
            </w:pPr>
            <w:r>
              <w:rPr>
                <w:rFonts w:ascii="Arial" w:cs="Arial" w:eastAsia="Arial" w:hAnsi="Arial"/>
                <w:sz w:val="18"/>
                <w:szCs w:val="18"/>
                <w:color w:val="auto"/>
              </w:rPr>
              <w:t>941.0</w:t>
            </w: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Level 2</w:t>
            </w:r>
          </w:p>
        </w:tc>
        <w:tc>
          <w:tcPr>
            <w:tcW w:w="40" w:type="dxa"/>
            <w:vAlign w:val="bottom"/>
          </w:tcPr>
          <w:p>
            <w:pPr>
              <w:spacing w:after="0"/>
              <w:rPr>
                <w:sz w:val="20"/>
                <w:szCs w:val="20"/>
                <w:color w:val="auto"/>
              </w:rPr>
            </w:pPr>
          </w:p>
        </w:tc>
      </w:tr>
      <w:tr>
        <w:trPr>
          <w:trHeight w:val="877"/>
        </w:trPr>
        <w:tc>
          <w:tcPr>
            <w:tcW w:w="4640" w:type="dxa"/>
            <w:vAlign w:val="bottom"/>
          </w:tcPr>
          <w:p>
            <w:pPr>
              <w:spacing w:after="0"/>
              <w:rPr>
                <w:sz w:val="24"/>
                <w:szCs w:val="24"/>
                <w:color w:val="auto"/>
              </w:rPr>
            </w:pPr>
          </w:p>
        </w:tc>
        <w:tc>
          <w:tcPr>
            <w:tcW w:w="4380" w:type="dxa"/>
            <w:vAlign w:val="bottom"/>
          </w:tcPr>
          <w:p>
            <w:pPr>
              <w:jc w:val="right"/>
              <w:ind w:right="3210"/>
              <w:spacing w:after="0"/>
              <w:rPr>
                <w:sz w:val="20"/>
                <w:szCs w:val="20"/>
                <w:color w:val="auto"/>
              </w:rPr>
            </w:pPr>
            <w:r>
              <w:rPr>
                <w:rFonts w:ascii="Arial" w:cs="Arial" w:eastAsia="Arial" w:hAnsi="Arial"/>
                <w:sz w:val="18"/>
                <w:szCs w:val="18"/>
                <w:color w:val="auto"/>
              </w:rPr>
              <w:t>23</w:t>
            </w: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4640" w:type="dxa"/>
            <w:vAlign w:val="bottom"/>
            <w:tcBorders>
              <w:bottom w:val="single" w:sz="8" w:color="9A9A9A"/>
            </w:tcBorders>
          </w:tcPr>
          <w:p>
            <w:pPr>
              <w:spacing w:after="0"/>
              <w:rPr>
                <w:sz w:val="10"/>
                <w:szCs w:val="10"/>
                <w:color w:val="auto"/>
              </w:rPr>
            </w:pPr>
          </w:p>
        </w:tc>
        <w:tc>
          <w:tcPr>
            <w:tcW w:w="43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Earnings Per Share</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Basic earnings per share is computed by dividing net income by the weighted average number of shares of all classes of CME Group common stock outstanding for each reporting period. Diluted earnings per share reflects the increase in shares using the treasury stock method to reflect the impact of an equivalent number of shares of common stock if stock options were exercised and restricted stock awards were converted into common stock. Anti-dilutive stock awards were as follows for the periods presented: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1620" w:type="dxa"/>
            <w:vAlign w:val="bottom"/>
            <w:gridSpan w:val="3"/>
          </w:tcPr>
          <w:p>
            <w:pPr>
              <w:jc w:val="center"/>
              <w:ind w:left="601"/>
              <w:spacing w:after="0"/>
              <w:rPr>
                <w:sz w:val="20"/>
                <w:szCs w:val="20"/>
                <w:color w:val="auto"/>
              </w:rPr>
            </w:pPr>
            <w:r>
              <w:rPr>
                <w:rFonts w:ascii="Arial" w:cs="Arial" w:eastAsia="Arial" w:hAnsi="Arial"/>
                <w:sz w:val="14"/>
                <w:szCs w:val="14"/>
                <w:b w:val="1"/>
                <w:bCs w:val="1"/>
                <w:color w:val="auto"/>
                <w:w w:val="96"/>
              </w:rPr>
              <w:t>Quarter Ended</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Nine Months Ended</w:t>
            </w:r>
          </w:p>
        </w:tc>
      </w:tr>
      <w:tr>
        <w:trPr>
          <w:trHeight w:val="186"/>
        </w:trPr>
        <w:tc>
          <w:tcPr>
            <w:tcW w:w="6480" w:type="dxa"/>
            <w:vAlign w:val="bottom"/>
          </w:tcPr>
          <w:p>
            <w:pPr>
              <w:spacing w:after="0"/>
              <w:rPr>
                <w:sz w:val="16"/>
                <w:szCs w:val="16"/>
                <w:color w:val="auto"/>
              </w:rPr>
            </w:pPr>
          </w:p>
        </w:tc>
        <w:tc>
          <w:tcPr>
            <w:tcW w:w="1620" w:type="dxa"/>
            <w:vAlign w:val="bottom"/>
            <w:tcBorders>
              <w:bottom w:val="single" w:sz="8" w:color="auto"/>
            </w:tcBorders>
            <w:gridSpan w:val="3"/>
          </w:tcPr>
          <w:p>
            <w:pPr>
              <w:jc w:val="center"/>
              <w:ind w:left="621"/>
              <w:spacing w:after="0"/>
              <w:rPr>
                <w:sz w:val="20"/>
                <w:szCs w:val="20"/>
                <w:color w:val="auto"/>
              </w:rPr>
            </w:pPr>
            <w:r>
              <w:rPr>
                <w:rFonts w:ascii="Arial" w:cs="Arial" w:eastAsia="Arial" w:hAnsi="Arial"/>
                <w:sz w:val="14"/>
                <w:szCs w:val="14"/>
                <w:b w:val="1"/>
                <w:bCs w:val="1"/>
                <w:color w:val="auto"/>
                <w:w w:val="91"/>
              </w:rPr>
              <w:t>September 30,</w:t>
            </w: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Borders>
              <w:bottom w:val="single" w:sz="8" w:color="auto"/>
            </w:tcBorders>
            <w:gridSpan w:val="3"/>
          </w:tcPr>
          <w:p>
            <w:pPr>
              <w:jc w:val="center"/>
              <w:ind w:left="621"/>
              <w:spacing w:after="0"/>
              <w:rPr>
                <w:sz w:val="20"/>
                <w:szCs w:val="20"/>
                <w:color w:val="auto"/>
              </w:rPr>
            </w:pPr>
            <w:r>
              <w:rPr>
                <w:rFonts w:ascii="Arial" w:cs="Arial" w:eastAsia="Arial" w:hAnsi="Arial"/>
                <w:sz w:val="14"/>
                <w:szCs w:val="14"/>
                <w:b w:val="1"/>
                <w:bCs w:val="1"/>
                <w:color w:val="auto"/>
                <w:w w:val="91"/>
              </w:rPr>
              <w:t>September 30,</w:t>
            </w:r>
          </w:p>
        </w:tc>
        <w:tc>
          <w:tcPr>
            <w:tcW w:w="700" w:type="dxa"/>
            <w:vAlign w:val="bottom"/>
            <w:tcBorders>
              <w:bottom w:val="single" w:sz="8" w:color="auto"/>
            </w:tcBorders>
          </w:tcPr>
          <w:p>
            <w:pPr>
              <w:spacing w:after="0"/>
              <w:rPr>
                <w:sz w:val="16"/>
                <w:szCs w:val="16"/>
                <w:color w:val="auto"/>
              </w:rPr>
            </w:pPr>
          </w:p>
        </w:tc>
      </w:tr>
      <w:tr>
        <w:trPr>
          <w:trHeight w:val="184"/>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112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w w:val="89"/>
              </w:rPr>
              <w:t>2019</w:t>
            </w:r>
          </w:p>
        </w:tc>
      </w:tr>
      <w:tr>
        <w:trPr>
          <w:trHeight w:val="224"/>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awards</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w:t>
            </w:r>
          </w:p>
        </w:tc>
      </w:tr>
      <w:tr>
        <w:trPr>
          <w:trHeight w:val="223"/>
        </w:trPr>
        <w:tc>
          <w:tcPr>
            <w:tcW w:w="6480" w:type="dxa"/>
            <w:vAlign w:val="bottom"/>
          </w:tcPr>
          <w:p>
            <w:pPr>
              <w:ind w:left="20"/>
              <w:spacing w:after="0"/>
              <w:rPr>
                <w:sz w:val="20"/>
                <w:szCs w:val="20"/>
                <w:color w:val="auto"/>
              </w:rPr>
            </w:pPr>
            <w:r>
              <w:rPr>
                <w:rFonts w:ascii="Arial" w:cs="Arial" w:eastAsia="Arial" w:hAnsi="Arial"/>
                <w:sz w:val="18"/>
                <w:szCs w:val="18"/>
                <w:color w:val="auto"/>
              </w:rPr>
              <w:t>Total</w:t>
            </w: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w:t>
            </w:r>
          </w:p>
        </w:tc>
      </w:tr>
      <w:tr>
        <w:trPr>
          <w:trHeight w:val="21"/>
        </w:trPr>
        <w:tc>
          <w:tcPr>
            <w:tcW w:w="64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earnings per share calculation for the periods presented: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60" w:type="dxa"/>
            <w:vAlign w:val="bottom"/>
            <w:gridSpan w:val="4"/>
          </w:tcPr>
          <w:p>
            <w:pPr>
              <w:jc w:val="right"/>
              <w:ind w:right="47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8"/>
        </w:trPr>
        <w:tc>
          <w:tcPr>
            <w:tcW w:w="6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4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24"/>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CME Group (in millions)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1,647.0</w:t>
            </w:r>
          </w:p>
        </w:tc>
        <w:tc>
          <w:tcPr>
            <w:tcW w:w="0" w:type="dxa"/>
            <w:vAlign w:val="bottom"/>
          </w:tcPr>
          <w:p>
            <w:pPr>
              <w:spacing w:after="0"/>
              <w:rPr>
                <w:sz w:val="1"/>
                <w:szCs w:val="1"/>
                <w:color w:val="auto"/>
              </w:rPr>
            </w:pPr>
          </w:p>
        </w:tc>
      </w:tr>
      <w:tr>
        <w:trPr>
          <w:trHeight w:val="229"/>
        </w:trPr>
        <w:tc>
          <w:tcPr>
            <w:tcW w:w="6480" w:type="dxa"/>
            <w:vAlign w:val="bottom"/>
          </w:tcPr>
          <w:p>
            <w:pPr>
              <w:ind w:left="20"/>
              <w:spacing w:after="0"/>
              <w:rPr>
                <w:sz w:val="20"/>
                <w:szCs w:val="20"/>
                <w:color w:val="auto"/>
              </w:rPr>
            </w:pPr>
            <w:r>
              <w:rPr>
                <w:rFonts w:ascii="Arial" w:cs="Arial" w:eastAsia="Arial" w:hAnsi="Arial"/>
                <w:sz w:val="18"/>
                <w:szCs w:val="18"/>
                <w:color w:val="auto"/>
              </w:rPr>
              <w:t>Weighted Average Number of Common Shares (in thousands):</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357,791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357,211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357,669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357,054</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Effect of stock options, restricted stock and performance shares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w:t>
            </w:r>
          </w:p>
        </w:tc>
        <w:tc>
          <w:tcPr>
            <w:tcW w:w="0" w:type="dxa"/>
            <w:vAlign w:val="bottom"/>
          </w:tcPr>
          <w:p>
            <w:pPr>
              <w:spacing w:after="0"/>
              <w:rPr>
                <w:sz w:val="1"/>
                <w:szCs w:val="1"/>
                <w:color w:val="auto"/>
              </w:rPr>
            </w:pPr>
          </w:p>
        </w:tc>
      </w:tr>
      <w:tr>
        <w:trPr>
          <w:trHeight w:val="248"/>
        </w:trPr>
        <w:tc>
          <w:tcPr>
            <w:tcW w:w="64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358,590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358,369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358,492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358,201</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Earnings per Common Share Attributable to CME Group:</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4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30"/>
        </w:trPr>
        <w:tc>
          <w:tcPr>
            <w:tcW w:w="6480" w:type="dxa"/>
            <w:vAlign w:val="bottom"/>
          </w:tcPr>
          <w:p>
            <w:pPr>
              <w:ind w:left="34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company has evaluated subsequent events through the date the financial statements were issued. The company has determined that there were no subsequent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The following discussion is provided as a supplement to, and should be read in conjunction with, the accompanying unaudited consolidated financial statements and notes in this Quarterly Report on Form 10-Q and our Annual Report on Form 10-K for the year ended December 31, 2019.</w:t>
      </w:r>
    </w:p>
    <w:p>
      <w:pPr>
        <w:spacing w:after="0" w:line="1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References in this discussion and analysis to “we” and “our” are to CME Group Inc. (CME Group) and its consolidated subsidiaries, collectively. References to “exchange” are to Chicago Mercantile Exchange Inc. (CME), the Board of Trade of the City of Chicago, Inc. (CBOT), New York Mercantile Exchange, Inc. (NYMEX), and Commodity Exchange, Inc. (COMEX), collectively, unless otherwise noted.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significant changes in our financial performance for the periods presented.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4"/>
          </w:tcPr>
          <w:p>
            <w:pPr>
              <w:jc w:val="right"/>
              <w:spacing w:after="0"/>
              <w:rPr>
                <w:sz w:val="20"/>
                <w:szCs w:val="20"/>
                <w:color w:val="auto"/>
              </w:rPr>
            </w:pPr>
            <w:r>
              <w:rPr>
                <w:rFonts w:ascii="Arial" w:cs="Arial" w:eastAsia="Arial" w:hAnsi="Arial"/>
                <w:sz w:val="14"/>
                <w:szCs w:val="14"/>
                <w:b w:val="1"/>
                <w:bCs w:val="1"/>
                <w:color w:val="auto"/>
              </w:rPr>
              <w:t>Quarter Ended</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8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Nine Months Ended</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4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 except per share data)</w:t>
            </w: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w w:val="96"/>
              </w:rPr>
              <w:t>2020</w:t>
            </w: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Change</w:t>
            </w:r>
          </w:p>
        </w:tc>
        <w:tc>
          <w:tcPr>
            <w:tcW w:w="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4"/>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w w:val="89"/>
              </w:rPr>
              <w:t>1,080.7</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89"/>
              </w:rPr>
              <w:t>1,277.3</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3,785.1</w:t>
            </w:r>
          </w:p>
        </w:tc>
        <w:tc>
          <w:tcPr>
            <w:tcW w:w="5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86"/>
              </w:rPr>
              <w:t>3,729.6</w:t>
            </w:r>
          </w:p>
        </w:tc>
        <w:tc>
          <w:tcPr>
            <w:tcW w:w="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30"/>
        </w:trPr>
        <w:tc>
          <w:tcPr>
            <w:tcW w:w="3460" w:type="dxa"/>
            <w:vAlign w:val="bottom"/>
          </w:tcPr>
          <w:p>
            <w:pPr>
              <w:ind w:left="20"/>
              <w:spacing w:after="0"/>
              <w:rPr>
                <w:sz w:val="20"/>
                <w:szCs w:val="20"/>
                <w:color w:val="auto"/>
              </w:rPr>
            </w:pPr>
            <w:r>
              <w:rPr>
                <w:rFonts w:ascii="Arial" w:cs="Arial" w:eastAsia="Arial" w:hAnsi="Arial"/>
                <w:sz w:val="18"/>
                <w:szCs w:val="18"/>
                <w:color w:val="auto"/>
              </w:rPr>
              <w:t>Total expenses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ind w:right="196"/>
              <w:spacing w:after="0"/>
              <w:rPr>
                <w:sz w:val="20"/>
                <w:szCs w:val="20"/>
                <w:color w:val="auto"/>
              </w:rPr>
            </w:pPr>
            <w:r>
              <w:rPr>
                <w:rFonts w:ascii="Arial" w:cs="Arial" w:eastAsia="Arial" w:hAnsi="Arial"/>
                <w:sz w:val="18"/>
                <w:szCs w:val="18"/>
                <w:color w:val="auto"/>
              </w:rPr>
              <w:t>555.7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133"/>
              <w:spacing w:after="0"/>
              <w:rPr>
                <w:sz w:val="20"/>
                <w:szCs w:val="20"/>
                <w:color w:val="auto"/>
              </w:rPr>
            </w:pPr>
            <w:r>
              <w:rPr>
                <w:rFonts w:ascii="Arial" w:cs="Arial" w:eastAsia="Arial" w:hAnsi="Arial"/>
                <w:sz w:val="18"/>
                <w:szCs w:val="18"/>
                <w:color w:val="auto"/>
              </w:rPr>
              <w:t>592.1</w:t>
            </w:r>
          </w:p>
        </w:tc>
        <w:tc>
          <w:tcPr>
            <w:tcW w:w="100" w:type="dxa"/>
            <w:vAlign w:val="bottom"/>
          </w:tcPr>
          <w:p>
            <w:pPr>
              <w:spacing w:after="0"/>
              <w:rPr>
                <w:sz w:val="19"/>
                <w:szCs w:val="19"/>
                <w:color w:val="auto"/>
              </w:rPr>
            </w:pPr>
          </w:p>
        </w:tc>
        <w:tc>
          <w:tcPr>
            <w:tcW w:w="1300" w:type="dxa"/>
            <w:vAlign w:val="bottom"/>
          </w:tcPr>
          <w:p>
            <w:pPr>
              <w:jc w:val="right"/>
              <w:ind w:right="193"/>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196"/>
              <w:spacing w:after="0"/>
              <w:rPr>
                <w:sz w:val="20"/>
                <w:szCs w:val="20"/>
                <w:color w:val="auto"/>
              </w:rPr>
            </w:pPr>
            <w:r>
              <w:rPr>
                <w:rFonts w:ascii="Arial" w:cs="Arial" w:eastAsia="Arial" w:hAnsi="Arial"/>
                <w:sz w:val="18"/>
                <w:szCs w:val="18"/>
                <w:color w:val="auto"/>
              </w:rPr>
              <w:t>1,662.7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w w:val="86"/>
              </w:rPr>
              <w:t>1,714.8</w:t>
            </w:r>
          </w:p>
        </w:tc>
        <w:tc>
          <w:tcPr>
            <w:tcW w:w="60" w:type="dxa"/>
            <w:vAlign w:val="bottom"/>
          </w:tcPr>
          <w:p>
            <w:pPr>
              <w:spacing w:after="0"/>
              <w:rPr>
                <w:sz w:val="19"/>
                <w:szCs w:val="19"/>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margin</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48.6 %</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54.0 %</w:t>
            </w: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tcPr>
          <w:p>
            <w:pPr>
              <w:ind w:left="20"/>
              <w:spacing w:after="0"/>
              <w:rPr>
                <w:sz w:val="20"/>
                <w:szCs w:val="20"/>
                <w:color w:val="auto"/>
              </w:rPr>
            </w:pPr>
            <w:r>
              <w:rPr>
                <w:rFonts w:ascii="Arial" w:cs="Arial" w:eastAsia="Arial" w:hAnsi="Arial"/>
                <w:sz w:val="18"/>
                <w:szCs w:val="18"/>
                <w:color w:val="auto"/>
              </w:rPr>
              <w:t>Non-operating income (expense)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840" w:type="dxa"/>
            <w:vAlign w:val="bottom"/>
          </w:tcPr>
          <w:p>
            <w:pPr>
              <w:jc w:val="right"/>
              <w:ind w:right="196"/>
              <w:spacing w:after="0"/>
              <w:rPr>
                <w:sz w:val="20"/>
                <w:szCs w:val="20"/>
                <w:color w:val="auto"/>
              </w:rPr>
            </w:pPr>
            <w:r>
              <w:rPr>
                <w:rFonts w:ascii="Arial" w:cs="Arial" w:eastAsia="Arial" w:hAnsi="Arial"/>
                <w:sz w:val="18"/>
                <w:szCs w:val="18"/>
                <w:color w:val="auto"/>
              </w:rPr>
              <w:t>11.5</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ind w:right="133"/>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19"/>
                <w:szCs w:val="19"/>
                <w:color w:val="auto"/>
              </w:rPr>
            </w:pPr>
          </w:p>
        </w:tc>
        <w:tc>
          <w:tcPr>
            <w:tcW w:w="1300" w:type="dxa"/>
            <w:vAlign w:val="bottom"/>
          </w:tcPr>
          <w:p>
            <w:pPr>
              <w:jc w:val="right"/>
              <w:ind w:right="193"/>
              <w:spacing w:after="0"/>
              <w:rPr>
                <w:sz w:val="20"/>
                <w:szCs w:val="20"/>
                <w:color w:val="auto"/>
              </w:rPr>
            </w:pPr>
            <w:r>
              <w:rPr>
                <w:rFonts w:ascii="Arial" w:cs="Arial" w:eastAsia="Arial" w:hAnsi="Arial"/>
                <w:sz w:val="18"/>
                <w:szCs w:val="18"/>
                <w:color w:val="auto"/>
              </w:rPr>
              <w:t>(70)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920" w:type="dxa"/>
            <w:vAlign w:val="bottom"/>
          </w:tcPr>
          <w:p>
            <w:pPr>
              <w:jc w:val="right"/>
              <w:ind w:right="196"/>
              <w:spacing w:after="0"/>
              <w:rPr>
                <w:sz w:val="20"/>
                <w:szCs w:val="20"/>
                <w:color w:val="auto"/>
              </w:rPr>
            </w:pPr>
            <w:r>
              <w:rPr>
                <w:rFonts w:ascii="Arial" w:cs="Arial" w:eastAsia="Arial" w:hAnsi="Arial"/>
                <w:sz w:val="18"/>
                <w:szCs w:val="18"/>
                <w:color w:val="auto"/>
              </w:rPr>
              <w:t>64.7</w:t>
            </w:r>
          </w:p>
        </w:tc>
        <w:tc>
          <w:tcPr>
            <w:tcW w:w="5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50.7</w:t>
            </w:r>
          </w:p>
        </w:tc>
        <w:tc>
          <w:tcPr>
            <w:tcW w:w="60" w:type="dxa"/>
            <w:vAlign w:val="bottom"/>
          </w:tcPr>
          <w:p>
            <w:pPr>
              <w:spacing w:after="0"/>
              <w:rPr>
                <w:sz w:val="19"/>
                <w:szCs w:val="19"/>
                <w:color w:val="auto"/>
              </w:rPr>
            </w:pPr>
          </w:p>
        </w:tc>
        <w:tc>
          <w:tcPr>
            <w:tcW w:w="1300" w:type="dxa"/>
            <w:vAlign w:val="bottom"/>
          </w:tcPr>
          <w:p>
            <w:pPr>
              <w:jc w:val="right"/>
              <w:ind w:right="133"/>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23.3 %</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20.3 %</w:t>
            </w: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tcPr>
          <w:p>
            <w:pPr>
              <w:ind w:left="20"/>
              <w:spacing w:after="0"/>
              <w:rPr>
                <w:sz w:val="20"/>
                <w:szCs w:val="20"/>
                <w:color w:val="auto"/>
              </w:rPr>
            </w:pPr>
            <w:r>
              <w:rPr>
                <w:rFonts w:ascii="Arial" w:cs="Arial" w:eastAsia="Arial" w:hAnsi="Arial"/>
                <w:sz w:val="18"/>
                <w:szCs w:val="18"/>
                <w:color w:val="auto"/>
              </w:rPr>
              <w:t>Net income attributable to CME Group</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840" w:type="dxa"/>
            <w:vAlign w:val="bottom"/>
          </w:tcPr>
          <w:p>
            <w:pPr>
              <w:jc w:val="right"/>
              <w:ind w:right="196"/>
              <w:spacing w:after="0"/>
              <w:rPr>
                <w:sz w:val="20"/>
                <w:szCs w:val="20"/>
                <w:color w:val="auto"/>
              </w:rPr>
            </w:pPr>
            <w:r>
              <w:rPr>
                <w:rFonts w:ascii="Arial" w:cs="Arial" w:eastAsia="Arial" w:hAnsi="Arial"/>
                <w:sz w:val="18"/>
                <w:szCs w:val="18"/>
                <w:color w:val="auto"/>
              </w:rPr>
              <w:t>411.7</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ind w:right="133"/>
              <w:spacing w:after="0"/>
              <w:rPr>
                <w:sz w:val="20"/>
                <w:szCs w:val="20"/>
                <w:color w:val="auto"/>
              </w:rPr>
            </w:pPr>
            <w:r>
              <w:rPr>
                <w:rFonts w:ascii="Arial" w:cs="Arial" w:eastAsia="Arial" w:hAnsi="Arial"/>
                <w:sz w:val="18"/>
                <w:szCs w:val="18"/>
                <w:color w:val="auto"/>
              </w:rPr>
              <w:t>636.3</w:t>
            </w:r>
          </w:p>
        </w:tc>
        <w:tc>
          <w:tcPr>
            <w:tcW w:w="100" w:type="dxa"/>
            <w:vAlign w:val="bottom"/>
          </w:tcPr>
          <w:p>
            <w:pPr>
              <w:spacing w:after="0"/>
              <w:rPr>
                <w:sz w:val="19"/>
                <w:szCs w:val="19"/>
                <w:color w:val="auto"/>
              </w:rPr>
            </w:pPr>
          </w:p>
        </w:tc>
        <w:tc>
          <w:tcPr>
            <w:tcW w:w="1300" w:type="dxa"/>
            <w:vAlign w:val="bottom"/>
          </w:tcPr>
          <w:p>
            <w:pPr>
              <w:jc w:val="right"/>
              <w:ind w:right="193"/>
              <w:spacing w:after="0"/>
              <w:rPr>
                <w:sz w:val="20"/>
                <w:szCs w:val="20"/>
                <w:color w:val="auto"/>
              </w:rPr>
            </w:pPr>
            <w:r>
              <w:rPr>
                <w:rFonts w:ascii="Arial" w:cs="Arial" w:eastAsia="Arial" w:hAnsi="Arial"/>
                <w:sz w:val="18"/>
                <w:szCs w:val="18"/>
                <w:color w:val="auto"/>
              </w:rPr>
              <w:t>(35)</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920" w:type="dxa"/>
            <w:vAlign w:val="bottom"/>
          </w:tcPr>
          <w:p>
            <w:pPr>
              <w:jc w:val="right"/>
              <w:ind w:right="196"/>
              <w:spacing w:after="0"/>
              <w:rPr>
                <w:sz w:val="20"/>
                <w:szCs w:val="20"/>
                <w:color w:val="auto"/>
              </w:rPr>
            </w:pPr>
            <w:r>
              <w:rPr>
                <w:rFonts w:ascii="Arial" w:cs="Arial" w:eastAsia="Arial" w:hAnsi="Arial"/>
                <w:sz w:val="18"/>
                <w:szCs w:val="18"/>
                <w:color w:val="auto"/>
              </w:rPr>
              <w:t>1,681.2</w:t>
            </w:r>
          </w:p>
        </w:tc>
        <w:tc>
          <w:tcPr>
            <w:tcW w:w="5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73"/>
              <w:spacing w:after="0"/>
              <w:rPr>
                <w:sz w:val="20"/>
                <w:szCs w:val="20"/>
                <w:color w:val="auto"/>
              </w:rPr>
            </w:pPr>
            <w:r>
              <w:rPr>
                <w:rFonts w:ascii="Arial" w:cs="Arial" w:eastAsia="Arial" w:hAnsi="Arial"/>
                <w:sz w:val="18"/>
                <w:szCs w:val="18"/>
                <w:color w:val="auto"/>
                <w:w w:val="86"/>
              </w:rPr>
              <w:t>1,647.0</w:t>
            </w:r>
          </w:p>
        </w:tc>
        <w:tc>
          <w:tcPr>
            <w:tcW w:w="60" w:type="dxa"/>
            <w:vAlign w:val="bottom"/>
          </w:tcPr>
          <w:p>
            <w:pPr>
              <w:spacing w:after="0"/>
              <w:rPr>
                <w:sz w:val="19"/>
                <w:szCs w:val="19"/>
                <w:color w:val="auto"/>
              </w:rPr>
            </w:pPr>
          </w:p>
        </w:tc>
        <w:tc>
          <w:tcPr>
            <w:tcW w:w="1300" w:type="dxa"/>
            <w:vAlign w:val="bottom"/>
          </w:tcPr>
          <w:p>
            <w:pPr>
              <w:jc w:val="right"/>
              <w:ind w:right="13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76"/>
        </w:trPr>
        <w:tc>
          <w:tcPr>
            <w:tcW w:w="34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Diluted earnings per common share</w:t>
            </w: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196"/>
              <w:spacing w:after="0"/>
              <w:rPr>
                <w:sz w:val="20"/>
                <w:szCs w:val="20"/>
                <w:color w:val="auto"/>
              </w:rPr>
            </w:pPr>
            <w:r>
              <w:rPr>
                <w:rFonts w:ascii="Arial" w:cs="Arial" w:eastAsia="Arial" w:hAnsi="Arial"/>
                <w:sz w:val="18"/>
                <w:szCs w:val="18"/>
                <w:color w:val="auto"/>
              </w:rPr>
              <w:t>1.15</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133"/>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ind w:right="193"/>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196"/>
              <w:spacing w:after="0"/>
              <w:rPr>
                <w:sz w:val="20"/>
                <w:szCs w:val="20"/>
                <w:color w:val="auto"/>
              </w:rPr>
            </w:pPr>
            <w:r>
              <w:rPr>
                <w:rFonts w:ascii="Arial" w:cs="Arial" w:eastAsia="Arial" w:hAnsi="Arial"/>
                <w:sz w:val="18"/>
                <w:szCs w:val="18"/>
                <w:color w:val="auto"/>
              </w:rPr>
              <w:t>4.69</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ind w:right="73"/>
              <w:spacing w:after="0"/>
              <w:rPr>
                <w:sz w:val="20"/>
                <w:szCs w:val="20"/>
                <w:color w:val="auto"/>
              </w:rPr>
            </w:pPr>
            <w:r>
              <w:rPr>
                <w:rFonts w:ascii="Arial" w:cs="Arial" w:eastAsia="Arial" w:hAnsi="Arial"/>
                <w:sz w:val="18"/>
                <w:szCs w:val="18"/>
                <w:color w:val="auto"/>
              </w:rPr>
              <w:t>4.60</w:t>
            </w:r>
          </w:p>
        </w:tc>
        <w:tc>
          <w:tcPr>
            <w:tcW w:w="6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ind w:right="13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attributable to CME Group</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20"/>
              <w:spacing w:after="0"/>
              <w:rPr>
                <w:sz w:val="20"/>
                <w:szCs w:val="20"/>
                <w:color w:val="auto"/>
              </w:rPr>
            </w:pPr>
            <w:r>
              <w:rPr>
                <w:rFonts w:ascii="Arial" w:cs="Arial" w:eastAsia="Arial" w:hAnsi="Arial"/>
                <w:sz w:val="18"/>
                <w:szCs w:val="18"/>
                <w:color w:val="auto"/>
              </w:rPr>
              <w:t>Cash flows from operating activities</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6"/>
              <w:spacing w:after="0"/>
              <w:rPr>
                <w:sz w:val="20"/>
                <w:szCs w:val="20"/>
                <w:color w:val="auto"/>
              </w:rPr>
            </w:pPr>
            <w:r>
              <w:rPr>
                <w:rFonts w:ascii="Arial" w:cs="Arial" w:eastAsia="Arial" w:hAnsi="Arial"/>
                <w:sz w:val="18"/>
                <w:szCs w:val="18"/>
                <w:color w:val="auto"/>
              </w:rPr>
              <w:t>2,055.3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w w:val="86"/>
              </w:rPr>
              <w:t>1,953.1</w:t>
            </w:r>
          </w:p>
        </w:tc>
        <w:tc>
          <w:tcPr>
            <w:tcW w:w="60" w:type="dxa"/>
            <w:vAlign w:val="bottom"/>
          </w:tcPr>
          <w:p>
            <w:pPr>
              <w:spacing w:after="0"/>
              <w:rPr>
                <w:sz w:val="20"/>
                <w:szCs w:val="20"/>
                <w:color w:val="auto"/>
              </w:rPr>
            </w:pPr>
          </w:p>
        </w:tc>
        <w:tc>
          <w:tcPr>
            <w:tcW w:w="1300" w:type="dxa"/>
            <w:vAlign w:val="bottom"/>
          </w:tcPr>
          <w:p>
            <w:pPr>
              <w:jc w:val="right"/>
              <w:ind w:right="133"/>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23"/>
        </w:trPr>
        <w:tc>
          <w:tcPr>
            <w:tcW w:w="346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Quarter Ended</w:t>
            </w:r>
          </w:p>
        </w:tc>
        <w:tc>
          <w:tcPr>
            <w:tcW w:w="1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1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Nine Months Ended</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3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6"/>
          </w:tcPr>
          <w:p>
            <w:pPr>
              <w:jc w:val="right"/>
              <w:ind w:right="720"/>
              <w:spacing w:after="0"/>
              <w:rPr>
                <w:sz w:val="20"/>
                <w:szCs w:val="20"/>
                <w:color w:val="auto"/>
              </w:rPr>
            </w:pPr>
            <w:r>
              <w:rPr>
                <w:rFonts w:ascii="Arial" w:cs="Arial" w:eastAsia="Arial" w:hAnsi="Arial"/>
                <w:sz w:val="14"/>
                <w:szCs w:val="14"/>
                <w:b w:val="1"/>
                <w:bCs w:val="1"/>
                <w:color w:val="auto"/>
              </w:rPr>
              <w:t>September 30,</w:t>
            </w:r>
          </w:p>
        </w:tc>
        <w:tc>
          <w:tcPr>
            <w:tcW w:w="1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Change</w:t>
            </w:r>
          </w:p>
        </w:tc>
        <w:tc>
          <w:tcPr>
            <w:tcW w:w="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4"/>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Clearing and transaction fees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1,040.7</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3,054.4</w:t>
            </w:r>
          </w:p>
        </w:tc>
        <w:tc>
          <w:tcPr>
            <w:tcW w:w="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3,045.1</w:t>
            </w:r>
          </w:p>
        </w:tc>
        <w:tc>
          <w:tcPr>
            <w:tcW w:w="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3460" w:type="dxa"/>
            <w:vAlign w:val="bottom"/>
          </w:tcPr>
          <w:p>
            <w:pPr>
              <w:ind w:left="20"/>
              <w:spacing w:after="0"/>
              <w:rPr>
                <w:sz w:val="20"/>
                <w:szCs w:val="20"/>
                <w:color w:val="auto"/>
              </w:rPr>
            </w:pPr>
            <w:r>
              <w:rPr>
                <w:rFonts w:ascii="Arial" w:cs="Arial" w:eastAsia="Arial" w:hAnsi="Arial"/>
                <w:sz w:val="18"/>
                <w:szCs w:val="18"/>
                <w:color w:val="auto"/>
              </w:rPr>
              <w:t>Market data and information services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129.8</w:t>
            </w:r>
          </w:p>
        </w:tc>
        <w:tc>
          <w:tcPr>
            <w:tcW w:w="1300" w:type="dxa"/>
            <w:vAlign w:val="bottom"/>
          </w:tcPr>
          <w:p>
            <w:pPr>
              <w:jc w:val="right"/>
              <w:ind w:right="73"/>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405.6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388.2</w:t>
            </w:r>
          </w:p>
        </w:tc>
        <w:tc>
          <w:tcPr>
            <w:tcW w:w="60" w:type="dxa"/>
            <w:vAlign w:val="bottom"/>
          </w:tcPr>
          <w:p>
            <w:pPr>
              <w:spacing w:after="0"/>
              <w:rPr>
                <w:sz w:val="19"/>
                <w:szCs w:val="19"/>
                <w:color w:val="auto"/>
              </w:rPr>
            </w:pPr>
          </w:p>
        </w:tc>
        <w:tc>
          <w:tcPr>
            <w:tcW w:w="1300" w:type="dxa"/>
            <w:vAlign w:val="bottom"/>
          </w:tcPr>
          <w:p>
            <w:pPr>
              <w:jc w:val="right"/>
              <w:ind w:right="133"/>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106.8</w:t>
            </w:r>
          </w:p>
        </w:tc>
        <w:tc>
          <w:tcPr>
            <w:tcW w:w="13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296.3</w:t>
            </w:r>
          </w:p>
        </w:tc>
        <w:tc>
          <w:tcPr>
            <w:tcW w:w="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346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3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1,080.7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1,277.3</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3,785.1</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3,729.6</w:t>
            </w:r>
          </w:p>
        </w:tc>
        <w:tc>
          <w:tcPr>
            <w:tcW w:w="60" w:type="dxa"/>
            <w:vAlign w:val="bottom"/>
          </w:tcPr>
          <w:p>
            <w:pPr>
              <w:spacing w:after="0"/>
              <w:rPr>
                <w:sz w:val="19"/>
                <w:szCs w:val="19"/>
                <w:color w:val="auto"/>
              </w:rPr>
            </w:pPr>
          </w:p>
        </w:tc>
        <w:tc>
          <w:tcPr>
            <w:tcW w:w="1300" w:type="dxa"/>
            <w:vAlign w:val="bottom"/>
          </w:tcPr>
          <w:p>
            <w:pPr>
              <w:jc w:val="right"/>
              <w:ind w:right="13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Clearing and Transaction Fees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Futures and Options Contracts</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following table summarizes our total contract volume, revenue and average rate per contract for futures and options. Total contract volume includes contracts that are traded on our exchange and cleared through our clearing house and certain cleared-only contracts. Volume is measured in round turns, which is considered a completed transaction that involves a purchase and an offsetting sale of a contract. Average rate per contract is determined by dividing total clearing and transaction fees by total contract volume. Contract volume and average rate per contract disclosures exclude trading volume for the cash markets business and interest rate swaps volume.</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rPr>
              <w:t>Quarter Ended</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60" w:type="dxa"/>
            <w:vAlign w:val="bottom"/>
            <w:gridSpan w:val="3"/>
          </w:tcPr>
          <w:p>
            <w:pPr>
              <w:jc w:val="right"/>
              <w:ind w:right="475"/>
              <w:spacing w:after="0"/>
              <w:rPr>
                <w:sz w:val="20"/>
                <w:szCs w:val="20"/>
                <w:color w:val="auto"/>
              </w:rPr>
            </w:pPr>
            <w:r>
              <w:rPr>
                <w:rFonts w:ascii="Arial" w:cs="Arial" w:eastAsia="Arial" w:hAnsi="Arial"/>
                <w:sz w:val="14"/>
                <w:szCs w:val="14"/>
                <w:b w:val="1"/>
                <w:bCs w:val="1"/>
                <w:color w:val="auto"/>
              </w:rPr>
              <w:t>Nine Months Ended</w:t>
            </w:r>
          </w:p>
        </w:tc>
        <w:tc>
          <w:tcPr>
            <w:tcW w:w="1360" w:type="dxa"/>
            <w:vAlign w:val="bottom"/>
          </w:tcPr>
          <w:p>
            <w:pPr>
              <w:spacing w:after="0"/>
              <w:rPr>
                <w:sz w:val="14"/>
                <w:szCs w:val="14"/>
                <w:color w:val="auto"/>
              </w:rPr>
            </w:pPr>
          </w:p>
        </w:tc>
      </w:tr>
      <w:tr>
        <w:trPr>
          <w:trHeight w:val="186"/>
        </w:trPr>
        <w:tc>
          <w:tcPr>
            <w:tcW w:w="3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184"/>
        </w:trPr>
        <w:tc>
          <w:tcPr>
            <w:tcW w:w="37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w w:val="83"/>
              </w:rPr>
              <w:t>2019</w:t>
            </w: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CCEEFF"/>
            </w:tcBorders>
          </w:tcPr>
          <w:p>
            <w:pPr>
              <w:ind w:left="380"/>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w w:val="89"/>
              </w:rPr>
              <w:t>2019</w:t>
            </w:r>
          </w:p>
        </w:tc>
        <w:tc>
          <w:tcPr>
            <w:tcW w:w="136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Change</w:t>
            </w:r>
          </w:p>
        </w:tc>
      </w:tr>
      <w:tr>
        <w:trPr>
          <w:trHeight w:val="224"/>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contract volume (in millions)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998.6</w:t>
            </w:r>
          </w:p>
        </w:tc>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1,295.8</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ind w:left="780"/>
              <w:spacing w:after="0"/>
              <w:rPr>
                <w:sz w:val="20"/>
                <w:szCs w:val="20"/>
                <w:color w:val="auto"/>
              </w:rPr>
            </w:pPr>
            <w:r>
              <w:rPr>
                <w:rFonts w:ascii="Arial" w:cs="Arial" w:eastAsia="Arial" w:hAnsi="Arial"/>
                <w:sz w:val="18"/>
                <w:szCs w:val="18"/>
                <w:color w:val="auto"/>
                <w:w w:val="91"/>
              </w:rPr>
              <w:t>(23)%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3,782.2</w:t>
            </w: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3,750.2</w:t>
            </w:r>
          </w:p>
        </w:tc>
        <w:tc>
          <w:tcPr>
            <w:tcW w:w="1360" w:type="dxa"/>
            <w:vAlign w:val="bottom"/>
            <w:shd w:val="clear" w:color="auto" w:fill="CCEEFF"/>
          </w:tcPr>
          <w:p>
            <w:pPr>
              <w:ind w:left="1040"/>
              <w:spacing w:after="0"/>
              <w:rPr>
                <w:sz w:val="20"/>
                <w:szCs w:val="20"/>
                <w:color w:val="auto"/>
              </w:rPr>
            </w:pPr>
            <w:r>
              <w:rPr>
                <w:rFonts w:ascii="Arial" w:cs="Arial" w:eastAsia="Arial" w:hAnsi="Arial"/>
                <w:sz w:val="18"/>
                <w:szCs w:val="18"/>
                <w:color w:val="auto"/>
                <w:w w:val="96"/>
              </w:rPr>
              <w:t>1 %</w:t>
            </w: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Clearing and transaction fees (in millions)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9"/>
              <w:spacing w:after="0"/>
              <w:rPr>
                <w:sz w:val="20"/>
                <w:szCs w:val="20"/>
                <w:color w:val="auto"/>
              </w:rPr>
            </w:pPr>
            <w:r>
              <w:rPr>
                <w:rFonts w:ascii="Arial" w:cs="Arial" w:eastAsia="Arial" w:hAnsi="Arial"/>
                <w:sz w:val="18"/>
                <w:szCs w:val="18"/>
                <w:color w:val="auto"/>
              </w:rPr>
              <w:t>715.0</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898.2</w:t>
            </w:r>
          </w:p>
        </w:tc>
        <w:tc>
          <w:tcPr>
            <w:tcW w:w="100" w:type="dxa"/>
            <w:vAlign w:val="bottom"/>
          </w:tcPr>
          <w:p>
            <w:pPr>
              <w:spacing w:after="0"/>
              <w:rPr>
                <w:sz w:val="19"/>
                <w:szCs w:val="19"/>
                <w:color w:val="auto"/>
              </w:rPr>
            </w:pPr>
          </w:p>
        </w:tc>
        <w:tc>
          <w:tcPr>
            <w:tcW w:w="1240" w:type="dxa"/>
            <w:vAlign w:val="bottom"/>
          </w:tcPr>
          <w:p>
            <w:pPr>
              <w:ind w:left="780"/>
              <w:spacing w:after="0"/>
              <w:rPr>
                <w:sz w:val="20"/>
                <w:szCs w:val="20"/>
                <w:color w:val="auto"/>
              </w:rPr>
            </w:pPr>
            <w:r>
              <w:rPr>
                <w:rFonts w:ascii="Arial" w:cs="Arial" w:eastAsia="Arial" w:hAnsi="Arial"/>
                <w:sz w:val="18"/>
                <w:szCs w:val="18"/>
                <w:color w:val="auto"/>
              </w:rPr>
              <w:t>(20)</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
              <w:spacing w:after="0"/>
              <w:rPr>
                <w:sz w:val="20"/>
                <w:szCs w:val="20"/>
                <w:color w:val="auto"/>
              </w:rPr>
            </w:pPr>
            <w:r>
              <w:rPr>
                <w:rFonts w:ascii="Arial" w:cs="Arial" w:eastAsia="Arial" w:hAnsi="Arial"/>
                <w:sz w:val="18"/>
                <w:szCs w:val="18"/>
                <w:color w:val="auto"/>
              </w:rPr>
              <w:t>2,658.8</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2,622.8</w:t>
            </w:r>
          </w:p>
        </w:tc>
        <w:tc>
          <w:tcPr>
            <w:tcW w:w="1360" w:type="dxa"/>
            <w:vAlign w:val="bottom"/>
          </w:tcPr>
          <w:p>
            <w:pPr>
              <w:ind w:left="1040"/>
              <w:spacing w:after="0"/>
              <w:rPr>
                <w:sz w:val="20"/>
                <w:szCs w:val="20"/>
                <w:color w:val="auto"/>
              </w:rPr>
            </w:pPr>
            <w:r>
              <w:rPr>
                <w:rFonts w:ascii="Arial" w:cs="Arial" w:eastAsia="Arial" w:hAnsi="Arial"/>
                <w:sz w:val="18"/>
                <w:szCs w:val="18"/>
                <w:color w:val="auto"/>
              </w:rPr>
              <w:t>1</w:t>
            </w: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rate per contract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0.716</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0.693</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3</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0.703</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0.699</w:t>
            </w:r>
          </w:p>
        </w:tc>
        <w:tc>
          <w:tcPr>
            <w:tcW w:w="13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1</w:t>
            </w:r>
          </w:p>
        </w:tc>
      </w:tr>
    </w:tbl>
    <w:p>
      <w:pPr>
        <w:spacing w:after="0" w:line="202"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We estimate the following net changes in clearing and transaction fees based on changes in total contract volume and changes in average rate per contract for futures and options during the third quarter and first nine months of 2020 when compared with the same periods in 2019.</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20" w:type="dxa"/>
            <w:vAlign w:val="bottom"/>
          </w:tcPr>
          <w:p>
            <w:pPr>
              <w:spacing w:after="0"/>
              <w:rPr>
                <w:sz w:val="14"/>
                <w:szCs w:val="14"/>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Quarter Ended</w:t>
            </w:r>
          </w:p>
        </w:tc>
        <w:tc>
          <w:tcPr>
            <w:tcW w:w="140" w:type="dxa"/>
            <w:vAlign w:val="bottom"/>
          </w:tcPr>
          <w:p>
            <w:pPr>
              <w:spacing w:after="0"/>
              <w:rPr>
                <w:sz w:val="14"/>
                <w:szCs w:val="14"/>
                <w:color w:val="auto"/>
              </w:rPr>
            </w:pPr>
          </w:p>
        </w:tc>
        <w:tc>
          <w:tcPr>
            <w:tcW w:w="1020" w:type="dxa"/>
            <w:vAlign w:val="bottom"/>
          </w:tcPr>
          <w:p>
            <w:pPr>
              <w:jc w:val="right"/>
              <w:ind w:right="97"/>
              <w:spacing w:after="0"/>
              <w:rPr>
                <w:sz w:val="20"/>
                <w:szCs w:val="20"/>
                <w:color w:val="auto"/>
              </w:rPr>
            </w:pPr>
            <w:r>
              <w:rPr>
                <w:rFonts w:ascii="Arial" w:cs="Arial" w:eastAsia="Arial" w:hAnsi="Arial"/>
                <w:sz w:val="14"/>
                <w:szCs w:val="14"/>
                <w:b w:val="1"/>
                <w:bCs w:val="1"/>
                <w:color w:val="auto"/>
                <w:w w:val="97"/>
              </w:rPr>
              <w:t>Nine Months</w:t>
            </w:r>
          </w:p>
        </w:tc>
        <w:tc>
          <w:tcPr>
            <w:tcW w:w="0" w:type="dxa"/>
            <w:vAlign w:val="bottom"/>
          </w:tcPr>
          <w:p>
            <w:pPr>
              <w:spacing w:after="0"/>
              <w:rPr>
                <w:sz w:val="1"/>
                <w:szCs w:val="1"/>
                <w:color w:val="auto"/>
              </w:rPr>
            </w:pPr>
          </w:p>
        </w:tc>
      </w:tr>
      <w:tr>
        <w:trPr>
          <w:trHeight w:val="188"/>
        </w:trPr>
        <w:tc>
          <w:tcPr>
            <w:tcW w:w="8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224"/>
        </w:trPr>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(decrease) due to changes in total contract volume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29"/>
        </w:trPr>
        <w:tc>
          <w:tcPr>
            <w:tcW w:w="8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Increases due to changes in average rate per contract</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23"/>
        </w:trPr>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(decrease) in clearing and transaction fees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Average rate per contract is impacted by our rate structure, including volume-based incentives; product mix; trading venue, and the percentage of volume executed by customers who are members compared with non-member customers. Due to the relationship between average rate per contract and contract volume, the change in clearing and transaction fees attributable to changes in each is only an approximation.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Volume</w:t>
      </w:r>
    </w:p>
    <w:p>
      <w:pPr>
        <w:spacing w:after="0" w:line="11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table summarizes average daily contract volume. Contract volume can be influenced by many factors, including political and economic conditions, the regulatory environment and market competition.</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2140" w:type="dxa"/>
            <w:vAlign w:val="bottom"/>
            <w:gridSpan w:val="3"/>
          </w:tcPr>
          <w:p>
            <w:pPr>
              <w:jc w:val="right"/>
              <w:ind w:right="531"/>
              <w:spacing w:after="0"/>
              <w:rPr>
                <w:sz w:val="20"/>
                <w:szCs w:val="20"/>
                <w:color w:val="auto"/>
              </w:rPr>
            </w:pPr>
            <w:r>
              <w:rPr>
                <w:rFonts w:ascii="Arial" w:cs="Arial" w:eastAsia="Arial" w:hAnsi="Arial"/>
                <w:sz w:val="14"/>
                <w:szCs w:val="14"/>
                <w:b w:val="1"/>
                <w:bCs w:val="1"/>
                <w:color w:val="auto"/>
              </w:rPr>
              <w:t>Quarter Ended</w:t>
            </w:r>
          </w:p>
        </w:tc>
        <w:tc>
          <w:tcPr>
            <w:tcW w:w="1140" w:type="dxa"/>
            <w:vAlign w:val="bottom"/>
          </w:tcPr>
          <w:p>
            <w:pPr>
              <w:spacing w:after="0"/>
              <w:rPr>
                <w:sz w:val="14"/>
                <w:szCs w:val="14"/>
                <w:color w:val="auto"/>
              </w:rPr>
            </w:pPr>
          </w:p>
        </w:tc>
        <w:tc>
          <w:tcPr>
            <w:tcW w:w="2160" w:type="dxa"/>
            <w:vAlign w:val="bottom"/>
            <w:gridSpan w:val="3"/>
          </w:tcPr>
          <w:p>
            <w:pPr>
              <w:jc w:val="right"/>
              <w:ind w:right="391"/>
              <w:spacing w:after="0"/>
              <w:rPr>
                <w:sz w:val="20"/>
                <w:szCs w:val="20"/>
                <w:color w:val="auto"/>
              </w:rPr>
            </w:pPr>
            <w:r>
              <w:rPr>
                <w:rFonts w:ascii="Arial" w:cs="Arial" w:eastAsia="Arial" w:hAnsi="Arial"/>
                <w:sz w:val="14"/>
                <w:szCs w:val="14"/>
                <w:b w:val="1"/>
                <w:bCs w:val="1"/>
                <w:color w:val="auto"/>
              </w:rPr>
              <w:t>Nine Months Ended</w:t>
            </w:r>
          </w:p>
        </w:tc>
        <w:tc>
          <w:tcPr>
            <w:tcW w:w="1020" w:type="dxa"/>
            <w:vAlign w:val="bottom"/>
          </w:tcPr>
          <w:p>
            <w:pPr>
              <w:spacing w:after="0"/>
              <w:rPr>
                <w:sz w:val="14"/>
                <w:szCs w:val="14"/>
                <w:color w:val="auto"/>
              </w:rPr>
            </w:pPr>
          </w:p>
        </w:tc>
      </w:tr>
      <w:tr>
        <w:trPr>
          <w:trHeight w:val="186"/>
        </w:trPr>
        <w:tc>
          <w:tcPr>
            <w:tcW w:w="4780" w:type="dxa"/>
            <w:vAlign w:val="bottom"/>
          </w:tcPr>
          <w:p>
            <w:pPr>
              <w:spacing w:after="0"/>
              <w:rPr>
                <w:sz w:val="16"/>
                <w:szCs w:val="16"/>
                <w:color w:val="auto"/>
              </w:rPr>
            </w:pPr>
          </w:p>
        </w:tc>
        <w:tc>
          <w:tcPr>
            <w:tcW w:w="2140" w:type="dxa"/>
            <w:vAlign w:val="bottom"/>
            <w:tcBorders>
              <w:bottom w:val="single" w:sz="8" w:color="auto"/>
            </w:tcBorders>
            <w:gridSpan w:val="3"/>
          </w:tcPr>
          <w:p>
            <w:pPr>
              <w:jc w:val="right"/>
              <w:ind w:right="551"/>
              <w:spacing w:after="0"/>
              <w:rPr>
                <w:sz w:val="20"/>
                <w:szCs w:val="20"/>
                <w:color w:val="auto"/>
              </w:rPr>
            </w:pPr>
            <w:r>
              <w:rPr>
                <w:rFonts w:ascii="Arial" w:cs="Arial" w:eastAsia="Arial" w:hAnsi="Arial"/>
                <w:sz w:val="14"/>
                <w:szCs w:val="14"/>
                <w:b w:val="1"/>
                <w:bCs w:val="1"/>
                <w:color w:val="auto"/>
              </w:rPr>
              <w:t>September 30,</w:t>
            </w:r>
          </w:p>
        </w:tc>
        <w:tc>
          <w:tcPr>
            <w:tcW w:w="1140" w:type="dxa"/>
            <w:vAlign w:val="bottom"/>
          </w:tcPr>
          <w:p>
            <w:pPr>
              <w:spacing w:after="0"/>
              <w:rPr>
                <w:sz w:val="16"/>
                <w:szCs w:val="16"/>
                <w:color w:val="auto"/>
              </w:rPr>
            </w:pPr>
          </w:p>
        </w:tc>
        <w:tc>
          <w:tcPr>
            <w:tcW w:w="2160" w:type="dxa"/>
            <w:vAlign w:val="bottom"/>
            <w:tcBorders>
              <w:bottom w:val="single" w:sz="8" w:color="auto"/>
            </w:tcBorders>
            <w:gridSpan w:val="3"/>
          </w:tcPr>
          <w:p>
            <w:pPr>
              <w:jc w:val="right"/>
              <w:ind w:right="551"/>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Pr>
          <w:p>
            <w:pPr>
              <w:spacing w:after="0"/>
              <w:rPr>
                <w:sz w:val="16"/>
                <w:szCs w:val="16"/>
                <w:color w:val="auto"/>
              </w:rPr>
            </w:pPr>
          </w:p>
        </w:tc>
      </w:tr>
      <w:tr>
        <w:trPr>
          <w:trHeight w:val="184"/>
        </w:trPr>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(amounts in thousands)</w:t>
            </w:r>
          </w:p>
        </w:tc>
        <w:tc>
          <w:tcPr>
            <w:tcW w:w="10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2019</w:t>
            </w:r>
          </w:p>
        </w:tc>
        <w:tc>
          <w:tcPr>
            <w:tcW w:w="11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Change</w:t>
            </w:r>
          </w:p>
        </w:tc>
        <w:tc>
          <w:tcPr>
            <w:tcW w:w="10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2019</w:t>
            </w:r>
          </w:p>
        </w:tc>
        <w:tc>
          <w:tcPr>
            <w:tcW w:w="10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Change</w:t>
            </w:r>
          </w:p>
        </w:tc>
      </w:tr>
      <w:tr>
        <w:trPr>
          <w:trHeight w:val="224"/>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Average Daily Volume by Product Line:</w:t>
            </w: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Interest rates</w:t>
            </w:r>
          </w:p>
        </w:tc>
        <w:tc>
          <w:tcPr>
            <w:tcW w:w="1000" w:type="dxa"/>
            <w:vAlign w:val="bottom"/>
          </w:tcPr>
          <w:p>
            <w:pPr>
              <w:jc w:val="right"/>
              <w:ind w:right="134"/>
              <w:spacing w:after="0"/>
              <w:rPr>
                <w:sz w:val="20"/>
                <w:szCs w:val="20"/>
                <w:color w:val="auto"/>
              </w:rPr>
            </w:pPr>
            <w:r>
              <w:rPr>
                <w:rFonts w:ascii="Arial" w:cs="Arial" w:eastAsia="Arial" w:hAnsi="Arial"/>
                <w:sz w:val="18"/>
                <w:szCs w:val="18"/>
                <w:color w:val="auto"/>
              </w:rPr>
              <w:t>5,315</w:t>
            </w:r>
          </w:p>
        </w:tc>
        <w:tc>
          <w:tcPr>
            <w:tcW w:w="12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10,868</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(51)%</w:t>
            </w:r>
          </w:p>
        </w:tc>
        <w:tc>
          <w:tcPr>
            <w:tcW w:w="1040" w:type="dxa"/>
            <w:vAlign w:val="bottom"/>
          </w:tcPr>
          <w:p>
            <w:pPr>
              <w:jc w:val="right"/>
              <w:ind w:right="134"/>
              <w:spacing w:after="0"/>
              <w:rPr>
                <w:sz w:val="20"/>
                <w:szCs w:val="20"/>
                <w:color w:val="auto"/>
              </w:rPr>
            </w:pPr>
            <w:r>
              <w:rPr>
                <w:rFonts w:ascii="Arial" w:cs="Arial" w:eastAsia="Arial" w:hAnsi="Arial"/>
                <w:sz w:val="18"/>
                <w:szCs w:val="18"/>
                <w:color w:val="auto"/>
              </w:rPr>
              <w:t>8,628</w:t>
            </w:r>
          </w:p>
        </w:tc>
        <w:tc>
          <w:tcPr>
            <w:tcW w:w="10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10,931</w:t>
            </w:r>
          </w:p>
        </w:tc>
        <w:tc>
          <w:tcPr>
            <w:tcW w:w="10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indexes</w:t>
            </w:r>
          </w:p>
        </w:tc>
        <w:tc>
          <w:tcPr>
            <w:tcW w:w="10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5,410</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3,931</w:t>
            </w:r>
          </w:p>
        </w:tc>
        <w:tc>
          <w:tcPr>
            <w:tcW w:w="11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38</w:t>
            </w:r>
          </w:p>
        </w:tc>
        <w:tc>
          <w:tcPr>
            <w:tcW w:w="10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5,820</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3,530</w:t>
            </w: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65</w:t>
            </w: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Foreign exchange</w:t>
            </w:r>
          </w:p>
        </w:tc>
        <w:tc>
          <w:tcPr>
            <w:tcW w:w="1000" w:type="dxa"/>
            <w:vAlign w:val="bottom"/>
          </w:tcPr>
          <w:p>
            <w:pPr>
              <w:jc w:val="right"/>
              <w:ind w:right="134"/>
              <w:spacing w:after="0"/>
              <w:rPr>
                <w:sz w:val="20"/>
                <w:szCs w:val="20"/>
                <w:color w:val="auto"/>
              </w:rPr>
            </w:pPr>
            <w:r>
              <w:rPr>
                <w:rFonts w:ascii="Arial" w:cs="Arial" w:eastAsia="Arial" w:hAnsi="Arial"/>
                <w:sz w:val="18"/>
                <w:szCs w:val="18"/>
                <w:color w:val="auto"/>
              </w:rPr>
              <w:t>829</w:t>
            </w:r>
          </w:p>
        </w:tc>
        <w:tc>
          <w:tcPr>
            <w:tcW w:w="12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851</w:t>
            </w:r>
          </w:p>
        </w:tc>
        <w:tc>
          <w:tcPr>
            <w:tcW w:w="1140" w:type="dxa"/>
            <w:vAlign w:val="bottom"/>
          </w:tcPr>
          <w:p>
            <w:pPr>
              <w:jc w:val="right"/>
              <w:ind w:right="212"/>
              <w:spacing w:after="0"/>
              <w:rPr>
                <w:sz w:val="20"/>
                <w:szCs w:val="20"/>
                <w:color w:val="auto"/>
              </w:rPr>
            </w:pPr>
            <w:r>
              <w:rPr>
                <w:rFonts w:ascii="Arial" w:cs="Arial" w:eastAsia="Arial" w:hAnsi="Arial"/>
                <w:sz w:val="18"/>
                <w:szCs w:val="18"/>
                <w:color w:val="auto"/>
              </w:rPr>
              <w:t>(3)</w:t>
            </w:r>
          </w:p>
        </w:tc>
        <w:tc>
          <w:tcPr>
            <w:tcW w:w="1040" w:type="dxa"/>
            <w:vAlign w:val="bottom"/>
          </w:tcPr>
          <w:p>
            <w:pPr>
              <w:jc w:val="right"/>
              <w:ind w:right="134"/>
              <w:spacing w:after="0"/>
              <w:rPr>
                <w:sz w:val="20"/>
                <w:szCs w:val="20"/>
                <w:color w:val="auto"/>
              </w:rPr>
            </w:pPr>
            <w:r>
              <w:rPr>
                <w:rFonts w:ascii="Arial" w:cs="Arial" w:eastAsia="Arial" w:hAnsi="Arial"/>
                <w:sz w:val="18"/>
                <w:szCs w:val="18"/>
                <w:color w:val="auto"/>
              </w:rPr>
              <w:t>876</w:t>
            </w:r>
          </w:p>
        </w:tc>
        <w:tc>
          <w:tcPr>
            <w:tcW w:w="10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869</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1</w:t>
            </w: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Agricultural commodities</w:t>
            </w:r>
          </w:p>
        </w:tc>
        <w:tc>
          <w:tcPr>
            <w:tcW w:w="10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1,372</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1,320</w:t>
            </w:r>
          </w:p>
        </w:tc>
        <w:tc>
          <w:tcPr>
            <w:tcW w:w="11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4</w:t>
            </w:r>
          </w:p>
        </w:tc>
        <w:tc>
          <w:tcPr>
            <w:tcW w:w="10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1,396</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1,514</w:t>
            </w:r>
          </w:p>
        </w:tc>
        <w:tc>
          <w:tcPr>
            <w:tcW w:w="10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(8)</w:t>
            </w: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Energy</w:t>
            </w:r>
          </w:p>
        </w:tc>
        <w:tc>
          <w:tcPr>
            <w:tcW w:w="1000" w:type="dxa"/>
            <w:vAlign w:val="bottom"/>
          </w:tcPr>
          <w:p>
            <w:pPr>
              <w:jc w:val="right"/>
              <w:ind w:right="134"/>
              <w:spacing w:after="0"/>
              <w:rPr>
                <w:sz w:val="20"/>
                <w:szCs w:val="20"/>
                <w:color w:val="auto"/>
              </w:rPr>
            </w:pPr>
            <w:r>
              <w:rPr>
                <w:rFonts w:ascii="Arial" w:cs="Arial" w:eastAsia="Arial" w:hAnsi="Arial"/>
                <w:sz w:val="18"/>
                <w:szCs w:val="18"/>
                <w:color w:val="auto"/>
              </w:rPr>
              <w:t>1,852</w:t>
            </w:r>
          </w:p>
        </w:tc>
        <w:tc>
          <w:tcPr>
            <w:tcW w:w="12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2,456</w:t>
            </w:r>
          </w:p>
        </w:tc>
        <w:tc>
          <w:tcPr>
            <w:tcW w:w="1140" w:type="dxa"/>
            <w:vAlign w:val="bottom"/>
          </w:tcPr>
          <w:p>
            <w:pPr>
              <w:jc w:val="right"/>
              <w:ind w:right="212"/>
              <w:spacing w:after="0"/>
              <w:rPr>
                <w:sz w:val="20"/>
                <w:szCs w:val="20"/>
                <w:color w:val="auto"/>
              </w:rPr>
            </w:pPr>
            <w:r>
              <w:rPr>
                <w:rFonts w:ascii="Arial" w:cs="Arial" w:eastAsia="Arial" w:hAnsi="Arial"/>
                <w:sz w:val="18"/>
                <w:szCs w:val="18"/>
                <w:color w:val="auto"/>
              </w:rPr>
              <w:t>(25)</w:t>
            </w:r>
          </w:p>
        </w:tc>
        <w:tc>
          <w:tcPr>
            <w:tcW w:w="1040" w:type="dxa"/>
            <w:vAlign w:val="bottom"/>
          </w:tcPr>
          <w:p>
            <w:pPr>
              <w:jc w:val="right"/>
              <w:ind w:right="134"/>
              <w:spacing w:after="0"/>
              <w:rPr>
                <w:sz w:val="20"/>
                <w:szCs w:val="20"/>
                <w:color w:val="auto"/>
              </w:rPr>
            </w:pPr>
            <w:r>
              <w:rPr>
                <w:rFonts w:ascii="Arial" w:cs="Arial" w:eastAsia="Arial" w:hAnsi="Arial"/>
                <w:sz w:val="18"/>
                <w:szCs w:val="18"/>
                <w:color w:val="auto"/>
              </w:rPr>
              <w:t>2,548</w:t>
            </w:r>
          </w:p>
        </w:tc>
        <w:tc>
          <w:tcPr>
            <w:tcW w:w="10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2,430</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5</w:t>
            </w: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Metals</w:t>
            </w:r>
          </w:p>
        </w:tc>
        <w:tc>
          <w:tcPr>
            <w:tcW w:w="10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825</w:t>
            </w:r>
          </w:p>
        </w:tc>
        <w:tc>
          <w:tcPr>
            <w:tcW w:w="1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821</w:t>
            </w:r>
          </w:p>
        </w:tc>
        <w:tc>
          <w:tcPr>
            <w:tcW w:w="11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1</w:t>
            </w:r>
          </w:p>
        </w:tc>
        <w:tc>
          <w:tcPr>
            <w:tcW w:w="10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744</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674</w:t>
            </w: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w:t>
            </w:r>
          </w:p>
        </w:tc>
      </w:tr>
      <w:tr>
        <w:trPr>
          <w:trHeight w:val="223"/>
        </w:trPr>
        <w:tc>
          <w:tcPr>
            <w:tcW w:w="4780" w:type="dxa"/>
            <w:vAlign w:val="bottom"/>
          </w:tcPr>
          <w:p>
            <w:pPr>
              <w:ind w:left="20"/>
              <w:spacing w:after="0"/>
              <w:rPr>
                <w:sz w:val="20"/>
                <w:szCs w:val="20"/>
                <w:color w:val="auto"/>
              </w:rPr>
            </w:pPr>
            <w:r>
              <w:rPr>
                <w:rFonts w:ascii="Arial" w:cs="Arial" w:eastAsia="Arial" w:hAnsi="Arial"/>
                <w:sz w:val="18"/>
                <w:szCs w:val="18"/>
                <w:color w:val="auto"/>
              </w:rPr>
              <w:t>Aggregate average daily volume</w:t>
            </w:r>
          </w:p>
        </w:tc>
        <w:tc>
          <w:tcPr>
            <w:tcW w:w="1000" w:type="dxa"/>
            <w:vAlign w:val="bottom"/>
          </w:tcPr>
          <w:p>
            <w:pPr>
              <w:jc w:val="right"/>
              <w:ind w:right="134"/>
              <w:spacing w:after="0"/>
              <w:rPr>
                <w:sz w:val="20"/>
                <w:szCs w:val="20"/>
                <w:color w:val="auto"/>
              </w:rPr>
            </w:pPr>
            <w:r>
              <w:rPr>
                <w:rFonts w:ascii="Arial" w:cs="Arial" w:eastAsia="Arial" w:hAnsi="Arial"/>
                <w:sz w:val="18"/>
                <w:szCs w:val="18"/>
                <w:color w:val="auto"/>
              </w:rPr>
              <w:t>15,603</w:t>
            </w:r>
          </w:p>
        </w:tc>
        <w:tc>
          <w:tcPr>
            <w:tcW w:w="12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20,247</w:t>
            </w:r>
          </w:p>
        </w:tc>
        <w:tc>
          <w:tcPr>
            <w:tcW w:w="1140" w:type="dxa"/>
            <w:vAlign w:val="bottom"/>
          </w:tcPr>
          <w:p>
            <w:pPr>
              <w:jc w:val="right"/>
              <w:ind w:right="212"/>
              <w:spacing w:after="0"/>
              <w:rPr>
                <w:sz w:val="20"/>
                <w:szCs w:val="20"/>
                <w:color w:val="auto"/>
              </w:rPr>
            </w:pPr>
            <w:r>
              <w:rPr>
                <w:rFonts w:ascii="Arial" w:cs="Arial" w:eastAsia="Arial" w:hAnsi="Arial"/>
                <w:sz w:val="18"/>
                <w:szCs w:val="18"/>
                <w:color w:val="auto"/>
              </w:rPr>
              <w:t>(23)</w:t>
            </w:r>
          </w:p>
        </w:tc>
        <w:tc>
          <w:tcPr>
            <w:tcW w:w="1040" w:type="dxa"/>
            <w:vAlign w:val="bottom"/>
          </w:tcPr>
          <w:p>
            <w:pPr>
              <w:jc w:val="right"/>
              <w:ind w:right="134"/>
              <w:spacing w:after="0"/>
              <w:rPr>
                <w:sz w:val="20"/>
                <w:szCs w:val="20"/>
                <w:color w:val="auto"/>
              </w:rPr>
            </w:pPr>
            <w:r>
              <w:rPr>
                <w:rFonts w:ascii="Arial" w:cs="Arial" w:eastAsia="Arial" w:hAnsi="Arial"/>
                <w:sz w:val="18"/>
                <w:szCs w:val="18"/>
                <w:color w:val="auto"/>
              </w:rPr>
              <w:t>20,012</w:t>
            </w:r>
          </w:p>
        </w:tc>
        <w:tc>
          <w:tcPr>
            <w:tcW w:w="10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19,948</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Average Daily Volume by Venue:</w:t>
            </w: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CME Globex</w:t>
            </w:r>
          </w:p>
        </w:tc>
        <w:tc>
          <w:tcPr>
            <w:tcW w:w="1000" w:type="dxa"/>
            <w:vAlign w:val="bottom"/>
          </w:tcPr>
          <w:p>
            <w:pPr>
              <w:jc w:val="right"/>
              <w:ind w:right="134"/>
              <w:spacing w:after="0"/>
              <w:rPr>
                <w:sz w:val="20"/>
                <w:szCs w:val="20"/>
                <w:color w:val="auto"/>
              </w:rPr>
            </w:pPr>
            <w:r>
              <w:rPr>
                <w:rFonts w:ascii="Arial" w:cs="Arial" w:eastAsia="Arial" w:hAnsi="Arial"/>
                <w:sz w:val="18"/>
                <w:szCs w:val="18"/>
                <w:color w:val="auto"/>
              </w:rPr>
              <w:t>15,054</w:t>
            </w:r>
          </w:p>
        </w:tc>
        <w:tc>
          <w:tcPr>
            <w:tcW w:w="12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18,282</w:t>
            </w:r>
          </w:p>
        </w:tc>
        <w:tc>
          <w:tcPr>
            <w:tcW w:w="1140" w:type="dxa"/>
            <w:vAlign w:val="bottom"/>
          </w:tcPr>
          <w:p>
            <w:pPr>
              <w:jc w:val="right"/>
              <w:ind w:right="212"/>
              <w:spacing w:after="0"/>
              <w:rPr>
                <w:sz w:val="20"/>
                <w:szCs w:val="20"/>
                <w:color w:val="auto"/>
              </w:rPr>
            </w:pPr>
            <w:r>
              <w:rPr>
                <w:rFonts w:ascii="Arial" w:cs="Arial" w:eastAsia="Arial" w:hAnsi="Arial"/>
                <w:sz w:val="18"/>
                <w:szCs w:val="18"/>
                <w:color w:val="auto"/>
              </w:rPr>
              <w:t>(18)</w:t>
            </w:r>
          </w:p>
        </w:tc>
        <w:tc>
          <w:tcPr>
            <w:tcW w:w="1040" w:type="dxa"/>
            <w:vAlign w:val="bottom"/>
          </w:tcPr>
          <w:p>
            <w:pPr>
              <w:jc w:val="right"/>
              <w:ind w:right="134"/>
              <w:spacing w:after="0"/>
              <w:rPr>
                <w:sz w:val="20"/>
                <w:szCs w:val="20"/>
                <w:color w:val="auto"/>
              </w:rPr>
            </w:pPr>
            <w:r>
              <w:rPr>
                <w:rFonts w:ascii="Arial" w:cs="Arial" w:eastAsia="Arial" w:hAnsi="Arial"/>
                <w:sz w:val="18"/>
                <w:szCs w:val="18"/>
                <w:color w:val="auto"/>
              </w:rPr>
              <w:t>18,826</w:t>
            </w:r>
          </w:p>
        </w:tc>
        <w:tc>
          <w:tcPr>
            <w:tcW w:w="10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17,803</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6</w:t>
            </w: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Open outcry</w:t>
            </w:r>
          </w:p>
        </w:tc>
        <w:tc>
          <w:tcPr>
            <w:tcW w:w="10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1,177</w:t>
            </w:r>
          </w:p>
        </w:tc>
        <w:tc>
          <w:tcPr>
            <w:tcW w:w="11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(91)</w:t>
            </w:r>
          </w:p>
        </w:tc>
        <w:tc>
          <w:tcPr>
            <w:tcW w:w="10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457</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1,320</w:t>
            </w:r>
          </w:p>
        </w:tc>
        <w:tc>
          <w:tcPr>
            <w:tcW w:w="10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(65)</w:t>
            </w:r>
          </w:p>
        </w:tc>
      </w:tr>
      <w:tr>
        <w:trPr>
          <w:trHeight w:val="230"/>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Privately negotiated</w:t>
            </w:r>
          </w:p>
        </w:tc>
        <w:tc>
          <w:tcPr>
            <w:tcW w:w="10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441</w:t>
            </w: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788</w:t>
            </w:r>
          </w:p>
        </w:tc>
        <w:tc>
          <w:tcPr>
            <w:tcW w:w="1140" w:type="dxa"/>
            <w:vAlign w:val="bottom"/>
            <w:tcBorders>
              <w:bottom w:val="single" w:sz="8" w:color="CCEEFF"/>
            </w:tcBorders>
          </w:tcPr>
          <w:p>
            <w:pPr>
              <w:jc w:val="right"/>
              <w:ind w:right="212"/>
              <w:spacing w:after="0"/>
              <w:rPr>
                <w:sz w:val="20"/>
                <w:szCs w:val="20"/>
                <w:color w:val="auto"/>
              </w:rPr>
            </w:pPr>
            <w:r>
              <w:rPr>
                <w:rFonts w:ascii="Arial" w:cs="Arial" w:eastAsia="Arial" w:hAnsi="Arial"/>
                <w:sz w:val="18"/>
                <w:szCs w:val="18"/>
                <w:color w:val="auto"/>
              </w:rPr>
              <w:t>(44)</w:t>
            </w:r>
          </w:p>
        </w:tc>
        <w:tc>
          <w:tcPr>
            <w:tcW w:w="10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729</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825</w:t>
            </w:r>
          </w:p>
        </w:tc>
        <w:tc>
          <w:tcPr>
            <w:tcW w:w="1020" w:type="dxa"/>
            <w:vAlign w:val="bottom"/>
            <w:tcBorders>
              <w:bottom w:val="single" w:sz="8" w:color="CCEEFF"/>
            </w:tcBorders>
          </w:tcPr>
          <w:p>
            <w:pPr>
              <w:jc w:val="right"/>
              <w:ind w:right="92"/>
              <w:spacing w:after="0"/>
              <w:rPr>
                <w:sz w:val="20"/>
                <w:szCs w:val="20"/>
                <w:color w:val="auto"/>
              </w:rPr>
            </w:pPr>
            <w:r>
              <w:rPr>
                <w:rFonts w:ascii="Arial" w:cs="Arial" w:eastAsia="Arial" w:hAnsi="Arial"/>
                <w:sz w:val="18"/>
                <w:szCs w:val="18"/>
                <w:color w:val="auto"/>
              </w:rPr>
              <w:t>(12)</w:t>
            </w:r>
          </w:p>
        </w:tc>
      </w:tr>
      <w:tr>
        <w:trPr>
          <w:trHeight w:val="223"/>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Aggregate average daily volume</w:t>
            </w:r>
          </w:p>
        </w:tc>
        <w:tc>
          <w:tcPr>
            <w:tcW w:w="10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15,603</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20,247</w:t>
            </w:r>
          </w:p>
        </w:tc>
        <w:tc>
          <w:tcPr>
            <w:tcW w:w="11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(23)</w:t>
            </w:r>
          </w:p>
        </w:tc>
        <w:tc>
          <w:tcPr>
            <w:tcW w:w="10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20,012</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19,948</w:t>
            </w: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Electronic Volume as a Percentage of Total Volume</w:t>
            </w:r>
          </w:p>
        </w:tc>
        <w:tc>
          <w:tcPr>
            <w:tcW w:w="1000" w:type="dxa"/>
            <w:vAlign w:val="bottom"/>
          </w:tcPr>
          <w:p>
            <w:pPr>
              <w:jc w:val="right"/>
              <w:spacing w:after="0"/>
              <w:rPr>
                <w:sz w:val="20"/>
                <w:szCs w:val="20"/>
                <w:color w:val="auto"/>
              </w:rPr>
            </w:pPr>
            <w:r>
              <w:rPr>
                <w:rFonts w:ascii="Arial" w:cs="Arial" w:eastAsia="Arial" w:hAnsi="Arial"/>
                <w:sz w:val="18"/>
                <w:szCs w:val="18"/>
                <w:color w:val="auto"/>
              </w:rPr>
              <w:t>96 %</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90 %</w:t>
            </w:r>
          </w:p>
        </w:tc>
        <w:tc>
          <w:tcPr>
            <w:tcW w:w="1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94 %</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89 %</w:t>
            </w:r>
          </w:p>
        </w:tc>
        <w:tc>
          <w:tcPr>
            <w:tcW w:w="1020" w:type="dxa"/>
            <w:vAlign w:val="bottom"/>
          </w:tcPr>
          <w:p>
            <w:pPr>
              <w:spacing w:after="0"/>
              <w:rPr>
                <w:sz w:val="20"/>
                <w:szCs w:val="20"/>
                <w:color w:val="auto"/>
              </w:rPr>
            </w:pPr>
          </w:p>
        </w:tc>
      </w:tr>
    </w:tbl>
    <w:p>
      <w:pPr>
        <w:spacing w:after="0" w:line="20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Overall market volatility declined throughout the third quarter of 2020 following periods of very high volatility in the first quarter of 2020. During the first quarter, the Federal Reserve made the unexpected decision to lower the federal funds rate due to the economic concerns from the COVID-19 pandemic, which resulted in significant volatility within the financial and equity markets. During the third quarter of 2020, interest rate volatility subsided following indication by the Federal Reserve that it does not intend to raise interest rates in the foreseeable future. In addition, heightened producer price competition within the oil markets combined with lower energy demands during the COVID-19 pandemic resulted in significant market volatility within the energy market during the first quarter of 2020. However, volatility subsided in the third quarter as oil prices stabilized and demand for crude oil remained low. We believe these factors led to the changes in volume during the third quarter and first nine months of 2020, when compared with the same periods in 2019.</w:t>
      </w:r>
    </w:p>
    <w:p>
      <w:pPr>
        <w:spacing w:after="0" w:line="5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Following the Illinois stay at home orders in March 2020, we closed the trading floor in Chicago. We began a limited re-opening of the trading floor in the third quarter of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Products</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summarizes average daily contract volume for our key interest rate products. Eurodollar Front 8 futures include contracts expiring in two years or less. Eurodollar Back 32 futures include contracts with expirations after two years through ten years.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6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320" w:type="dxa"/>
            <w:vAlign w:val="bottom"/>
            <w:gridSpan w:val="2"/>
          </w:tcPr>
          <w:p>
            <w:pPr>
              <w:jc w:val="right"/>
              <w:ind w:right="472"/>
              <w:spacing w:after="0"/>
              <w:rPr>
                <w:sz w:val="20"/>
                <w:szCs w:val="20"/>
                <w:color w:val="auto"/>
              </w:rPr>
            </w:pPr>
            <w:r>
              <w:rPr>
                <w:rFonts w:ascii="Arial" w:cs="Arial" w:eastAsia="Arial" w:hAnsi="Arial"/>
                <w:sz w:val="14"/>
                <w:szCs w:val="14"/>
                <w:b w:val="1"/>
                <w:bCs w:val="1"/>
                <w:color w:val="auto"/>
              </w:rPr>
              <w:t>Nine Months Ended</w:t>
            </w:r>
          </w:p>
        </w:tc>
        <w:tc>
          <w:tcPr>
            <w:tcW w:w="1360" w:type="dxa"/>
            <w:vAlign w:val="bottom"/>
          </w:tcPr>
          <w:p>
            <w:pPr>
              <w:spacing w:after="0"/>
              <w:rPr>
                <w:sz w:val="14"/>
                <w:szCs w:val="14"/>
                <w:color w:val="auto"/>
              </w:rPr>
            </w:pPr>
          </w:p>
        </w:tc>
      </w:tr>
      <w:tr>
        <w:trPr>
          <w:trHeight w:val="186"/>
        </w:trPr>
        <w:tc>
          <w:tcPr>
            <w:tcW w:w="3820" w:type="dxa"/>
            <w:vAlign w:val="bottom"/>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16"/>
                <w:szCs w:val="16"/>
                <w:color w:val="auto"/>
              </w:rPr>
            </w:pPr>
          </w:p>
        </w:tc>
        <w:tc>
          <w:tcPr>
            <w:tcW w:w="1460" w:type="dxa"/>
            <w:vAlign w:val="bottom"/>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184"/>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(amounts in thousands)</w:t>
            </w:r>
          </w:p>
        </w:tc>
        <w:tc>
          <w:tcPr>
            <w:tcW w:w="1600" w:type="dxa"/>
            <w:vAlign w:val="bottom"/>
            <w:tcBorders>
              <w:bottom w:val="single" w:sz="8" w:color="auto"/>
            </w:tcBorders>
          </w:tcPr>
          <w:p>
            <w:pPr>
              <w:jc w:val="right"/>
              <w:ind w:right="835"/>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w w:val="83"/>
              </w:rPr>
              <w:t>2019</w:t>
            </w:r>
          </w:p>
        </w:tc>
        <w:tc>
          <w:tcPr>
            <w:tcW w:w="146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Change</w:t>
            </w:r>
          </w:p>
        </w:tc>
        <w:tc>
          <w:tcPr>
            <w:tcW w:w="1620" w:type="dxa"/>
            <w:vAlign w:val="bottom"/>
            <w:tcBorders>
              <w:bottom w:val="single" w:sz="8" w:color="auto"/>
            </w:tcBorders>
          </w:tcPr>
          <w:p>
            <w:pPr>
              <w:jc w:val="right"/>
              <w:ind w:right="835"/>
              <w:spacing w:after="0"/>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83"/>
              </w:rPr>
              <w:t>2019</w:t>
            </w:r>
          </w:p>
        </w:tc>
        <w:tc>
          <w:tcPr>
            <w:tcW w:w="136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Change</w:t>
            </w:r>
          </w:p>
        </w:tc>
      </w:tr>
      <w:tr>
        <w:trPr>
          <w:trHeight w:val="224"/>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Eurodollar futures and options:</w:t>
            </w:r>
          </w:p>
        </w:tc>
        <w:tc>
          <w:tcPr>
            <w:tcW w:w="16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3820" w:type="dxa"/>
            <w:vAlign w:val="bottom"/>
          </w:tcPr>
          <w:p>
            <w:pPr>
              <w:ind w:left="340"/>
              <w:spacing w:after="0"/>
              <w:rPr>
                <w:sz w:val="20"/>
                <w:szCs w:val="20"/>
                <w:color w:val="auto"/>
              </w:rPr>
            </w:pPr>
            <w:r>
              <w:rPr>
                <w:rFonts w:ascii="Arial" w:cs="Arial" w:eastAsia="Arial" w:hAnsi="Arial"/>
                <w:sz w:val="18"/>
                <w:szCs w:val="18"/>
                <w:color w:val="auto"/>
              </w:rPr>
              <w:t>Front 8 futures</w:t>
            </w:r>
          </w:p>
        </w:tc>
        <w:tc>
          <w:tcPr>
            <w:tcW w:w="1600" w:type="dxa"/>
            <w:vAlign w:val="bottom"/>
          </w:tcPr>
          <w:p>
            <w:pPr>
              <w:jc w:val="right"/>
              <w:ind w:right="495"/>
              <w:spacing w:after="0"/>
              <w:rPr>
                <w:sz w:val="20"/>
                <w:szCs w:val="20"/>
                <w:color w:val="auto"/>
              </w:rPr>
            </w:pPr>
            <w:r>
              <w:rPr>
                <w:rFonts w:ascii="Arial" w:cs="Arial" w:eastAsia="Arial" w:hAnsi="Arial"/>
                <w:sz w:val="18"/>
                <w:szCs w:val="18"/>
                <w:color w:val="auto"/>
              </w:rPr>
              <w:t>741</w:t>
            </w:r>
          </w:p>
        </w:tc>
        <w:tc>
          <w:tcPr>
            <w:tcW w:w="680" w:type="dxa"/>
            <w:vAlign w:val="bottom"/>
          </w:tcPr>
          <w:p>
            <w:pPr>
              <w:jc w:val="right"/>
              <w:spacing w:after="0"/>
              <w:rPr>
                <w:sz w:val="20"/>
                <w:szCs w:val="20"/>
                <w:color w:val="auto"/>
              </w:rPr>
            </w:pPr>
            <w:r>
              <w:rPr>
                <w:rFonts w:ascii="Arial" w:cs="Arial" w:eastAsia="Arial" w:hAnsi="Arial"/>
                <w:sz w:val="18"/>
                <w:szCs w:val="18"/>
                <w:color w:val="auto"/>
              </w:rPr>
              <w:t>2,077</w:t>
            </w:r>
          </w:p>
        </w:tc>
        <w:tc>
          <w:tcPr>
            <w:tcW w:w="1460" w:type="dxa"/>
            <w:vAlign w:val="bottom"/>
          </w:tcPr>
          <w:p>
            <w:pPr>
              <w:ind w:left="880"/>
              <w:spacing w:after="0"/>
              <w:rPr>
                <w:sz w:val="20"/>
                <w:szCs w:val="20"/>
                <w:color w:val="auto"/>
              </w:rPr>
            </w:pPr>
            <w:r>
              <w:rPr>
                <w:rFonts w:ascii="Arial" w:cs="Arial" w:eastAsia="Arial" w:hAnsi="Arial"/>
                <w:sz w:val="18"/>
                <w:szCs w:val="18"/>
                <w:color w:val="auto"/>
              </w:rPr>
              <w:t>(64)%</w:t>
            </w:r>
          </w:p>
        </w:tc>
        <w:tc>
          <w:tcPr>
            <w:tcW w:w="1620" w:type="dxa"/>
            <w:vAlign w:val="bottom"/>
          </w:tcPr>
          <w:p>
            <w:pPr>
              <w:jc w:val="right"/>
              <w:ind w:right="515"/>
              <w:spacing w:after="0"/>
              <w:rPr>
                <w:sz w:val="20"/>
                <w:szCs w:val="20"/>
                <w:color w:val="auto"/>
              </w:rPr>
            </w:pPr>
            <w:r>
              <w:rPr>
                <w:rFonts w:ascii="Arial" w:cs="Arial" w:eastAsia="Arial" w:hAnsi="Arial"/>
                <w:sz w:val="18"/>
                <w:szCs w:val="18"/>
                <w:color w:val="auto"/>
              </w:rPr>
              <w:t>1,479</w:t>
            </w:r>
          </w:p>
        </w:tc>
        <w:tc>
          <w:tcPr>
            <w:tcW w:w="700" w:type="dxa"/>
            <w:vAlign w:val="bottom"/>
          </w:tcPr>
          <w:p>
            <w:pPr>
              <w:jc w:val="right"/>
              <w:spacing w:after="0"/>
              <w:rPr>
                <w:sz w:val="20"/>
                <w:szCs w:val="20"/>
                <w:color w:val="auto"/>
              </w:rPr>
            </w:pPr>
            <w:r>
              <w:rPr>
                <w:rFonts w:ascii="Arial" w:cs="Arial" w:eastAsia="Arial" w:hAnsi="Arial"/>
                <w:sz w:val="18"/>
                <w:szCs w:val="18"/>
                <w:color w:val="auto"/>
              </w:rPr>
              <w:t>2,193</w:t>
            </w:r>
          </w:p>
        </w:tc>
        <w:tc>
          <w:tcPr>
            <w:tcW w:w="1360" w:type="dxa"/>
            <w:vAlign w:val="bottom"/>
          </w:tcPr>
          <w:p>
            <w:pPr>
              <w:ind w:left="880"/>
              <w:spacing w:after="0"/>
              <w:rPr>
                <w:sz w:val="20"/>
                <w:szCs w:val="20"/>
                <w:color w:val="auto"/>
              </w:rPr>
            </w:pPr>
            <w:r>
              <w:rPr>
                <w:rFonts w:ascii="Arial" w:cs="Arial" w:eastAsia="Arial" w:hAnsi="Arial"/>
                <w:sz w:val="18"/>
                <w:szCs w:val="18"/>
                <w:color w:val="auto"/>
                <w:w w:val="95"/>
              </w:rPr>
              <w:t>(33)%</w:t>
            </w:r>
          </w:p>
        </w:tc>
      </w:tr>
      <w:tr>
        <w:trPr>
          <w:trHeight w:val="229"/>
        </w:trPr>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Back 32 futures</w:t>
            </w:r>
          </w:p>
        </w:tc>
        <w:tc>
          <w:tcPr>
            <w:tcW w:w="1600" w:type="dxa"/>
            <w:vAlign w:val="bottom"/>
            <w:shd w:val="clear" w:color="auto" w:fill="CCEEFF"/>
          </w:tcPr>
          <w:p>
            <w:pPr>
              <w:jc w:val="right"/>
              <w:ind w:right="495"/>
              <w:spacing w:after="0"/>
              <w:rPr>
                <w:sz w:val="20"/>
                <w:szCs w:val="20"/>
                <w:color w:val="auto"/>
              </w:rPr>
            </w:pPr>
            <w:r>
              <w:rPr>
                <w:rFonts w:ascii="Arial" w:cs="Arial" w:eastAsia="Arial" w:hAnsi="Arial"/>
                <w:sz w:val="18"/>
                <w:szCs w:val="18"/>
                <w:color w:val="auto"/>
              </w:rPr>
              <w:t>457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4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(34)</w:t>
            </w:r>
          </w:p>
        </w:tc>
        <w:tc>
          <w:tcPr>
            <w:tcW w:w="162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rPr>
              <w:t>623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(13)</w:t>
            </w:r>
          </w:p>
        </w:tc>
      </w:tr>
      <w:tr>
        <w:trPr>
          <w:trHeight w:val="230"/>
        </w:trPr>
        <w:tc>
          <w:tcPr>
            <w:tcW w:w="3820" w:type="dxa"/>
            <w:vAlign w:val="bottom"/>
          </w:tcPr>
          <w:p>
            <w:pPr>
              <w:ind w:left="340"/>
              <w:spacing w:after="0"/>
              <w:rPr>
                <w:sz w:val="20"/>
                <w:szCs w:val="20"/>
                <w:color w:val="auto"/>
              </w:rPr>
            </w:pPr>
            <w:r>
              <w:rPr>
                <w:rFonts w:ascii="Arial" w:cs="Arial" w:eastAsia="Arial" w:hAnsi="Arial"/>
                <w:sz w:val="18"/>
                <w:szCs w:val="18"/>
                <w:color w:val="auto"/>
              </w:rPr>
              <w:t>Options</w:t>
            </w:r>
          </w:p>
        </w:tc>
        <w:tc>
          <w:tcPr>
            <w:tcW w:w="1600" w:type="dxa"/>
            <w:vAlign w:val="bottom"/>
          </w:tcPr>
          <w:p>
            <w:pPr>
              <w:jc w:val="right"/>
              <w:ind w:right="495"/>
              <w:spacing w:after="0"/>
              <w:rPr>
                <w:sz w:val="20"/>
                <w:szCs w:val="20"/>
                <w:color w:val="auto"/>
              </w:rPr>
            </w:pPr>
            <w:r>
              <w:rPr>
                <w:rFonts w:ascii="Arial" w:cs="Arial" w:eastAsia="Arial" w:hAnsi="Arial"/>
                <w:sz w:val="18"/>
                <w:szCs w:val="18"/>
                <w:color w:val="auto"/>
              </w:rPr>
              <w:t>422</w:t>
            </w:r>
          </w:p>
        </w:tc>
        <w:tc>
          <w:tcPr>
            <w:tcW w:w="680" w:type="dxa"/>
            <w:vAlign w:val="bottom"/>
          </w:tcPr>
          <w:p>
            <w:pPr>
              <w:jc w:val="right"/>
              <w:spacing w:after="0"/>
              <w:rPr>
                <w:sz w:val="20"/>
                <w:szCs w:val="20"/>
                <w:color w:val="auto"/>
              </w:rPr>
            </w:pPr>
            <w:r>
              <w:rPr>
                <w:rFonts w:ascii="Arial" w:cs="Arial" w:eastAsia="Arial" w:hAnsi="Arial"/>
                <w:sz w:val="18"/>
                <w:szCs w:val="18"/>
                <w:color w:val="auto"/>
              </w:rPr>
              <w:t>1,633</w:t>
            </w:r>
          </w:p>
        </w:tc>
        <w:tc>
          <w:tcPr>
            <w:tcW w:w="1460" w:type="dxa"/>
            <w:vAlign w:val="bottom"/>
          </w:tcPr>
          <w:p>
            <w:pPr>
              <w:ind w:left="880"/>
              <w:spacing w:after="0"/>
              <w:rPr>
                <w:sz w:val="20"/>
                <w:szCs w:val="20"/>
                <w:color w:val="auto"/>
              </w:rPr>
            </w:pPr>
            <w:r>
              <w:rPr>
                <w:rFonts w:ascii="Arial" w:cs="Arial" w:eastAsia="Arial" w:hAnsi="Arial"/>
                <w:sz w:val="18"/>
                <w:szCs w:val="18"/>
                <w:color w:val="auto"/>
              </w:rPr>
              <w:t>(74)</w:t>
            </w:r>
          </w:p>
        </w:tc>
        <w:tc>
          <w:tcPr>
            <w:tcW w:w="1620" w:type="dxa"/>
            <w:vAlign w:val="bottom"/>
          </w:tcPr>
          <w:p>
            <w:pPr>
              <w:jc w:val="right"/>
              <w:ind w:right="515"/>
              <w:spacing w:after="0"/>
              <w:rPr>
                <w:sz w:val="20"/>
                <w:szCs w:val="20"/>
                <w:color w:val="auto"/>
              </w:rPr>
            </w:pPr>
            <w:r>
              <w:rPr>
                <w:rFonts w:ascii="Arial" w:cs="Arial" w:eastAsia="Arial" w:hAnsi="Arial"/>
                <w:sz w:val="18"/>
                <w:szCs w:val="18"/>
                <w:color w:val="auto"/>
              </w:rPr>
              <w:t>1,254</w:t>
            </w:r>
          </w:p>
        </w:tc>
        <w:tc>
          <w:tcPr>
            <w:tcW w:w="700" w:type="dxa"/>
            <w:vAlign w:val="bottom"/>
          </w:tcPr>
          <w:p>
            <w:pPr>
              <w:jc w:val="right"/>
              <w:spacing w:after="0"/>
              <w:rPr>
                <w:sz w:val="20"/>
                <w:szCs w:val="20"/>
                <w:color w:val="auto"/>
              </w:rPr>
            </w:pPr>
            <w:r>
              <w:rPr>
                <w:rFonts w:ascii="Arial" w:cs="Arial" w:eastAsia="Arial" w:hAnsi="Arial"/>
                <w:sz w:val="18"/>
                <w:szCs w:val="18"/>
                <w:color w:val="auto"/>
              </w:rPr>
              <w:t>1,861</w:t>
            </w:r>
          </w:p>
        </w:tc>
        <w:tc>
          <w:tcPr>
            <w:tcW w:w="1360" w:type="dxa"/>
            <w:vAlign w:val="bottom"/>
          </w:tcPr>
          <w:p>
            <w:pPr>
              <w:ind w:left="880"/>
              <w:spacing w:after="0"/>
              <w:rPr>
                <w:sz w:val="20"/>
                <w:szCs w:val="20"/>
                <w:color w:val="auto"/>
              </w:rPr>
            </w:pPr>
            <w:r>
              <w:rPr>
                <w:rFonts w:ascii="Arial" w:cs="Arial" w:eastAsia="Arial" w:hAnsi="Arial"/>
                <w:sz w:val="18"/>
                <w:szCs w:val="18"/>
                <w:color w:val="auto"/>
              </w:rPr>
              <w:t>(33)</w:t>
            </w:r>
          </w:p>
        </w:tc>
      </w:tr>
      <w:tr>
        <w:trPr>
          <w:trHeight w:val="229"/>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futures and options:</w:t>
            </w:r>
          </w:p>
        </w:tc>
        <w:tc>
          <w:tcPr>
            <w:tcW w:w="16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3820" w:type="dxa"/>
            <w:vAlign w:val="bottom"/>
          </w:tcPr>
          <w:p>
            <w:pPr>
              <w:ind w:left="340"/>
              <w:spacing w:after="0"/>
              <w:rPr>
                <w:sz w:val="20"/>
                <w:szCs w:val="20"/>
                <w:color w:val="auto"/>
              </w:rPr>
            </w:pPr>
            <w:r>
              <w:rPr>
                <w:rFonts w:ascii="Arial" w:cs="Arial" w:eastAsia="Arial" w:hAnsi="Arial"/>
                <w:sz w:val="18"/>
                <w:szCs w:val="18"/>
                <w:color w:val="auto"/>
              </w:rPr>
              <w:t>10-Year</w:t>
            </w:r>
          </w:p>
        </w:tc>
        <w:tc>
          <w:tcPr>
            <w:tcW w:w="1600" w:type="dxa"/>
            <w:vAlign w:val="bottom"/>
          </w:tcPr>
          <w:p>
            <w:pPr>
              <w:jc w:val="right"/>
              <w:ind w:right="495"/>
              <w:spacing w:after="0"/>
              <w:rPr>
                <w:sz w:val="20"/>
                <w:szCs w:val="20"/>
                <w:color w:val="auto"/>
              </w:rPr>
            </w:pPr>
            <w:r>
              <w:rPr>
                <w:rFonts w:ascii="Arial" w:cs="Arial" w:eastAsia="Arial" w:hAnsi="Arial"/>
                <w:sz w:val="18"/>
                <w:szCs w:val="18"/>
                <w:color w:val="auto"/>
              </w:rPr>
              <w:t>1,462</w:t>
            </w:r>
          </w:p>
        </w:tc>
        <w:tc>
          <w:tcPr>
            <w:tcW w:w="680" w:type="dxa"/>
            <w:vAlign w:val="bottom"/>
          </w:tcPr>
          <w:p>
            <w:pPr>
              <w:jc w:val="right"/>
              <w:spacing w:after="0"/>
              <w:rPr>
                <w:sz w:val="20"/>
                <w:szCs w:val="20"/>
                <w:color w:val="auto"/>
              </w:rPr>
            </w:pPr>
            <w:r>
              <w:rPr>
                <w:rFonts w:ascii="Arial" w:cs="Arial" w:eastAsia="Arial" w:hAnsi="Arial"/>
                <w:sz w:val="18"/>
                <w:szCs w:val="18"/>
                <w:color w:val="auto"/>
              </w:rPr>
              <w:t>2,462</w:t>
            </w:r>
          </w:p>
        </w:tc>
        <w:tc>
          <w:tcPr>
            <w:tcW w:w="1460" w:type="dxa"/>
            <w:vAlign w:val="bottom"/>
          </w:tcPr>
          <w:p>
            <w:pPr>
              <w:ind w:left="880"/>
              <w:spacing w:after="0"/>
              <w:rPr>
                <w:sz w:val="20"/>
                <w:szCs w:val="20"/>
                <w:color w:val="auto"/>
              </w:rPr>
            </w:pPr>
            <w:r>
              <w:rPr>
                <w:rFonts w:ascii="Arial" w:cs="Arial" w:eastAsia="Arial" w:hAnsi="Arial"/>
                <w:sz w:val="18"/>
                <w:szCs w:val="18"/>
                <w:color w:val="auto"/>
              </w:rPr>
              <w:t>(41)</w:t>
            </w:r>
          </w:p>
        </w:tc>
        <w:tc>
          <w:tcPr>
            <w:tcW w:w="1620" w:type="dxa"/>
            <w:vAlign w:val="bottom"/>
          </w:tcPr>
          <w:p>
            <w:pPr>
              <w:jc w:val="right"/>
              <w:ind w:right="515"/>
              <w:spacing w:after="0"/>
              <w:rPr>
                <w:sz w:val="20"/>
                <w:szCs w:val="20"/>
                <w:color w:val="auto"/>
              </w:rPr>
            </w:pPr>
            <w:r>
              <w:rPr>
                <w:rFonts w:ascii="Arial" w:cs="Arial" w:eastAsia="Arial" w:hAnsi="Arial"/>
                <w:sz w:val="18"/>
                <w:szCs w:val="18"/>
                <w:color w:val="auto"/>
              </w:rPr>
              <w:t>2,093</w:t>
            </w:r>
          </w:p>
        </w:tc>
        <w:tc>
          <w:tcPr>
            <w:tcW w:w="700" w:type="dxa"/>
            <w:vAlign w:val="bottom"/>
          </w:tcPr>
          <w:p>
            <w:pPr>
              <w:jc w:val="right"/>
              <w:spacing w:after="0"/>
              <w:rPr>
                <w:sz w:val="20"/>
                <w:szCs w:val="20"/>
                <w:color w:val="auto"/>
              </w:rPr>
            </w:pPr>
            <w:r>
              <w:rPr>
                <w:rFonts w:ascii="Arial" w:cs="Arial" w:eastAsia="Arial" w:hAnsi="Arial"/>
                <w:sz w:val="18"/>
                <w:szCs w:val="18"/>
                <w:color w:val="auto"/>
              </w:rPr>
              <w:t>2,368</w:t>
            </w:r>
          </w:p>
        </w:tc>
        <w:tc>
          <w:tcPr>
            <w:tcW w:w="1360" w:type="dxa"/>
            <w:vAlign w:val="bottom"/>
          </w:tcPr>
          <w:p>
            <w:pPr>
              <w:ind w:left="880"/>
              <w:spacing w:after="0"/>
              <w:rPr>
                <w:sz w:val="20"/>
                <w:szCs w:val="20"/>
                <w:color w:val="auto"/>
              </w:rPr>
            </w:pPr>
            <w:r>
              <w:rPr>
                <w:rFonts w:ascii="Arial" w:cs="Arial" w:eastAsia="Arial" w:hAnsi="Arial"/>
                <w:sz w:val="18"/>
                <w:szCs w:val="18"/>
                <w:color w:val="auto"/>
              </w:rPr>
              <w:t>(12)</w:t>
            </w:r>
          </w:p>
        </w:tc>
      </w:tr>
      <w:tr>
        <w:trPr>
          <w:trHeight w:val="229"/>
        </w:trPr>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5-Year</w:t>
            </w:r>
          </w:p>
        </w:tc>
        <w:tc>
          <w:tcPr>
            <w:tcW w:w="1600" w:type="dxa"/>
            <w:vAlign w:val="bottom"/>
            <w:shd w:val="clear" w:color="auto" w:fill="CCEEFF"/>
          </w:tcPr>
          <w:p>
            <w:pPr>
              <w:jc w:val="right"/>
              <w:ind w:right="495"/>
              <w:spacing w:after="0"/>
              <w:rPr>
                <w:sz w:val="20"/>
                <w:szCs w:val="20"/>
                <w:color w:val="auto"/>
              </w:rPr>
            </w:pPr>
            <w:r>
              <w:rPr>
                <w:rFonts w:ascii="Arial" w:cs="Arial" w:eastAsia="Arial" w:hAnsi="Arial"/>
                <w:sz w:val="18"/>
                <w:szCs w:val="18"/>
                <w:color w:val="auto"/>
              </w:rPr>
              <w:t>777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w:t>
            </w:r>
          </w:p>
        </w:tc>
        <w:tc>
          <w:tcPr>
            <w:tcW w:w="14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(45)</w:t>
            </w:r>
          </w:p>
        </w:tc>
        <w:tc>
          <w:tcPr>
            <w:tcW w:w="162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rPr>
              <w:t>1,146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1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(19)</w:t>
            </w:r>
          </w:p>
        </w:tc>
      </w:tr>
      <w:tr>
        <w:trPr>
          <w:trHeight w:val="229"/>
        </w:trPr>
        <w:tc>
          <w:tcPr>
            <w:tcW w:w="3820" w:type="dxa"/>
            <w:vAlign w:val="bottom"/>
          </w:tcPr>
          <w:p>
            <w:pPr>
              <w:ind w:left="340"/>
              <w:spacing w:after="0"/>
              <w:rPr>
                <w:sz w:val="20"/>
                <w:szCs w:val="20"/>
                <w:color w:val="auto"/>
              </w:rPr>
            </w:pPr>
            <w:r>
              <w:rPr>
                <w:rFonts w:ascii="Arial" w:cs="Arial" w:eastAsia="Arial" w:hAnsi="Arial"/>
                <w:sz w:val="18"/>
                <w:szCs w:val="18"/>
                <w:color w:val="auto"/>
              </w:rPr>
              <w:t>2-Year</w:t>
            </w:r>
          </w:p>
        </w:tc>
        <w:tc>
          <w:tcPr>
            <w:tcW w:w="1600" w:type="dxa"/>
            <w:vAlign w:val="bottom"/>
          </w:tcPr>
          <w:p>
            <w:pPr>
              <w:jc w:val="right"/>
              <w:ind w:right="495"/>
              <w:spacing w:after="0"/>
              <w:rPr>
                <w:sz w:val="20"/>
                <w:szCs w:val="20"/>
                <w:color w:val="auto"/>
              </w:rPr>
            </w:pPr>
            <w:r>
              <w:rPr>
                <w:rFonts w:ascii="Arial" w:cs="Arial" w:eastAsia="Arial" w:hAnsi="Arial"/>
                <w:sz w:val="18"/>
                <w:szCs w:val="18"/>
                <w:color w:val="auto"/>
              </w:rPr>
              <w:t>347</w:t>
            </w:r>
          </w:p>
        </w:tc>
        <w:tc>
          <w:tcPr>
            <w:tcW w:w="680" w:type="dxa"/>
            <w:vAlign w:val="bottom"/>
          </w:tcPr>
          <w:p>
            <w:pPr>
              <w:jc w:val="right"/>
              <w:spacing w:after="0"/>
              <w:rPr>
                <w:sz w:val="20"/>
                <w:szCs w:val="20"/>
                <w:color w:val="auto"/>
              </w:rPr>
            </w:pPr>
            <w:r>
              <w:rPr>
                <w:rFonts w:ascii="Arial" w:cs="Arial" w:eastAsia="Arial" w:hAnsi="Arial"/>
                <w:sz w:val="18"/>
                <w:szCs w:val="18"/>
                <w:color w:val="auto"/>
              </w:rPr>
              <w:t>785</w:t>
            </w:r>
          </w:p>
        </w:tc>
        <w:tc>
          <w:tcPr>
            <w:tcW w:w="1460" w:type="dxa"/>
            <w:vAlign w:val="bottom"/>
          </w:tcPr>
          <w:p>
            <w:pPr>
              <w:ind w:left="880"/>
              <w:spacing w:after="0"/>
              <w:rPr>
                <w:sz w:val="20"/>
                <w:szCs w:val="20"/>
                <w:color w:val="auto"/>
              </w:rPr>
            </w:pPr>
            <w:r>
              <w:rPr>
                <w:rFonts w:ascii="Arial" w:cs="Arial" w:eastAsia="Arial" w:hAnsi="Arial"/>
                <w:sz w:val="18"/>
                <w:szCs w:val="18"/>
                <w:color w:val="auto"/>
              </w:rPr>
              <w:t>(56)</w:t>
            </w:r>
          </w:p>
        </w:tc>
        <w:tc>
          <w:tcPr>
            <w:tcW w:w="1620" w:type="dxa"/>
            <w:vAlign w:val="bottom"/>
          </w:tcPr>
          <w:p>
            <w:pPr>
              <w:jc w:val="right"/>
              <w:ind w:right="515"/>
              <w:spacing w:after="0"/>
              <w:rPr>
                <w:sz w:val="20"/>
                <w:szCs w:val="20"/>
                <w:color w:val="auto"/>
              </w:rPr>
            </w:pPr>
            <w:r>
              <w:rPr>
                <w:rFonts w:ascii="Arial" w:cs="Arial" w:eastAsia="Arial" w:hAnsi="Arial"/>
                <w:sz w:val="18"/>
                <w:szCs w:val="18"/>
                <w:color w:val="auto"/>
              </w:rPr>
              <w:t>583</w:t>
            </w:r>
          </w:p>
        </w:tc>
        <w:tc>
          <w:tcPr>
            <w:tcW w:w="700" w:type="dxa"/>
            <w:vAlign w:val="bottom"/>
          </w:tcPr>
          <w:p>
            <w:pPr>
              <w:jc w:val="right"/>
              <w:spacing w:after="0"/>
              <w:rPr>
                <w:sz w:val="20"/>
                <w:szCs w:val="20"/>
                <w:color w:val="auto"/>
              </w:rPr>
            </w:pPr>
            <w:r>
              <w:rPr>
                <w:rFonts w:ascii="Arial" w:cs="Arial" w:eastAsia="Arial" w:hAnsi="Arial"/>
                <w:sz w:val="18"/>
                <w:szCs w:val="18"/>
                <w:color w:val="auto"/>
              </w:rPr>
              <w:t>754</w:t>
            </w:r>
          </w:p>
        </w:tc>
        <w:tc>
          <w:tcPr>
            <w:tcW w:w="1360" w:type="dxa"/>
            <w:vAlign w:val="bottom"/>
          </w:tcPr>
          <w:p>
            <w:pPr>
              <w:ind w:left="880"/>
              <w:spacing w:after="0"/>
              <w:rPr>
                <w:sz w:val="20"/>
                <w:szCs w:val="20"/>
                <w:color w:val="auto"/>
              </w:rPr>
            </w:pPr>
            <w:r>
              <w:rPr>
                <w:rFonts w:ascii="Arial" w:cs="Arial" w:eastAsia="Arial" w:hAnsi="Arial"/>
                <w:sz w:val="18"/>
                <w:szCs w:val="18"/>
                <w:color w:val="auto"/>
              </w:rPr>
              <w:t>(23)</w:t>
            </w:r>
          </w:p>
        </w:tc>
      </w:tr>
      <w:tr>
        <w:trPr>
          <w:trHeight w:val="230"/>
        </w:trPr>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Treasury bond</w:t>
            </w:r>
          </w:p>
        </w:tc>
        <w:tc>
          <w:tcPr>
            <w:tcW w:w="1600" w:type="dxa"/>
            <w:vAlign w:val="bottom"/>
            <w:shd w:val="clear" w:color="auto" w:fill="CCEEFF"/>
          </w:tcPr>
          <w:p>
            <w:pPr>
              <w:jc w:val="right"/>
              <w:ind w:right="495"/>
              <w:spacing w:after="0"/>
              <w:rPr>
                <w:sz w:val="20"/>
                <w:szCs w:val="20"/>
                <w:color w:val="auto"/>
              </w:rPr>
            </w:pPr>
            <w:r>
              <w:rPr>
                <w:rFonts w:ascii="Arial" w:cs="Arial" w:eastAsia="Arial" w:hAnsi="Arial"/>
                <w:sz w:val="18"/>
                <w:szCs w:val="18"/>
                <w:color w:val="auto"/>
              </w:rPr>
              <w:t>422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4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(20)</w:t>
            </w:r>
          </w:p>
        </w:tc>
        <w:tc>
          <w:tcPr>
            <w:tcW w:w="162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rPr>
              <w:t>471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36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Federal Funds futures and options</w:t>
            </w:r>
          </w:p>
        </w:tc>
        <w:tc>
          <w:tcPr>
            <w:tcW w:w="1600" w:type="dxa"/>
            <w:vAlign w:val="bottom"/>
          </w:tcPr>
          <w:p>
            <w:pPr>
              <w:jc w:val="right"/>
              <w:ind w:right="495"/>
              <w:spacing w:after="0"/>
              <w:rPr>
                <w:sz w:val="20"/>
                <w:szCs w:val="20"/>
                <w:color w:val="auto"/>
              </w:rPr>
            </w:pPr>
            <w:r>
              <w:rPr>
                <w:rFonts w:ascii="Arial" w:cs="Arial" w:eastAsia="Arial" w:hAnsi="Arial"/>
                <w:sz w:val="18"/>
                <w:szCs w:val="18"/>
                <w:color w:val="auto"/>
              </w:rPr>
              <w:t>87</w:t>
            </w:r>
          </w:p>
        </w:tc>
        <w:tc>
          <w:tcPr>
            <w:tcW w:w="680" w:type="dxa"/>
            <w:vAlign w:val="bottom"/>
          </w:tcPr>
          <w:p>
            <w:pPr>
              <w:jc w:val="right"/>
              <w:spacing w:after="0"/>
              <w:rPr>
                <w:sz w:val="20"/>
                <w:szCs w:val="20"/>
                <w:color w:val="auto"/>
              </w:rPr>
            </w:pPr>
            <w:r>
              <w:rPr>
                <w:rFonts w:ascii="Arial" w:cs="Arial" w:eastAsia="Arial" w:hAnsi="Arial"/>
                <w:sz w:val="18"/>
                <w:szCs w:val="18"/>
                <w:color w:val="auto"/>
              </w:rPr>
              <w:t>450</w:t>
            </w:r>
          </w:p>
        </w:tc>
        <w:tc>
          <w:tcPr>
            <w:tcW w:w="1460" w:type="dxa"/>
            <w:vAlign w:val="bottom"/>
          </w:tcPr>
          <w:p>
            <w:pPr>
              <w:ind w:left="880"/>
              <w:spacing w:after="0"/>
              <w:rPr>
                <w:sz w:val="20"/>
                <w:szCs w:val="20"/>
                <w:color w:val="auto"/>
              </w:rPr>
            </w:pPr>
            <w:r>
              <w:rPr>
                <w:rFonts w:ascii="Arial" w:cs="Arial" w:eastAsia="Arial" w:hAnsi="Arial"/>
                <w:sz w:val="18"/>
                <w:szCs w:val="18"/>
                <w:color w:val="auto"/>
              </w:rPr>
              <w:t>(81)</w:t>
            </w:r>
          </w:p>
        </w:tc>
        <w:tc>
          <w:tcPr>
            <w:tcW w:w="1620" w:type="dxa"/>
            <w:vAlign w:val="bottom"/>
          </w:tcPr>
          <w:p>
            <w:pPr>
              <w:jc w:val="right"/>
              <w:ind w:right="515"/>
              <w:spacing w:after="0"/>
              <w:rPr>
                <w:sz w:val="20"/>
                <w:szCs w:val="20"/>
                <w:color w:val="auto"/>
              </w:rPr>
            </w:pPr>
            <w:r>
              <w:rPr>
                <w:rFonts w:ascii="Arial" w:cs="Arial" w:eastAsia="Arial" w:hAnsi="Arial"/>
                <w:sz w:val="18"/>
                <w:szCs w:val="18"/>
                <w:color w:val="auto"/>
              </w:rPr>
              <w:t>256</w:t>
            </w:r>
          </w:p>
        </w:tc>
        <w:tc>
          <w:tcPr>
            <w:tcW w:w="700" w:type="dxa"/>
            <w:vAlign w:val="bottom"/>
          </w:tcPr>
          <w:p>
            <w:pPr>
              <w:jc w:val="right"/>
              <w:spacing w:after="0"/>
              <w:rPr>
                <w:sz w:val="20"/>
                <w:szCs w:val="20"/>
                <w:color w:val="auto"/>
              </w:rPr>
            </w:pPr>
            <w:r>
              <w:rPr>
                <w:rFonts w:ascii="Arial" w:cs="Arial" w:eastAsia="Arial" w:hAnsi="Arial"/>
                <w:sz w:val="18"/>
                <w:szCs w:val="18"/>
                <w:color w:val="auto"/>
              </w:rPr>
              <w:t>387</w:t>
            </w:r>
          </w:p>
        </w:tc>
        <w:tc>
          <w:tcPr>
            <w:tcW w:w="1360" w:type="dxa"/>
            <w:vAlign w:val="bottom"/>
          </w:tcPr>
          <w:p>
            <w:pPr>
              <w:ind w:left="880"/>
              <w:spacing w:after="0"/>
              <w:rPr>
                <w:sz w:val="20"/>
                <w:szCs w:val="20"/>
                <w:color w:val="auto"/>
              </w:rPr>
            </w:pPr>
            <w:r>
              <w:rPr>
                <w:rFonts w:ascii="Arial" w:cs="Arial" w:eastAsia="Arial" w:hAnsi="Arial"/>
                <w:sz w:val="18"/>
                <w:szCs w:val="18"/>
                <w:color w:val="auto"/>
              </w:rPr>
              <w:t>(34)</w:t>
            </w:r>
          </w:p>
        </w:tc>
      </w:tr>
    </w:tbl>
    <w:p>
      <w:pPr>
        <w:spacing w:after="0" w:line="20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the third quarter and the first nine months of 2020, interest rate contract volumes decreased when compared with the same periods in 2019, which we believe resulted from low interest rate volatility. Interest rate volatility decreased following the Federal Reserve's decision to cut interest rates to near zero in early 2020 and its indication that it would not raise interest rates in the foreseeable future in response to the economic impact of the COVID-19 pandemic.</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Index Products</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summarizes average daily contract volume for our key equity index products. Volumes below include Micro E-mini contract volumes for each index beginning on May 6, 2019.</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320" w:type="dxa"/>
            <w:vAlign w:val="bottom"/>
            <w:gridSpan w:val="2"/>
          </w:tcPr>
          <w:p>
            <w:pPr>
              <w:jc w:val="right"/>
              <w:ind w:right="475"/>
              <w:spacing w:after="0"/>
              <w:rPr>
                <w:sz w:val="20"/>
                <w:szCs w:val="20"/>
                <w:color w:val="auto"/>
              </w:rPr>
            </w:pPr>
            <w:r>
              <w:rPr>
                <w:rFonts w:ascii="Arial" w:cs="Arial" w:eastAsia="Arial" w:hAnsi="Arial"/>
                <w:sz w:val="14"/>
                <w:szCs w:val="14"/>
                <w:b w:val="1"/>
                <w:bCs w:val="1"/>
                <w:color w:val="auto"/>
              </w:rPr>
              <w:t>Nine Months Ended</w:t>
            </w:r>
          </w:p>
        </w:tc>
        <w:tc>
          <w:tcPr>
            <w:tcW w:w="1360" w:type="dxa"/>
            <w:vAlign w:val="bottom"/>
          </w:tcPr>
          <w:p>
            <w:pPr>
              <w:spacing w:after="0"/>
              <w:rPr>
                <w:sz w:val="14"/>
                <w:szCs w:val="14"/>
                <w:color w:val="auto"/>
              </w:rPr>
            </w:pPr>
          </w:p>
        </w:tc>
      </w:tr>
      <w:tr>
        <w:trPr>
          <w:trHeight w:val="186"/>
        </w:trPr>
        <w:tc>
          <w:tcPr>
            <w:tcW w:w="3800" w:type="dxa"/>
            <w:vAlign w:val="bottom"/>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460" w:type="dxa"/>
            <w:vAlign w:val="bottom"/>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184"/>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(amounts in thousands)</w:t>
            </w:r>
          </w:p>
        </w:tc>
        <w:tc>
          <w:tcPr>
            <w:tcW w:w="1600" w:type="dxa"/>
            <w:vAlign w:val="bottom"/>
            <w:tcBorders>
              <w:bottom w:val="single" w:sz="8" w:color="auto"/>
            </w:tcBorders>
          </w:tcPr>
          <w:p>
            <w:pPr>
              <w:jc w:val="right"/>
              <w:ind w:right="819"/>
              <w:spacing w:after="0"/>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w w:val="89"/>
              </w:rPr>
              <w:t>2019</w:t>
            </w:r>
          </w:p>
        </w:tc>
        <w:tc>
          <w:tcPr>
            <w:tcW w:w="146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Change</w:t>
            </w:r>
          </w:p>
        </w:tc>
        <w:tc>
          <w:tcPr>
            <w:tcW w:w="1620" w:type="dxa"/>
            <w:vAlign w:val="bottom"/>
            <w:tcBorders>
              <w:bottom w:val="single" w:sz="8" w:color="auto"/>
            </w:tcBorders>
          </w:tcPr>
          <w:p>
            <w:pPr>
              <w:jc w:val="right"/>
              <w:ind w:right="839"/>
              <w:spacing w:after="0"/>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w w:val="83"/>
              </w:rPr>
              <w:t>2019</w:t>
            </w:r>
          </w:p>
        </w:tc>
        <w:tc>
          <w:tcPr>
            <w:tcW w:w="13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Change</w:t>
            </w:r>
          </w:p>
        </w:tc>
      </w:tr>
      <w:tr>
        <w:trPr>
          <w:trHeight w:val="224"/>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E-mini S&amp;P 500 futures and options</w:t>
            </w:r>
          </w:p>
        </w:tc>
        <w:tc>
          <w:tcPr>
            <w:tcW w:w="1600" w:type="dxa"/>
            <w:vAlign w:val="bottom"/>
            <w:shd w:val="clear" w:color="auto" w:fill="CCEEFF"/>
          </w:tcPr>
          <w:p>
            <w:pPr>
              <w:jc w:val="right"/>
              <w:ind w:right="499"/>
              <w:spacing w:after="0"/>
              <w:rPr>
                <w:sz w:val="20"/>
                <w:szCs w:val="20"/>
                <w:color w:val="auto"/>
              </w:rPr>
            </w:pPr>
            <w:r>
              <w:rPr>
                <w:rFonts w:ascii="Arial" w:cs="Arial" w:eastAsia="Arial" w:hAnsi="Arial"/>
                <w:sz w:val="18"/>
                <w:szCs w:val="18"/>
                <w:color w:val="auto"/>
              </w:rPr>
              <w:t>3,311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2,617</w:t>
            </w:r>
          </w:p>
        </w:tc>
        <w:tc>
          <w:tcPr>
            <w:tcW w:w="1460" w:type="dxa"/>
            <w:vAlign w:val="bottom"/>
            <w:shd w:val="clear" w:color="auto" w:fill="CCEEFF"/>
          </w:tcPr>
          <w:p>
            <w:pPr>
              <w:ind w:left="960"/>
              <w:spacing w:after="0"/>
              <w:rPr>
                <w:sz w:val="20"/>
                <w:szCs w:val="20"/>
                <w:color w:val="auto"/>
              </w:rPr>
            </w:pPr>
            <w:r>
              <w:rPr>
                <w:rFonts w:ascii="Arial" w:cs="Arial" w:eastAsia="Arial" w:hAnsi="Arial"/>
                <w:sz w:val="18"/>
                <w:szCs w:val="18"/>
                <w:color w:val="auto"/>
              </w:rPr>
              <w:t>27 %</w:t>
            </w:r>
          </w:p>
        </w:tc>
        <w:tc>
          <w:tcPr>
            <w:tcW w:w="1620" w:type="dxa"/>
            <w:vAlign w:val="bottom"/>
            <w:shd w:val="clear" w:color="auto" w:fill="CCEEFF"/>
          </w:tcPr>
          <w:p>
            <w:pPr>
              <w:jc w:val="right"/>
              <w:ind w:right="519"/>
              <w:spacing w:after="0"/>
              <w:rPr>
                <w:sz w:val="20"/>
                <w:szCs w:val="20"/>
                <w:color w:val="auto"/>
              </w:rPr>
            </w:pPr>
            <w:r>
              <w:rPr>
                <w:rFonts w:ascii="Arial" w:cs="Arial" w:eastAsia="Arial" w:hAnsi="Arial"/>
                <w:sz w:val="18"/>
                <w:szCs w:val="18"/>
                <w:color w:val="auto"/>
              </w:rPr>
              <w:t>3,728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2,384</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56 %</w:t>
            </w:r>
          </w:p>
        </w:tc>
      </w:tr>
      <w:tr>
        <w:trPr>
          <w:trHeight w:val="229"/>
        </w:trPr>
        <w:tc>
          <w:tcPr>
            <w:tcW w:w="3800" w:type="dxa"/>
            <w:vAlign w:val="bottom"/>
          </w:tcPr>
          <w:p>
            <w:pPr>
              <w:ind w:left="20"/>
              <w:spacing w:after="0"/>
              <w:rPr>
                <w:sz w:val="20"/>
                <w:szCs w:val="20"/>
                <w:color w:val="auto"/>
              </w:rPr>
            </w:pPr>
            <w:r>
              <w:rPr>
                <w:rFonts w:ascii="Arial" w:cs="Arial" w:eastAsia="Arial" w:hAnsi="Arial"/>
                <w:sz w:val="18"/>
                <w:szCs w:val="18"/>
                <w:color w:val="auto"/>
              </w:rPr>
              <w:t>E-mini NASDAQ 100 futures and options</w:t>
            </w:r>
          </w:p>
        </w:tc>
        <w:tc>
          <w:tcPr>
            <w:tcW w:w="1600" w:type="dxa"/>
            <w:vAlign w:val="bottom"/>
          </w:tcPr>
          <w:p>
            <w:pPr>
              <w:jc w:val="right"/>
              <w:ind w:right="499"/>
              <w:spacing w:after="0"/>
              <w:rPr>
                <w:sz w:val="20"/>
                <w:szCs w:val="20"/>
                <w:color w:val="auto"/>
              </w:rPr>
            </w:pPr>
            <w:r>
              <w:rPr>
                <w:rFonts w:ascii="Arial" w:cs="Arial" w:eastAsia="Arial" w:hAnsi="Arial"/>
                <w:sz w:val="18"/>
                <w:szCs w:val="18"/>
                <w:color w:val="auto"/>
              </w:rPr>
              <w:t>1,397</w:t>
            </w:r>
          </w:p>
        </w:tc>
        <w:tc>
          <w:tcPr>
            <w:tcW w:w="700" w:type="dxa"/>
            <w:vAlign w:val="bottom"/>
          </w:tcPr>
          <w:p>
            <w:pPr>
              <w:jc w:val="right"/>
              <w:spacing w:after="0"/>
              <w:rPr>
                <w:sz w:val="20"/>
                <w:szCs w:val="20"/>
                <w:color w:val="auto"/>
              </w:rPr>
            </w:pPr>
            <w:r>
              <w:rPr>
                <w:rFonts w:ascii="Arial" w:cs="Arial" w:eastAsia="Arial" w:hAnsi="Arial"/>
                <w:sz w:val="18"/>
                <w:szCs w:val="18"/>
                <w:color w:val="auto"/>
              </w:rPr>
              <w:t>722</w:t>
            </w:r>
          </w:p>
        </w:tc>
        <w:tc>
          <w:tcPr>
            <w:tcW w:w="1460" w:type="dxa"/>
            <w:vAlign w:val="bottom"/>
          </w:tcPr>
          <w:p>
            <w:pPr>
              <w:ind w:left="960"/>
              <w:spacing w:after="0"/>
              <w:rPr>
                <w:sz w:val="20"/>
                <w:szCs w:val="20"/>
                <w:color w:val="auto"/>
              </w:rPr>
            </w:pPr>
            <w:r>
              <w:rPr>
                <w:rFonts w:ascii="Arial" w:cs="Arial" w:eastAsia="Arial" w:hAnsi="Arial"/>
                <w:sz w:val="18"/>
                <w:szCs w:val="18"/>
                <w:color w:val="auto"/>
              </w:rPr>
              <w:t>94</w:t>
            </w:r>
          </w:p>
        </w:tc>
        <w:tc>
          <w:tcPr>
            <w:tcW w:w="1620" w:type="dxa"/>
            <w:vAlign w:val="bottom"/>
          </w:tcPr>
          <w:p>
            <w:pPr>
              <w:jc w:val="right"/>
              <w:ind w:right="519"/>
              <w:spacing w:after="0"/>
              <w:rPr>
                <w:sz w:val="20"/>
                <w:szCs w:val="20"/>
                <w:color w:val="auto"/>
              </w:rPr>
            </w:pPr>
            <w:r>
              <w:rPr>
                <w:rFonts w:ascii="Arial" w:cs="Arial" w:eastAsia="Arial" w:hAnsi="Arial"/>
                <w:sz w:val="18"/>
                <w:szCs w:val="18"/>
                <w:color w:val="auto"/>
              </w:rPr>
              <w:t>1,265</w:t>
            </w:r>
          </w:p>
        </w:tc>
        <w:tc>
          <w:tcPr>
            <w:tcW w:w="700" w:type="dxa"/>
            <w:vAlign w:val="bottom"/>
          </w:tcPr>
          <w:p>
            <w:pPr>
              <w:jc w:val="right"/>
              <w:spacing w:after="0"/>
              <w:rPr>
                <w:sz w:val="20"/>
                <w:szCs w:val="20"/>
                <w:color w:val="auto"/>
              </w:rPr>
            </w:pPr>
            <w:r>
              <w:rPr>
                <w:rFonts w:ascii="Arial" w:cs="Arial" w:eastAsia="Arial" w:hAnsi="Arial"/>
                <w:sz w:val="18"/>
                <w:szCs w:val="18"/>
                <w:color w:val="auto"/>
              </w:rPr>
              <w:t>602</w:t>
            </w:r>
          </w:p>
        </w:tc>
        <w:tc>
          <w:tcPr>
            <w:tcW w:w="1360" w:type="dxa"/>
            <w:vAlign w:val="bottom"/>
          </w:tcPr>
          <w:p>
            <w:pPr>
              <w:jc w:val="right"/>
              <w:ind w:right="135"/>
              <w:spacing w:after="0"/>
              <w:rPr>
                <w:sz w:val="20"/>
                <w:szCs w:val="20"/>
                <w:color w:val="auto"/>
              </w:rPr>
            </w:pPr>
            <w:r>
              <w:rPr>
                <w:rFonts w:ascii="Arial" w:cs="Arial" w:eastAsia="Arial" w:hAnsi="Arial"/>
                <w:sz w:val="18"/>
                <w:szCs w:val="18"/>
                <w:color w:val="auto"/>
              </w:rPr>
              <w:t>110</w:t>
            </w:r>
          </w:p>
        </w:tc>
      </w:tr>
      <w:tr>
        <w:trPr>
          <w:trHeight w:val="230"/>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E-mini Russell 2000 futures and options</w:t>
            </w:r>
          </w:p>
        </w:tc>
        <w:tc>
          <w:tcPr>
            <w:tcW w:w="1600" w:type="dxa"/>
            <w:vAlign w:val="bottom"/>
            <w:shd w:val="clear" w:color="auto" w:fill="CCEEFF"/>
          </w:tcPr>
          <w:p>
            <w:pPr>
              <w:jc w:val="right"/>
              <w:ind w:right="499"/>
              <w:spacing w:after="0"/>
              <w:rPr>
                <w:sz w:val="20"/>
                <w:szCs w:val="20"/>
                <w:color w:val="auto"/>
              </w:rPr>
            </w:pPr>
            <w:r>
              <w:rPr>
                <w:rFonts w:ascii="Arial" w:cs="Arial" w:eastAsia="Arial" w:hAnsi="Arial"/>
                <w:sz w:val="18"/>
                <w:szCs w:val="18"/>
                <w:color w:val="auto"/>
              </w:rPr>
              <w:t>285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460" w:type="dxa"/>
            <w:vAlign w:val="bottom"/>
            <w:shd w:val="clear" w:color="auto" w:fill="CCEEFF"/>
          </w:tcPr>
          <w:p>
            <w:pPr>
              <w:ind w:left="960"/>
              <w:spacing w:after="0"/>
              <w:rPr>
                <w:sz w:val="20"/>
                <w:szCs w:val="20"/>
                <w:color w:val="auto"/>
              </w:rPr>
            </w:pPr>
            <w:r>
              <w:rPr>
                <w:rFonts w:ascii="Arial" w:cs="Arial" w:eastAsia="Arial" w:hAnsi="Arial"/>
                <w:sz w:val="18"/>
                <w:szCs w:val="18"/>
                <w:color w:val="auto"/>
              </w:rPr>
              <w:t>44</w:t>
            </w:r>
          </w:p>
        </w:tc>
        <w:tc>
          <w:tcPr>
            <w:tcW w:w="1620" w:type="dxa"/>
            <w:vAlign w:val="bottom"/>
            <w:shd w:val="clear" w:color="auto" w:fill="CCEEFF"/>
          </w:tcPr>
          <w:p>
            <w:pPr>
              <w:jc w:val="right"/>
              <w:ind w:right="519"/>
              <w:spacing w:after="0"/>
              <w:rPr>
                <w:sz w:val="20"/>
                <w:szCs w:val="20"/>
                <w:color w:val="auto"/>
              </w:rPr>
            </w:pPr>
            <w:r>
              <w:rPr>
                <w:rFonts w:ascii="Arial" w:cs="Arial" w:eastAsia="Arial" w:hAnsi="Arial"/>
                <w:sz w:val="18"/>
                <w:szCs w:val="18"/>
                <w:color w:val="auto"/>
              </w:rPr>
              <w:t>311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3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83</w:t>
            </w:r>
          </w:p>
        </w:tc>
      </w:tr>
    </w:tbl>
    <w:p>
      <w:pPr>
        <w:spacing w:after="0" w:line="20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the third quarter and the first nine months of 2020, equity index contract volumes increased when compared with the same periods in 2019. We believe these increases were attributable to significant equity market volatility resulting from uncertainty surrounding the economic impact of governmental and business actions to combat the COVID-19 pandemic. Average daily contract volume in the third quarter and first nine months of 2020 also included Micro-E-mini equity index contract volume of approximately 2.0 million and 1.8 million per day, respectively, compared to approximately 0.6 million and 0.3 million per day, in the third quarter and first nine months of 2019, respectively. Micro-E-mini equity index contracts have a notional size of one-tenth of the traditional E-mini contracts.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Products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contract volume for our key foreign exchange products.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6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300" w:type="dxa"/>
            <w:vAlign w:val="bottom"/>
            <w:gridSpan w:val="2"/>
          </w:tcPr>
          <w:p>
            <w:pPr>
              <w:jc w:val="right"/>
              <w:ind w:right="474"/>
              <w:spacing w:after="0"/>
              <w:rPr>
                <w:sz w:val="20"/>
                <w:szCs w:val="20"/>
                <w:color w:val="auto"/>
              </w:rPr>
            </w:pPr>
            <w:r>
              <w:rPr>
                <w:rFonts w:ascii="Arial" w:cs="Arial" w:eastAsia="Arial" w:hAnsi="Arial"/>
                <w:sz w:val="14"/>
                <w:szCs w:val="14"/>
                <w:b w:val="1"/>
                <w:bCs w:val="1"/>
                <w:color w:val="auto"/>
              </w:rPr>
              <w:t>Nine Months Ended</w:t>
            </w:r>
          </w:p>
        </w:tc>
        <w:tc>
          <w:tcPr>
            <w:tcW w:w="1360" w:type="dxa"/>
            <w:vAlign w:val="bottom"/>
          </w:tcPr>
          <w:p>
            <w:pPr>
              <w:spacing w:after="0"/>
              <w:rPr>
                <w:sz w:val="14"/>
                <w:szCs w:val="14"/>
                <w:color w:val="auto"/>
              </w:rPr>
            </w:pPr>
          </w:p>
        </w:tc>
      </w:tr>
      <w:tr>
        <w:trPr>
          <w:trHeight w:val="186"/>
        </w:trPr>
        <w:tc>
          <w:tcPr>
            <w:tcW w:w="3820" w:type="dxa"/>
            <w:vAlign w:val="bottom"/>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16"/>
                <w:szCs w:val="16"/>
                <w:color w:val="auto"/>
              </w:rPr>
            </w:pPr>
          </w:p>
        </w:tc>
        <w:tc>
          <w:tcPr>
            <w:tcW w:w="1480" w:type="dxa"/>
            <w:vAlign w:val="bottom"/>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184"/>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(amounts in thousands)</w:t>
            </w:r>
          </w:p>
        </w:tc>
        <w:tc>
          <w:tcPr>
            <w:tcW w:w="1600" w:type="dxa"/>
            <w:vAlign w:val="bottom"/>
            <w:tcBorders>
              <w:bottom w:val="single" w:sz="8" w:color="auto"/>
            </w:tcBorders>
          </w:tcPr>
          <w:p>
            <w:pPr>
              <w:jc w:val="right"/>
              <w:ind w:right="838"/>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w w:val="83"/>
              </w:rPr>
              <w:t>2019</w:t>
            </w:r>
          </w:p>
        </w:tc>
        <w:tc>
          <w:tcPr>
            <w:tcW w:w="148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Change</w:t>
            </w:r>
          </w:p>
        </w:tc>
        <w:tc>
          <w:tcPr>
            <w:tcW w:w="1600" w:type="dxa"/>
            <w:vAlign w:val="bottom"/>
            <w:tcBorders>
              <w:bottom w:val="single" w:sz="8" w:color="auto"/>
            </w:tcBorders>
          </w:tcPr>
          <w:p>
            <w:pPr>
              <w:jc w:val="right"/>
              <w:ind w:right="818"/>
              <w:spacing w:after="0"/>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w w:val="89"/>
              </w:rPr>
              <w:t>2019</w:t>
            </w:r>
          </w:p>
        </w:tc>
        <w:tc>
          <w:tcPr>
            <w:tcW w:w="136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Change</w:t>
            </w:r>
          </w:p>
        </w:tc>
      </w:tr>
      <w:tr>
        <w:trPr>
          <w:trHeight w:val="224"/>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w:t>
            </w:r>
          </w:p>
        </w:tc>
        <w:tc>
          <w:tcPr>
            <w:tcW w:w="1600" w:type="dxa"/>
            <w:vAlign w:val="bottom"/>
            <w:shd w:val="clear" w:color="auto" w:fill="CCEEFF"/>
          </w:tcPr>
          <w:p>
            <w:pPr>
              <w:jc w:val="right"/>
              <w:ind w:right="498"/>
              <w:spacing w:after="0"/>
              <w:rPr>
                <w:sz w:val="20"/>
                <w:szCs w:val="20"/>
                <w:color w:val="auto"/>
              </w:rPr>
            </w:pPr>
            <w:r>
              <w:rPr>
                <w:rFonts w:ascii="Arial" w:cs="Arial" w:eastAsia="Arial" w:hAnsi="Arial"/>
                <w:sz w:val="18"/>
                <w:szCs w:val="18"/>
                <w:color w:val="auto"/>
              </w:rPr>
              <w:t>249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4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5 %</w:t>
            </w:r>
          </w:p>
        </w:tc>
        <w:tc>
          <w:tcPr>
            <w:tcW w:w="1600" w:type="dxa"/>
            <w:vAlign w:val="bottom"/>
            <w:shd w:val="clear" w:color="auto" w:fill="CCEEFF"/>
          </w:tcPr>
          <w:p>
            <w:pPr>
              <w:jc w:val="right"/>
              <w:ind w:right="498"/>
              <w:spacing w:after="0"/>
              <w:rPr>
                <w:sz w:val="20"/>
                <w:szCs w:val="20"/>
                <w:color w:val="auto"/>
              </w:rPr>
            </w:pPr>
            <w:r>
              <w:rPr>
                <w:rFonts w:ascii="Arial" w:cs="Arial" w:eastAsia="Arial" w:hAnsi="Arial"/>
                <w:sz w:val="18"/>
                <w:szCs w:val="18"/>
                <w:color w:val="auto"/>
              </w:rPr>
              <w:t>244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360" w:type="dxa"/>
            <w:vAlign w:val="bottom"/>
            <w:shd w:val="clear" w:color="auto" w:fill="CCEEFF"/>
          </w:tcPr>
          <w:p>
            <w:pPr>
              <w:ind w:left="1040"/>
              <w:spacing w:after="0"/>
              <w:rPr>
                <w:sz w:val="20"/>
                <w:szCs w:val="20"/>
                <w:color w:val="auto"/>
              </w:rPr>
            </w:pPr>
            <w:r>
              <w:rPr>
                <w:rFonts w:ascii="Arial" w:cs="Arial" w:eastAsia="Arial" w:hAnsi="Arial"/>
                <w:sz w:val="18"/>
                <w:szCs w:val="18"/>
                <w:color w:val="auto"/>
                <w:w w:val="96"/>
              </w:rPr>
              <w:t>2 %</w:t>
            </w: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Japanese yen</w:t>
            </w:r>
          </w:p>
        </w:tc>
        <w:tc>
          <w:tcPr>
            <w:tcW w:w="1600" w:type="dxa"/>
            <w:vAlign w:val="bottom"/>
          </w:tcPr>
          <w:p>
            <w:pPr>
              <w:jc w:val="right"/>
              <w:ind w:right="498"/>
              <w:spacing w:after="0"/>
              <w:rPr>
                <w:sz w:val="20"/>
                <w:szCs w:val="20"/>
                <w:color w:val="auto"/>
              </w:rPr>
            </w:pPr>
            <w:r>
              <w:rPr>
                <w:rFonts w:ascii="Arial" w:cs="Arial" w:eastAsia="Arial" w:hAnsi="Arial"/>
                <w:sz w:val="18"/>
                <w:szCs w:val="18"/>
                <w:color w:val="auto"/>
              </w:rPr>
              <w:t>97</w:t>
            </w:r>
          </w:p>
        </w:tc>
        <w:tc>
          <w:tcPr>
            <w:tcW w:w="680" w:type="dxa"/>
            <w:vAlign w:val="bottom"/>
          </w:tcPr>
          <w:p>
            <w:pPr>
              <w:jc w:val="right"/>
              <w:spacing w:after="0"/>
              <w:rPr>
                <w:sz w:val="20"/>
                <w:szCs w:val="20"/>
                <w:color w:val="auto"/>
              </w:rPr>
            </w:pPr>
            <w:r>
              <w:rPr>
                <w:rFonts w:ascii="Arial" w:cs="Arial" w:eastAsia="Arial" w:hAnsi="Arial"/>
                <w:sz w:val="18"/>
                <w:szCs w:val="18"/>
                <w:color w:val="auto"/>
              </w:rPr>
              <w:t>143</w:t>
            </w:r>
          </w:p>
        </w:tc>
        <w:tc>
          <w:tcPr>
            <w:tcW w:w="1480" w:type="dxa"/>
            <w:vAlign w:val="bottom"/>
          </w:tcPr>
          <w:p>
            <w:pPr>
              <w:jc w:val="right"/>
              <w:ind w:right="194"/>
              <w:spacing w:after="0"/>
              <w:rPr>
                <w:sz w:val="20"/>
                <w:szCs w:val="20"/>
                <w:color w:val="auto"/>
              </w:rPr>
            </w:pPr>
            <w:r>
              <w:rPr>
                <w:rFonts w:ascii="Arial" w:cs="Arial" w:eastAsia="Arial" w:hAnsi="Arial"/>
                <w:sz w:val="18"/>
                <w:szCs w:val="18"/>
                <w:color w:val="auto"/>
              </w:rPr>
              <w:t>(32)</w:t>
            </w:r>
          </w:p>
        </w:tc>
        <w:tc>
          <w:tcPr>
            <w:tcW w:w="1600" w:type="dxa"/>
            <w:vAlign w:val="bottom"/>
          </w:tcPr>
          <w:p>
            <w:pPr>
              <w:jc w:val="right"/>
              <w:ind w:right="498"/>
              <w:spacing w:after="0"/>
              <w:rPr>
                <w:sz w:val="20"/>
                <w:szCs w:val="20"/>
                <w:color w:val="auto"/>
              </w:rPr>
            </w:pPr>
            <w:r>
              <w:rPr>
                <w:rFonts w:ascii="Arial" w:cs="Arial" w:eastAsia="Arial" w:hAnsi="Arial"/>
                <w:sz w:val="18"/>
                <w:szCs w:val="18"/>
                <w:color w:val="auto"/>
              </w:rPr>
              <w:t>128</w:t>
            </w:r>
          </w:p>
        </w:tc>
        <w:tc>
          <w:tcPr>
            <w:tcW w:w="700" w:type="dxa"/>
            <w:vAlign w:val="bottom"/>
          </w:tcPr>
          <w:p>
            <w:pPr>
              <w:jc w:val="right"/>
              <w:spacing w:after="0"/>
              <w:rPr>
                <w:sz w:val="20"/>
                <w:szCs w:val="20"/>
                <w:color w:val="auto"/>
              </w:rPr>
            </w:pPr>
            <w:r>
              <w:rPr>
                <w:rFonts w:ascii="Arial" w:cs="Arial" w:eastAsia="Arial" w:hAnsi="Arial"/>
                <w:sz w:val="18"/>
                <w:szCs w:val="18"/>
                <w:color w:val="auto"/>
              </w:rPr>
              <w:t>141</w:t>
            </w:r>
          </w:p>
        </w:tc>
        <w:tc>
          <w:tcPr>
            <w:tcW w:w="1360" w:type="dxa"/>
            <w:vAlign w:val="bottom"/>
          </w:tcPr>
          <w:p>
            <w:pPr>
              <w:jc w:val="right"/>
              <w:ind w:right="94"/>
              <w:spacing w:after="0"/>
              <w:rPr>
                <w:sz w:val="20"/>
                <w:szCs w:val="20"/>
                <w:color w:val="auto"/>
              </w:rPr>
            </w:pPr>
            <w:r>
              <w:rPr>
                <w:rFonts w:ascii="Arial" w:cs="Arial" w:eastAsia="Arial" w:hAnsi="Arial"/>
                <w:sz w:val="18"/>
                <w:szCs w:val="18"/>
                <w:color w:val="auto"/>
              </w:rPr>
              <w:t>(9)</w:t>
            </w:r>
          </w:p>
        </w:tc>
      </w:tr>
      <w:tr>
        <w:trPr>
          <w:trHeight w:val="230"/>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British Pound</w:t>
            </w:r>
          </w:p>
        </w:tc>
        <w:tc>
          <w:tcPr>
            <w:tcW w:w="1600" w:type="dxa"/>
            <w:vAlign w:val="bottom"/>
            <w:shd w:val="clear" w:color="auto" w:fill="CCEEFF"/>
          </w:tcPr>
          <w:p>
            <w:pPr>
              <w:jc w:val="right"/>
              <w:ind w:right="498"/>
              <w:spacing w:after="0"/>
              <w:rPr>
                <w:sz w:val="20"/>
                <w:szCs w:val="20"/>
                <w:color w:val="auto"/>
              </w:rPr>
            </w:pPr>
            <w:r>
              <w:rPr>
                <w:rFonts w:ascii="Arial" w:cs="Arial" w:eastAsia="Arial" w:hAnsi="Arial"/>
                <w:sz w:val="18"/>
                <w:szCs w:val="18"/>
                <w:color w:val="auto"/>
              </w:rPr>
              <w:t>114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4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(9)</w:t>
            </w:r>
          </w:p>
        </w:tc>
        <w:tc>
          <w:tcPr>
            <w:tcW w:w="1600" w:type="dxa"/>
            <w:vAlign w:val="bottom"/>
            <w:shd w:val="clear" w:color="auto" w:fill="CCEEFF"/>
          </w:tcPr>
          <w:p>
            <w:pPr>
              <w:jc w:val="right"/>
              <w:ind w:right="498"/>
              <w:spacing w:after="0"/>
              <w:rPr>
                <w:sz w:val="20"/>
                <w:szCs w:val="20"/>
                <w:color w:val="auto"/>
              </w:rPr>
            </w:pPr>
            <w:r>
              <w:rPr>
                <w:rFonts w:ascii="Arial" w:cs="Arial" w:eastAsia="Arial" w:hAnsi="Arial"/>
                <w:sz w:val="18"/>
                <w:szCs w:val="18"/>
                <w:color w:val="auto"/>
              </w:rPr>
              <w:t>113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3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(10)</w:t>
            </w: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Australian dollar</w:t>
            </w:r>
          </w:p>
        </w:tc>
        <w:tc>
          <w:tcPr>
            <w:tcW w:w="1600" w:type="dxa"/>
            <w:vAlign w:val="bottom"/>
          </w:tcPr>
          <w:p>
            <w:pPr>
              <w:jc w:val="right"/>
              <w:ind w:right="498"/>
              <w:spacing w:after="0"/>
              <w:rPr>
                <w:sz w:val="20"/>
                <w:szCs w:val="20"/>
                <w:color w:val="auto"/>
              </w:rPr>
            </w:pPr>
            <w:r>
              <w:rPr>
                <w:rFonts w:ascii="Arial" w:cs="Arial" w:eastAsia="Arial" w:hAnsi="Arial"/>
                <w:sz w:val="18"/>
                <w:szCs w:val="18"/>
                <w:color w:val="auto"/>
              </w:rPr>
              <w:t>99</w:t>
            </w:r>
          </w:p>
        </w:tc>
        <w:tc>
          <w:tcPr>
            <w:tcW w:w="680" w:type="dxa"/>
            <w:vAlign w:val="bottom"/>
          </w:tcPr>
          <w:p>
            <w:pPr>
              <w:jc w:val="right"/>
              <w:spacing w:after="0"/>
              <w:rPr>
                <w:sz w:val="20"/>
                <w:szCs w:val="20"/>
                <w:color w:val="auto"/>
              </w:rPr>
            </w:pPr>
            <w:r>
              <w:rPr>
                <w:rFonts w:ascii="Arial" w:cs="Arial" w:eastAsia="Arial" w:hAnsi="Arial"/>
                <w:sz w:val="18"/>
                <w:szCs w:val="18"/>
                <w:color w:val="auto"/>
              </w:rPr>
              <w:t>96</w:t>
            </w:r>
          </w:p>
        </w:tc>
        <w:tc>
          <w:tcPr>
            <w:tcW w:w="1480" w:type="dxa"/>
            <w:vAlign w:val="bottom"/>
          </w:tcPr>
          <w:p>
            <w:pPr>
              <w:ind w:left="1060"/>
              <w:spacing w:after="0"/>
              <w:rPr>
                <w:sz w:val="20"/>
                <w:szCs w:val="20"/>
                <w:color w:val="auto"/>
              </w:rPr>
            </w:pPr>
            <w:r>
              <w:rPr>
                <w:rFonts w:ascii="Arial" w:cs="Arial" w:eastAsia="Arial" w:hAnsi="Arial"/>
                <w:sz w:val="18"/>
                <w:szCs w:val="18"/>
                <w:color w:val="auto"/>
              </w:rPr>
              <w:t>4</w:t>
            </w:r>
          </w:p>
        </w:tc>
        <w:tc>
          <w:tcPr>
            <w:tcW w:w="1600" w:type="dxa"/>
            <w:vAlign w:val="bottom"/>
          </w:tcPr>
          <w:p>
            <w:pPr>
              <w:jc w:val="right"/>
              <w:ind w:right="498"/>
              <w:spacing w:after="0"/>
              <w:rPr>
                <w:sz w:val="20"/>
                <w:szCs w:val="20"/>
                <w:color w:val="auto"/>
              </w:rPr>
            </w:pPr>
            <w:r>
              <w:rPr>
                <w:rFonts w:ascii="Arial" w:cs="Arial" w:eastAsia="Arial" w:hAnsi="Arial"/>
                <w:sz w:val="18"/>
                <w:szCs w:val="18"/>
                <w:color w:val="auto"/>
              </w:rPr>
              <w:t>109</w:t>
            </w:r>
          </w:p>
        </w:tc>
        <w:tc>
          <w:tcPr>
            <w:tcW w:w="700" w:type="dxa"/>
            <w:vAlign w:val="bottom"/>
          </w:tcPr>
          <w:p>
            <w:pPr>
              <w:jc w:val="right"/>
              <w:spacing w:after="0"/>
              <w:rPr>
                <w:sz w:val="20"/>
                <w:szCs w:val="20"/>
                <w:color w:val="auto"/>
              </w:rPr>
            </w:pPr>
            <w:r>
              <w:rPr>
                <w:rFonts w:ascii="Arial" w:cs="Arial" w:eastAsia="Arial" w:hAnsi="Arial"/>
                <w:sz w:val="18"/>
                <w:szCs w:val="18"/>
                <w:color w:val="auto"/>
              </w:rPr>
              <w:t>106</w:t>
            </w:r>
          </w:p>
        </w:tc>
        <w:tc>
          <w:tcPr>
            <w:tcW w:w="1360" w:type="dxa"/>
            <w:vAlign w:val="bottom"/>
          </w:tcPr>
          <w:p>
            <w:pPr>
              <w:ind w:left="1040"/>
              <w:spacing w:after="0"/>
              <w:rPr>
                <w:sz w:val="20"/>
                <w:szCs w:val="20"/>
                <w:color w:val="auto"/>
              </w:rPr>
            </w:pPr>
            <w:r>
              <w:rPr>
                <w:rFonts w:ascii="Arial" w:cs="Arial" w:eastAsia="Arial" w:hAnsi="Arial"/>
                <w:sz w:val="18"/>
                <w:szCs w:val="18"/>
                <w:color w:val="auto"/>
              </w:rPr>
              <w:t>3</w:t>
            </w:r>
          </w:p>
        </w:tc>
      </w:tr>
    </w:tbl>
    <w:p>
      <w:pPr>
        <w:spacing w:after="0" w:line="9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the third quarter and the first nine months of 2020, foreign exchange contract volume remained relatively flat when compared with the same periods in 2019. In the third quarter of 2020, market volatility subsided following very high foreign exchange volatility in the first quarter caused by significant uncertainty surrounding the economic impacts of the governmental and business actions to combat the COVID-19 pandemic. In the third quarter of 2020, foreign exchange trading also declined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slightly due to operational strains from stay at home orders and risk aversion by market participants during the COVID-19 pandemic. We believe these factors led to the changes in foreign exchange contract volumes.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Agricultural Commodity Products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contract volume for our key agricultural commodity products.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6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300" w:type="dxa"/>
            <w:vAlign w:val="bottom"/>
            <w:gridSpan w:val="2"/>
          </w:tcPr>
          <w:p>
            <w:pPr>
              <w:jc w:val="right"/>
              <w:ind w:right="475"/>
              <w:spacing w:after="0"/>
              <w:rPr>
                <w:sz w:val="20"/>
                <w:szCs w:val="20"/>
                <w:color w:val="auto"/>
              </w:rPr>
            </w:pPr>
            <w:r>
              <w:rPr>
                <w:rFonts w:ascii="Arial" w:cs="Arial" w:eastAsia="Arial" w:hAnsi="Arial"/>
                <w:sz w:val="14"/>
                <w:szCs w:val="14"/>
                <w:b w:val="1"/>
                <w:bCs w:val="1"/>
                <w:color w:val="auto"/>
              </w:rPr>
              <w:t>Nine Months Ended</w:t>
            </w:r>
          </w:p>
        </w:tc>
        <w:tc>
          <w:tcPr>
            <w:tcW w:w="1360" w:type="dxa"/>
            <w:vAlign w:val="bottom"/>
          </w:tcPr>
          <w:p>
            <w:pPr>
              <w:spacing w:after="0"/>
              <w:rPr>
                <w:sz w:val="14"/>
                <w:szCs w:val="14"/>
                <w:color w:val="auto"/>
              </w:rPr>
            </w:pPr>
          </w:p>
        </w:tc>
      </w:tr>
      <w:tr>
        <w:trPr>
          <w:trHeight w:val="186"/>
        </w:trPr>
        <w:tc>
          <w:tcPr>
            <w:tcW w:w="3820" w:type="dxa"/>
            <w:vAlign w:val="bottom"/>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16"/>
                <w:szCs w:val="16"/>
                <w:color w:val="auto"/>
              </w:rPr>
            </w:pPr>
          </w:p>
        </w:tc>
        <w:tc>
          <w:tcPr>
            <w:tcW w:w="1480" w:type="dxa"/>
            <w:vAlign w:val="bottom"/>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184"/>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(amounts in thousands)</w:t>
            </w:r>
          </w:p>
        </w:tc>
        <w:tc>
          <w:tcPr>
            <w:tcW w:w="1600" w:type="dxa"/>
            <w:vAlign w:val="bottom"/>
            <w:tcBorders>
              <w:bottom w:val="single" w:sz="8" w:color="auto"/>
            </w:tcBorders>
          </w:tcPr>
          <w:p>
            <w:pPr>
              <w:jc w:val="right"/>
              <w:ind w:right="839"/>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w w:val="83"/>
              </w:rPr>
              <w:t>2019</w:t>
            </w:r>
          </w:p>
        </w:tc>
        <w:tc>
          <w:tcPr>
            <w:tcW w:w="14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Change</w:t>
            </w:r>
          </w:p>
        </w:tc>
        <w:tc>
          <w:tcPr>
            <w:tcW w:w="1600" w:type="dxa"/>
            <w:vAlign w:val="bottom"/>
            <w:tcBorders>
              <w:bottom w:val="single" w:sz="8" w:color="auto"/>
            </w:tcBorders>
          </w:tcPr>
          <w:p>
            <w:pPr>
              <w:jc w:val="right"/>
              <w:ind w:right="819"/>
              <w:spacing w:after="0"/>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w w:val="89"/>
              </w:rPr>
              <w:t>2019</w:t>
            </w:r>
          </w:p>
        </w:tc>
        <w:tc>
          <w:tcPr>
            <w:tcW w:w="13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Change</w:t>
            </w:r>
          </w:p>
        </w:tc>
      </w:tr>
      <w:tr>
        <w:trPr>
          <w:trHeight w:val="224"/>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Corn</w:t>
            </w:r>
          </w:p>
        </w:tc>
        <w:tc>
          <w:tcPr>
            <w:tcW w:w="1600" w:type="dxa"/>
            <w:vAlign w:val="bottom"/>
            <w:shd w:val="clear" w:color="auto" w:fill="CCEEFF"/>
          </w:tcPr>
          <w:p>
            <w:pPr>
              <w:jc w:val="right"/>
              <w:ind w:right="499"/>
              <w:spacing w:after="0"/>
              <w:rPr>
                <w:sz w:val="20"/>
                <w:szCs w:val="20"/>
                <w:color w:val="auto"/>
              </w:rPr>
            </w:pPr>
            <w:r>
              <w:rPr>
                <w:rFonts w:ascii="Arial" w:cs="Arial" w:eastAsia="Arial" w:hAnsi="Arial"/>
                <w:sz w:val="18"/>
                <w:szCs w:val="18"/>
                <w:color w:val="auto"/>
              </w:rPr>
              <w:t>440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4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(10)%</w:t>
            </w:r>
          </w:p>
        </w:tc>
        <w:tc>
          <w:tcPr>
            <w:tcW w:w="1600" w:type="dxa"/>
            <w:vAlign w:val="bottom"/>
            <w:shd w:val="clear" w:color="auto" w:fill="CCEEFF"/>
          </w:tcPr>
          <w:p>
            <w:pPr>
              <w:jc w:val="right"/>
              <w:ind w:right="499"/>
              <w:spacing w:after="0"/>
              <w:rPr>
                <w:sz w:val="20"/>
                <w:szCs w:val="20"/>
                <w:color w:val="auto"/>
              </w:rPr>
            </w:pPr>
            <w:r>
              <w:rPr>
                <w:rFonts w:ascii="Arial" w:cs="Arial" w:eastAsia="Arial" w:hAnsi="Arial"/>
                <w:sz w:val="18"/>
                <w:szCs w:val="18"/>
                <w:color w:val="auto"/>
              </w:rPr>
              <w:t>438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9"/>
        </w:trPr>
        <w:tc>
          <w:tcPr>
            <w:tcW w:w="3820" w:type="dxa"/>
            <w:vAlign w:val="bottom"/>
          </w:tcPr>
          <w:p>
            <w:pPr>
              <w:ind w:left="20"/>
              <w:spacing w:after="0"/>
              <w:rPr>
                <w:sz w:val="20"/>
                <w:szCs w:val="20"/>
                <w:color w:val="auto"/>
              </w:rPr>
            </w:pPr>
            <w:r>
              <w:rPr>
                <w:rFonts w:ascii="Arial" w:cs="Arial" w:eastAsia="Arial" w:hAnsi="Arial"/>
                <w:sz w:val="18"/>
                <w:szCs w:val="18"/>
                <w:color w:val="auto"/>
              </w:rPr>
              <w:t>Soybean</w:t>
            </w:r>
          </w:p>
        </w:tc>
        <w:tc>
          <w:tcPr>
            <w:tcW w:w="1600" w:type="dxa"/>
            <w:vAlign w:val="bottom"/>
          </w:tcPr>
          <w:p>
            <w:pPr>
              <w:jc w:val="right"/>
              <w:ind w:right="499"/>
              <w:spacing w:after="0"/>
              <w:rPr>
                <w:sz w:val="20"/>
                <w:szCs w:val="20"/>
                <w:color w:val="auto"/>
              </w:rPr>
            </w:pPr>
            <w:r>
              <w:rPr>
                <w:rFonts w:ascii="Arial" w:cs="Arial" w:eastAsia="Arial" w:hAnsi="Arial"/>
                <w:sz w:val="18"/>
                <w:szCs w:val="18"/>
                <w:color w:val="auto"/>
              </w:rPr>
              <w:t>292</w:t>
            </w:r>
          </w:p>
        </w:tc>
        <w:tc>
          <w:tcPr>
            <w:tcW w:w="680" w:type="dxa"/>
            <w:vAlign w:val="bottom"/>
          </w:tcPr>
          <w:p>
            <w:pPr>
              <w:jc w:val="right"/>
              <w:spacing w:after="0"/>
              <w:rPr>
                <w:sz w:val="20"/>
                <w:szCs w:val="20"/>
                <w:color w:val="auto"/>
              </w:rPr>
            </w:pPr>
            <w:r>
              <w:rPr>
                <w:rFonts w:ascii="Arial" w:cs="Arial" w:eastAsia="Arial" w:hAnsi="Arial"/>
                <w:sz w:val="18"/>
                <w:szCs w:val="18"/>
                <w:color w:val="auto"/>
              </w:rPr>
              <w:t>216</w:t>
            </w:r>
          </w:p>
        </w:tc>
        <w:tc>
          <w:tcPr>
            <w:tcW w:w="1480" w:type="dxa"/>
            <w:vAlign w:val="bottom"/>
          </w:tcPr>
          <w:p>
            <w:pPr>
              <w:jc w:val="right"/>
              <w:ind w:right="235"/>
              <w:spacing w:after="0"/>
              <w:rPr>
                <w:sz w:val="20"/>
                <w:szCs w:val="20"/>
                <w:color w:val="auto"/>
              </w:rPr>
            </w:pPr>
            <w:r>
              <w:rPr>
                <w:rFonts w:ascii="Arial" w:cs="Arial" w:eastAsia="Arial" w:hAnsi="Arial"/>
                <w:sz w:val="18"/>
                <w:szCs w:val="18"/>
                <w:color w:val="auto"/>
              </w:rPr>
              <w:t>35</w:t>
            </w:r>
          </w:p>
        </w:tc>
        <w:tc>
          <w:tcPr>
            <w:tcW w:w="1600" w:type="dxa"/>
            <w:vAlign w:val="bottom"/>
          </w:tcPr>
          <w:p>
            <w:pPr>
              <w:jc w:val="right"/>
              <w:ind w:right="499"/>
              <w:spacing w:after="0"/>
              <w:rPr>
                <w:sz w:val="20"/>
                <w:szCs w:val="20"/>
                <w:color w:val="auto"/>
              </w:rPr>
            </w:pPr>
            <w:r>
              <w:rPr>
                <w:rFonts w:ascii="Arial" w:cs="Arial" w:eastAsia="Arial" w:hAnsi="Arial"/>
                <w:sz w:val="18"/>
                <w:szCs w:val="18"/>
                <w:color w:val="auto"/>
              </w:rPr>
              <w:t>280</w:t>
            </w:r>
          </w:p>
        </w:tc>
        <w:tc>
          <w:tcPr>
            <w:tcW w:w="700" w:type="dxa"/>
            <w:vAlign w:val="bottom"/>
          </w:tcPr>
          <w:p>
            <w:pPr>
              <w:jc w:val="right"/>
              <w:spacing w:after="0"/>
              <w:rPr>
                <w:sz w:val="20"/>
                <w:szCs w:val="20"/>
                <w:color w:val="auto"/>
              </w:rPr>
            </w:pPr>
            <w:r>
              <w:rPr>
                <w:rFonts w:ascii="Arial" w:cs="Arial" w:eastAsia="Arial" w:hAnsi="Arial"/>
                <w:sz w:val="18"/>
                <w:szCs w:val="18"/>
                <w:color w:val="auto"/>
              </w:rPr>
              <w:t>255</w:t>
            </w:r>
          </w:p>
        </w:tc>
        <w:tc>
          <w:tcPr>
            <w:tcW w:w="1360" w:type="dxa"/>
            <w:vAlign w:val="bottom"/>
          </w:tcPr>
          <w:p>
            <w:pPr>
              <w:jc w:val="right"/>
              <w:ind w:right="135"/>
              <w:spacing w:after="0"/>
              <w:rPr>
                <w:sz w:val="20"/>
                <w:szCs w:val="20"/>
                <w:color w:val="auto"/>
              </w:rPr>
            </w:pPr>
            <w:r>
              <w:rPr>
                <w:rFonts w:ascii="Arial" w:cs="Arial" w:eastAsia="Arial" w:hAnsi="Arial"/>
                <w:sz w:val="18"/>
                <w:szCs w:val="18"/>
                <w:color w:val="auto"/>
              </w:rPr>
              <w:t>10</w:t>
            </w:r>
          </w:p>
        </w:tc>
      </w:tr>
      <w:tr>
        <w:trPr>
          <w:trHeight w:val="230"/>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Wheat</w:t>
            </w:r>
          </w:p>
        </w:tc>
        <w:tc>
          <w:tcPr>
            <w:tcW w:w="1600" w:type="dxa"/>
            <w:vAlign w:val="bottom"/>
            <w:shd w:val="clear" w:color="auto" w:fill="CCEEFF"/>
          </w:tcPr>
          <w:p>
            <w:pPr>
              <w:jc w:val="right"/>
              <w:ind w:right="499"/>
              <w:spacing w:after="0"/>
              <w:rPr>
                <w:sz w:val="20"/>
                <w:szCs w:val="20"/>
                <w:color w:val="auto"/>
              </w:rPr>
            </w:pPr>
            <w:r>
              <w:rPr>
                <w:rFonts w:ascii="Arial" w:cs="Arial" w:eastAsia="Arial" w:hAnsi="Arial"/>
                <w:sz w:val="18"/>
                <w:szCs w:val="18"/>
                <w:color w:val="auto"/>
              </w:rPr>
              <w:t>219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48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16</w:t>
            </w:r>
          </w:p>
        </w:tc>
        <w:tc>
          <w:tcPr>
            <w:tcW w:w="1600" w:type="dxa"/>
            <w:vAlign w:val="bottom"/>
            <w:shd w:val="clear" w:color="auto" w:fill="CCEEFF"/>
          </w:tcPr>
          <w:p>
            <w:pPr>
              <w:jc w:val="right"/>
              <w:ind w:right="499"/>
              <w:spacing w:after="0"/>
              <w:rPr>
                <w:sz w:val="20"/>
                <w:szCs w:val="20"/>
                <w:color w:val="auto"/>
              </w:rPr>
            </w:pPr>
            <w:r>
              <w:rPr>
                <w:rFonts w:ascii="Arial" w:cs="Arial" w:eastAsia="Arial" w:hAnsi="Arial"/>
                <w:sz w:val="18"/>
                <w:szCs w:val="18"/>
                <w:color w:val="auto"/>
              </w:rPr>
              <w:t>227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3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r>
    </w:tbl>
    <w:p>
      <w:pPr>
        <w:spacing w:after="0" w:line="9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Overall commodity contract volume increased in the third quarter of 2020 compared with the same period in 2019, but decreased in the first nine months of 2020 when compared with the same period in 2019. The increase in the third quarter was mainly attributable to an increase in soybean and wheat volume, which we believe was the result of an increase in demand in commodities from China. In the third quarter and first nine months of 2020 when compared with 2019, corn contract volume decreased due to continued lower price volatility, which we believe was caused by the existence of large stock piles and lower demand.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 Products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contract volume for our key energy products.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6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320" w:type="dxa"/>
            <w:vAlign w:val="bottom"/>
            <w:gridSpan w:val="2"/>
          </w:tcPr>
          <w:p>
            <w:pPr>
              <w:jc w:val="right"/>
              <w:ind w:right="475"/>
              <w:spacing w:after="0"/>
              <w:rPr>
                <w:sz w:val="20"/>
                <w:szCs w:val="20"/>
                <w:color w:val="auto"/>
              </w:rPr>
            </w:pPr>
            <w:r>
              <w:rPr>
                <w:rFonts w:ascii="Arial" w:cs="Arial" w:eastAsia="Arial" w:hAnsi="Arial"/>
                <w:sz w:val="14"/>
                <w:szCs w:val="14"/>
                <w:b w:val="1"/>
                <w:bCs w:val="1"/>
                <w:color w:val="auto"/>
              </w:rPr>
              <w:t>Nine Months Ended</w:t>
            </w:r>
          </w:p>
        </w:tc>
        <w:tc>
          <w:tcPr>
            <w:tcW w:w="1360" w:type="dxa"/>
            <w:vAlign w:val="bottom"/>
          </w:tcPr>
          <w:p>
            <w:pPr>
              <w:spacing w:after="0"/>
              <w:rPr>
                <w:sz w:val="14"/>
                <w:szCs w:val="14"/>
                <w:color w:val="auto"/>
              </w:rPr>
            </w:pPr>
          </w:p>
        </w:tc>
      </w:tr>
      <w:tr>
        <w:trPr>
          <w:trHeight w:val="186"/>
        </w:trPr>
        <w:tc>
          <w:tcPr>
            <w:tcW w:w="3800" w:type="dxa"/>
            <w:vAlign w:val="bottom"/>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16"/>
                <w:szCs w:val="16"/>
                <w:color w:val="auto"/>
              </w:rPr>
            </w:pPr>
          </w:p>
        </w:tc>
        <w:tc>
          <w:tcPr>
            <w:tcW w:w="1480" w:type="dxa"/>
            <w:vAlign w:val="bottom"/>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184"/>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(amounts in thousands)</w:t>
            </w:r>
          </w:p>
        </w:tc>
        <w:tc>
          <w:tcPr>
            <w:tcW w:w="1600" w:type="dxa"/>
            <w:vAlign w:val="bottom"/>
            <w:tcBorders>
              <w:bottom w:val="single" w:sz="8" w:color="auto"/>
            </w:tcBorders>
          </w:tcPr>
          <w:p>
            <w:pPr>
              <w:jc w:val="right"/>
              <w:ind w:right="839"/>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w w:val="83"/>
              </w:rPr>
              <w:t>2019</w:t>
            </w:r>
          </w:p>
        </w:tc>
        <w:tc>
          <w:tcPr>
            <w:tcW w:w="148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Change</w:t>
            </w:r>
          </w:p>
        </w:tc>
        <w:tc>
          <w:tcPr>
            <w:tcW w:w="1600" w:type="dxa"/>
            <w:vAlign w:val="bottom"/>
            <w:tcBorders>
              <w:bottom w:val="single" w:sz="8" w:color="auto"/>
            </w:tcBorders>
          </w:tcPr>
          <w:p>
            <w:pPr>
              <w:jc w:val="right"/>
              <w:ind w:right="819"/>
              <w:spacing w:after="0"/>
              <w:rPr>
                <w:sz w:val="20"/>
                <w:szCs w:val="20"/>
                <w:color w:val="auto"/>
              </w:rPr>
            </w:pPr>
            <w:r>
              <w:rPr>
                <w:rFonts w:ascii="Arial" w:cs="Arial" w:eastAsia="Arial" w:hAnsi="Arial"/>
                <w:sz w:val="14"/>
                <w:szCs w:val="14"/>
                <w:b w:val="1"/>
                <w:bCs w:val="1"/>
                <w:color w:val="auto"/>
              </w:rPr>
              <w:t>2020</w:t>
            </w:r>
          </w:p>
        </w:tc>
        <w:tc>
          <w:tcPr>
            <w:tcW w:w="7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w w:val="89"/>
              </w:rPr>
              <w:t>2019</w:t>
            </w:r>
          </w:p>
        </w:tc>
        <w:tc>
          <w:tcPr>
            <w:tcW w:w="136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Change</w:t>
            </w:r>
          </w:p>
        </w:tc>
      </w:tr>
      <w:tr>
        <w:trPr>
          <w:trHeight w:val="224"/>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WTI crude oil</w:t>
            </w:r>
          </w:p>
        </w:tc>
        <w:tc>
          <w:tcPr>
            <w:tcW w:w="1600" w:type="dxa"/>
            <w:vAlign w:val="bottom"/>
            <w:shd w:val="clear" w:color="auto" w:fill="CCEEFF"/>
          </w:tcPr>
          <w:p>
            <w:pPr>
              <w:jc w:val="right"/>
              <w:ind w:right="519"/>
              <w:spacing w:after="0"/>
              <w:rPr>
                <w:sz w:val="20"/>
                <w:szCs w:val="20"/>
                <w:color w:val="auto"/>
              </w:rPr>
            </w:pPr>
            <w:r>
              <w:rPr>
                <w:rFonts w:ascii="Arial" w:cs="Arial" w:eastAsia="Arial" w:hAnsi="Arial"/>
                <w:sz w:val="18"/>
                <w:szCs w:val="18"/>
                <w:color w:val="auto"/>
              </w:rPr>
              <w:t>873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14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(38)%</w:t>
            </w:r>
          </w:p>
        </w:tc>
        <w:tc>
          <w:tcPr>
            <w:tcW w:w="1600" w:type="dxa"/>
            <w:vAlign w:val="bottom"/>
            <w:shd w:val="clear" w:color="auto" w:fill="CCEEFF"/>
          </w:tcPr>
          <w:p>
            <w:pPr>
              <w:jc w:val="right"/>
              <w:ind w:right="499"/>
              <w:spacing w:after="0"/>
              <w:rPr>
                <w:sz w:val="20"/>
                <w:szCs w:val="20"/>
                <w:color w:val="auto"/>
              </w:rPr>
            </w:pPr>
            <w:r>
              <w:rPr>
                <w:rFonts w:ascii="Arial" w:cs="Arial" w:eastAsia="Arial" w:hAnsi="Arial"/>
                <w:sz w:val="18"/>
                <w:szCs w:val="18"/>
                <w:color w:val="auto"/>
              </w:rPr>
              <w:t>1,369</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w:t>
            </w:r>
          </w:p>
        </w:tc>
        <w:tc>
          <w:tcPr>
            <w:tcW w:w="1360" w:type="dxa"/>
            <w:vAlign w:val="bottom"/>
            <w:shd w:val="clear" w:color="auto" w:fill="CCEEFF"/>
          </w:tcPr>
          <w:p>
            <w:pPr>
              <w:ind w:left="980"/>
              <w:spacing w:after="0"/>
              <w:rPr>
                <w:sz w:val="20"/>
                <w:szCs w:val="20"/>
                <w:color w:val="auto"/>
              </w:rPr>
            </w:pPr>
            <w:r>
              <w:rPr>
                <w:rFonts w:ascii="Arial" w:cs="Arial" w:eastAsia="Arial" w:hAnsi="Arial"/>
                <w:sz w:val="18"/>
                <w:szCs w:val="18"/>
                <w:color w:val="auto"/>
                <w:w w:val="94"/>
              </w:rPr>
              <w:t>(3)%</w:t>
            </w:r>
          </w:p>
        </w:tc>
      </w:tr>
      <w:tr>
        <w:trPr>
          <w:trHeight w:val="229"/>
        </w:trPr>
        <w:tc>
          <w:tcPr>
            <w:tcW w:w="3800" w:type="dxa"/>
            <w:vAlign w:val="bottom"/>
          </w:tcPr>
          <w:p>
            <w:pPr>
              <w:ind w:left="20"/>
              <w:spacing w:after="0"/>
              <w:rPr>
                <w:sz w:val="20"/>
                <w:szCs w:val="20"/>
                <w:color w:val="auto"/>
              </w:rPr>
            </w:pPr>
            <w:r>
              <w:rPr>
                <w:rFonts w:ascii="Arial" w:cs="Arial" w:eastAsia="Arial" w:hAnsi="Arial"/>
                <w:sz w:val="18"/>
                <w:szCs w:val="18"/>
                <w:color w:val="auto"/>
              </w:rPr>
              <w:t>Natural gas</w:t>
            </w:r>
          </w:p>
        </w:tc>
        <w:tc>
          <w:tcPr>
            <w:tcW w:w="1600" w:type="dxa"/>
            <w:vAlign w:val="bottom"/>
          </w:tcPr>
          <w:p>
            <w:pPr>
              <w:jc w:val="right"/>
              <w:ind w:right="519"/>
              <w:spacing w:after="0"/>
              <w:rPr>
                <w:sz w:val="20"/>
                <w:szCs w:val="20"/>
                <w:color w:val="auto"/>
              </w:rPr>
            </w:pPr>
            <w:r>
              <w:rPr>
                <w:rFonts w:ascii="Arial" w:cs="Arial" w:eastAsia="Arial" w:hAnsi="Arial"/>
                <w:sz w:val="18"/>
                <w:szCs w:val="18"/>
                <w:color w:val="auto"/>
              </w:rPr>
              <w:t>582</w:t>
            </w:r>
          </w:p>
        </w:tc>
        <w:tc>
          <w:tcPr>
            <w:tcW w:w="680" w:type="dxa"/>
            <w:vAlign w:val="bottom"/>
          </w:tcPr>
          <w:p>
            <w:pPr>
              <w:jc w:val="right"/>
              <w:spacing w:after="0"/>
              <w:rPr>
                <w:sz w:val="20"/>
                <w:szCs w:val="20"/>
                <w:color w:val="auto"/>
              </w:rPr>
            </w:pPr>
            <w:r>
              <w:rPr>
                <w:rFonts w:ascii="Arial" w:cs="Arial" w:eastAsia="Arial" w:hAnsi="Arial"/>
                <w:sz w:val="18"/>
                <w:szCs w:val="18"/>
                <w:color w:val="auto"/>
              </w:rPr>
              <w:t>560</w:t>
            </w:r>
          </w:p>
        </w:tc>
        <w:tc>
          <w:tcPr>
            <w:tcW w:w="1480" w:type="dxa"/>
            <w:vAlign w:val="bottom"/>
          </w:tcPr>
          <w:p>
            <w:pPr>
              <w:jc w:val="right"/>
              <w:ind w:right="255"/>
              <w:spacing w:after="0"/>
              <w:rPr>
                <w:sz w:val="20"/>
                <w:szCs w:val="20"/>
                <w:color w:val="auto"/>
              </w:rPr>
            </w:pPr>
            <w:r>
              <w:rPr>
                <w:rFonts w:ascii="Arial" w:cs="Arial" w:eastAsia="Arial" w:hAnsi="Arial"/>
                <w:sz w:val="18"/>
                <w:szCs w:val="18"/>
                <w:color w:val="auto"/>
              </w:rPr>
              <w:t>4</w:t>
            </w:r>
          </w:p>
        </w:tc>
        <w:tc>
          <w:tcPr>
            <w:tcW w:w="1600" w:type="dxa"/>
            <w:vAlign w:val="bottom"/>
          </w:tcPr>
          <w:p>
            <w:pPr>
              <w:jc w:val="right"/>
              <w:ind w:right="499"/>
              <w:spacing w:after="0"/>
              <w:rPr>
                <w:sz w:val="20"/>
                <w:szCs w:val="20"/>
                <w:color w:val="auto"/>
              </w:rPr>
            </w:pPr>
            <w:r>
              <w:rPr>
                <w:rFonts w:ascii="Arial" w:cs="Arial" w:eastAsia="Arial" w:hAnsi="Arial"/>
                <w:sz w:val="18"/>
                <w:szCs w:val="18"/>
                <w:color w:val="auto"/>
              </w:rPr>
              <w:t>657</w:t>
            </w:r>
          </w:p>
        </w:tc>
        <w:tc>
          <w:tcPr>
            <w:tcW w:w="720" w:type="dxa"/>
            <w:vAlign w:val="bottom"/>
          </w:tcPr>
          <w:p>
            <w:pPr>
              <w:jc w:val="right"/>
              <w:spacing w:after="0"/>
              <w:rPr>
                <w:sz w:val="20"/>
                <w:szCs w:val="20"/>
                <w:color w:val="auto"/>
              </w:rPr>
            </w:pPr>
            <w:r>
              <w:rPr>
                <w:rFonts w:ascii="Arial" w:cs="Arial" w:eastAsia="Arial" w:hAnsi="Arial"/>
                <w:sz w:val="18"/>
                <w:szCs w:val="18"/>
                <w:color w:val="auto"/>
              </w:rPr>
              <w:t>500</w:t>
            </w:r>
          </w:p>
        </w:tc>
        <w:tc>
          <w:tcPr>
            <w:tcW w:w="1360" w:type="dxa"/>
            <w:vAlign w:val="bottom"/>
          </w:tcPr>
          <w:p>
            <w:pPr>
              <w:ind w:left="960"/>
              <w:spacing w:after="0"/>
              <w:rPr>
                <w:sz w:val="20"/>
                <w:szCs w:val="20"/>
                <w:color w:val="auto"/>
              </w:rPr>
            </w:pPr>
            <w:r>
              <w:rPr>
                <w:rFonts w:ascii="Arial" w:cs="Arial" w:eastAsia="Arial" w:hAnsi="Arial"/>
                <w:sz w:val="18"/>
                <w:szCs w:val="18"/>
                <w:color w:val="auto"/>
              </w:rPr>
              <w:t>31</w:t>
            </w:r>
          </w:p>
        </w:tc>
      </w:tr>
      <w:tr>
        <w:trPr>
          <w:trHeight w:val="230"/>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Refined products</w:t>
            </w:r>
          </w:p>
        </w:tc>
        <w:tc>
          <w:tcPr>
            <w:tcW w:w="1600" w:type="dxa"/>
            <w:vAlign w:val="bottom"/>
            <w:shd w:val="clear" w:color="auto" w:fill="CCEEFF"/>
          </w:tcPr>
          <w:p>
            <w:pPr>
              <w:jc w:val="right"/>
              <w:ind w:right="519"/>
              <w:spacing w:after="0"/>
              <w:rPr>
                <w:sz w:val="20"/>
                <w:szCs w:val="20"/>
                <w:color w:val="auto"/>
              </w:rPr>
            </w:pPr>
            <w:r>
              <w:rPr>
                <w:rFonts w:ascii="Arial" w:cs="Arial" w:eastAsia="Arial" w:hAnsi="Arial"/>
                <w:sz w:val="18"/>
                <w:szCs w:val="18"/>
                <w:color w:val="auto"/>
              </w:rPr>
              <w:t>307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4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(15)</w:t>
            </w:r>
          </w:p>
        </w:tc>
        <w:tc>
          <w:tcPr>
            <w:tcW w:w="1600" w:type="dxa"/>
            <w:vAlign w:val="bottom"/>
            <w:shd w:val="clear" w:color="auto" w:fill="CCEEFF"/>
          </w:tcPr>
          <w:p>
            <w:pPr>
              <w:jc w:val="right"/>
              <w:ind w:right="499"/>
              <w:spacing w:after="0"/>
              <w:rPr>
                <w:sz w:val="20"/>
                <w:szCs w:val="20"/>
                <w:color w:val="auto"/>
              </w:rPr>
            </w:pPr>
            <w:r>
              <w:rPr>
                <w:rFonts w:ascii="Arial" w:cs="Arial" w:eastAsia="Arial" w:hAnsi="Arial"/>
                <w:sz w:val="18"/>
                <w:szCs w:val="18"/>
                <w:color w:val="auto"/>
              </w:rPr>
              <w:t>379</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3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(1)</w:t>
            </w:r>
          </w:p>
        </w:tc>
      </w:tr>
    </w:tbl>
    <w:p>
      <w:pPr>
        <w:spacing w:after="0" w:line="9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Overall energy contract volumes decreased in the third quarter when compared with the same period in 2019, which we believe was largely due to decreases in price volatility. The crude oil market remains less volatile as the market continues to rebalance from a reduction in demand caused by the COVID-19 pandemic. The increase in volume in the first nine months of 2020 when compared with the same period in 2019 was largely attributable to an increase in natural gas contract volume due to volatility caused by significant price declines in early 2020, which resulted from a reduction of global demand.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Metal Products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volume for our key metal products.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6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300" w:type="dxa"/>
            <w:vAlign w:val="bottom"/>
            <w:gridSpan w:val="2"/>
          </w:tcPr>
          <w:p>
            <w:pPr>
              <w:jc w:val="right"/>
              <w:ind w:right="475"/>
              <w:spacing w:after="0"/>
              <w:rPr>
                <w:sz w:val="20"/>
                <w:szCs w:val="20"/>
                <w:color w:val="auto"/>
              </w:rPr>
            </w:pPr>
            <w:r>
              <w:rPr>
                <w:rFonts w:ascii="Arial" w:cs="Arial" w:eastAsia="Arial" w:hAnsi="Arial"/>
                <w:sz w:val="14"/>
                <w:szCs w:val="14"/>
                <w:b w:val="1"/>
                <w:bCs w:val="1"/>
                <w:color w:val="auto"/>
              </w:rPr>
              <w:t>Nine Months Ended</w:t>
            </w:r>
          </w:p>
        </w:tc>
        <w:tc>
          <w:tcPr>
            <w:tcW w:w="1360" w:type="dxa"/>
            <w:vAlign w:val="bottom"/>
          </w:tcPr>
          <w:p>
            <w:pPr>
              <w:spacing w:after="0"/>
              <w:rPr>
                <w:sz w:val="14"/>
                <w:szCs w:val="14"/>
                <w:color w:val="auto"/>
              </w:rPr>
            </w:pPr>
          </w:p>
        </w:tc>
      </w:tr>
      <w:tr>
        <w:trPr>
          <w:trHeight w:val="186"/>
        </w:trPr>
        <w:tc>
          <w:tcPr>
            <w:tcW w:w="3820" w:type="dxa"/>
            <w:vAlign w:val="bottom"/>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16"/>
                <w:szCs w:val="16"/>
                <w:color w:val="auto"/>
              </w:rPr>
            </w:pPr>
          </w:p>
        </w:tc>
        <w:tc>
          <w:tcPr>
            <w:tcW w:w="1480" w:type="dxa"/>
            <w:vAlign w:val="bottom"/>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184"/>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(amounts in thousands)</w:t>
            </w:r>
          </w:p>
        </w:tc>
        <w:tc>
          <w:tcPr>
            <w:tcW w:w="1600" w:type="dxa"/>
            <w:vAlign w:val="bottom"/>
            <w:tcBorders>
              <w:bottom w:val="single" w:sz="8" w:color="auto"/>
            </w:tcBorders>
          </w:tcPr>
          <w:p>
            <w:pPr>
              <w:jc w:val="right"/>
              <w:ind w:right="839"/>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w w:val="83"/>
              </w:rPr>
              <w:t>2019</w:t>
            </w:r>
          </w:p>
        </w:tc>
        <w:tc>
          <w:tcPr>
            <w:tcW w:w="14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Change</w:t>
            </w:r>
          </w:p>
        </w:tc>
        <w:tc>
          <w:tcPr>
            <w:tcW w:w="1600" w:type="dxa"/>
            <w:vAlign w:val="bottom"/>
            <w:tcBorders>
              <w:bottom w:val="single" w:sz="8" w:color="auto"/>
            </w:tcBorders>
          </w:tcPr>
          <w:p>
            <w:pPr>
              <w:jc w:val="right"/>
              <w:ind w:right="819"/>
              <w:spacing w:after="0"/>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w w:val="89"/>
              </w:rPr>
              <w:t>2019</w:t>
            </w:r>
          </w:p>
        </w:tc>
        <w:tc>
          <w:tcPr>
            <w:tcW w:w="136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Change</w:t>
            </w:r>
          </w:p>
        </w:tc>
      </w:tr>
      <w:tr>
        <w:trPr>
          <w:trHeight w:val="224"/>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Gold</w:t>
            </w:r>
          </w:p>
        </w:tc>
        <w:tc>
          <w:tcPr>
            <w:tcW w:w="1600" w:type="dxa"/>
            <w:vAlign w:val="bottom"/>
            <w:shd w:val="clear" w:color="auto" w:fill="CCEEFF"/>
          </w:tcPr>
          <w:p>
            <w:pPr>
              <w:jc w:val="right"/>
              <w:ind w:right="499"/>
              <w:spacing w:after="0"/>
              <w:rPr>
                <w:sz w:val="20"/>
                <w:szCs w:val="20"/>
                <w:color w:val="auto"/>
              </w:rPr>
            </w:pPr>
            <w:r>
              <w:rPr>
                <w:rFonts w:ascii="Arial" w:cs="Arial" w:eastAsia="Arial" w:hAnsi="Arial"/>
                <w:sz w:val="18"/>
                <w:szCs w:val="18"/>
                <w:color w:val="auto"/>
              </w:rPr>
              <w:t>526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4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w:t>
            </w:r>
          </w:p>
        </w:tc>
        <w:tc>
          <w:tcPr>
            <w:tcW w:w="1600" w:type="dxa"/>
            <w:vAlign w:val="bottom"/>
            <w:shd w:val="clear" w:color="auto" w:fill="CCEEFF"/>
          </w:tcPr>
          <w:p>
            <w:pPr>
              <w:jc w:val="right"/>
              <w:ind w:right="499"/>
              <w:spacing w:after="0"/>
              <w:rPr>
                <w:sz w:val="20"/>
                <w:szCs w:val="20"/>
                <w:color w:val="auto"/>
              </w:rPr>
            </w:pPr>
            <w:r>
              <w:rPr>
                <w:rFonts w:ascii="Arial" w:cs="Arial" w:eastAsia="Arial" w:hAnsi="Arial"/>
                <w:sz w:val="18"/>
                <w:szCs w:val="18"/>
                <w:color w:val="auto"/>
              </w:rPr>
              <w:t>490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360" w:type="dxa"/>
            <w:vAlign w:val="bottom"/>
            <w:shd w:val="clear" w:color="auto" w:fill="CCEEFF"/>
          </w:tcPr>
          <w:p>
            <w:pPr>
              <w:ind w:left="960"/>
              <w:spacing w:after="0"/>
              <w:rPr>
                <w:sz w:val="20"/>
                <w:szCs w:val="20"/>
                <w:color w:val="auto"/>
              </w:rPr>
            </w:pPr>
            <w:r>
              <w:rPr>
                <w:rFonts w:ascii="Arial" w:cs="Arial" w:eastAsia="Arial" w:hAnsi="Arial"/>
                <w:sz w:val="18"/>
                <w:szCs w:val="18"/>
                <w:color w:val="auto"/>
                <w:w w:val="92"/>
              </w:rPr>
              <w:t>13 %</w:t>
            </w: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Silver</w:t>
            </w:r>
          </w:p>
        </w:tc>
        <w:tc>
          <w:tcPr>
            <w:tcW w:w="1600" w:type="dxa"/>
            <w:vAlign w:val="bottom"/>
          </w:tcPr>
          <w:p>
            <w:pPr>
              <w:jc w:val="right"/>
              <w:ind w:right="499"/>
              <w:spacing w:after="0"/>
              <w:rPr>
                <w:sz w:val="20"/>
                <w:szCs w:val="20"/>
                <w:color w:val="auto"/>
              </w:rPr>
            </w:pPr>
            <w:r>
              <w:rPr>
                <w:rFonts w:ascii="Arial" w:cs="Arial" w:eastAsia="Arial" w:hAnsi="Arial"/>
                <w:sz w:val="18"/>
                <w:szCs w:val="18"/>
                <w:color w:val="auto"/>
              </w:rPr>
              <w:t>180</w:t>
            </w:r>
          </w:p>
        </w:tc>
        <w:tc>
          <w:tcPr>
            <w:tcW w:w="680" w:type="dxa"/>
            <w:vAlign w:val="bottom"/>
          </w:tcPr>
          <w:p>
            <w:pPr>
              <w:jc w:val="right"/>
              <w:spacing w:after="0"/>
              <w:rPr>
                <w:sz w:val="20"/>
                <w:szCs w:val="20"/>
                <w:color w:val="auto"/>
              </w:rPr>
            </w:pPr>
            <w:r>
              <w:rPr>
                <w:rFonts w:ascii="Arial" w:cs="Arial" w:eastAsia="Arial" w:hAnsi="Arial"/>
                <w:sz w:val="18"/>
                <w:szCs w:val="18"/>
                <w:color w:val="auto"/>
              </w:rPr>
              <w:t>137</w:t>
            </w:r>
          </w:p>
        </w:tc>
        <w:tc>
          <w:tcPr>
            <w:tcW w:w="1480" w:type="dxa"/>
            <w:vAlign w:val="bottom"/>
          </w:tcPr>
          <w:p>
            <w:pPr>
              <w:jc w:val="right"/>
              <w:ind w:right="235"/>
              <w:spacing w:after="0"/>
              <w:rPr>
                <w:sz w:val="20"/>
                <w:szCs w:val="20"/>
                <w:color w:val="auto"/>
              </w:rPr>
            </w:pPr>
            <w:r>
              <w:rPr>
                <w:rFonts w:ascii="Arial" w:cs="Arial" w:eastAsia="Arial" w:hAnsi="Arial"/>
                <w:sz w:val="18"/>
                <w:szCs w:val="18"/>
                <w:color w:val="auto"/>
              </w:rPr>
              <w:t>31</w:t>
            </w:r>
          </w:p>
        </w:tc>
        <w:tc>
          <w:tcPr>
            <w:tcW w:w="1600" w:type="dxa"/>
            <w:vAlign w:val="bottom"/>
          </w:tcPr>
          <w:p>
            <w:pPr>
              <w:jc w:val="right"/>
              <w:ind w:right="499"/>
              <w:spacing w:after="0"/>
              <w:rPr>
                <w:sz w:val="20"/>
                <w:szCs w:val="20"/>
                <w:color w:val="auto"/>
              </w:rPr>
            </w:pPr>
            <w:r>
              <w:rPr>
                <w:rFonts w:ascii="Arial" w:cs="Arial" w:eastAsia="Arial" w:hAnsi="Arial"/>
                <w:sz w:val="18"/>
                <w:szCs w:val="18"/>
                <w:color w:val="auto"/>
              </w:rPr>
              <w:t>129</w:t>
            </w:r>
          </w:p>
        </w:tc>
        <w:tc>
          <w:tcPr>
            <w:tcW w:w="700" w:type="dxa"/>
            <w:vAlign w:val="bottom"/>
          </w:tcPr>
          <w:p>
            <w:pPr>
              <w:jc w:val="right"/>
              <w:spacing w:after="0"/>
              <w:rPr>
                <w:sz w:val="20"/>
                <w:szCs w:val="20"/>
                <w:color w:val="auto"/>
              </w:rPr>
            </w:pPr>
            <w:r>
              <w:rPr>
                <w:rFonts w:ascii="Arial" w:cs="Arial" w:eastAsia="Arial" w:hAnsi="Arial"/>
                <w:sz w:val="18"/>
                <w:szCs w:val="18"/>
                <w:color w:val="auto"/>
              </w:rPr>
              <w:t>109</w:t>
            </w:r>
          </w:p>
        </w:tc>
        <w:tc>
          <w:tcPr>
            <w:tcW w:w="1360" w:type="dxa"/>
            <w:vAlign w:val="bottom"/>
          </w:tcPr>
          <w:p>
            <w:pPr>
              <w:ind w:left="960"/>
              <w:spacing w:after="0"/>
              <w:rPr>
                <w:sz w:val="20"/>
                <w:szCs w:val="20"/>
                <w:color w:val="auto"/>
              </w:rPr>
            </w:pPr>
            <w:r>
              <w:rPr>
                <w:rFonts w:ascii="Arial" w:cs="Arial" w:eastAsia="Arial" w:hAnsi="Arial"/>
                <w:sz w:val="18"/>
                <w:szCs w:val="18"/>
                <w:color w:val="auto"/>
              </w:rPr>
              <w:t>18</w:t>
            </w:r>
          </w:p>
        </w:tc>
      </w:tr>
      <w:tr>
        <w:trPr>
          <w:trHeight w:val="230"/>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Copper</w:t>
            </w:r>
          </w:p>
        </w:tc>
        <w:tc>
          <w:tcPr>
            <w:tcW w:w="1600" w:type="dxa"/>
            <w:vAlign w:val="bottom"/>
            <w:shd w:val="clear" w:color="auto" w:fill="CCEEFF"/>
          </w:tcPr>
          <w:p>
            <w:pPr>
              <w:jc w:val="right"/>
              <w:ind w:right="499"/>
              <w:spacing w:after="0"/>
              <w:rPr>
                <w:sz w:val="20"/>
                <w:szCs w:val="20"/>
                <w:color w:val="auto"/>
              </w:rPr>
            </w:pPr>
            <w:r>
              <w:rPr>
                <w:rFonts w:ascii="Arial" w:cs="Arial" w:eastAsia="Arial" w:hAnsi="Arial"/>
                <w:sz w:val="18"/>
                <w:szCs w:val="18"/>
                <w:color w:val="auto"/>
              </w:rPr>
              <w:t>99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48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7</w:t>
            </w:r>
          </w:p>
        </w:tc>
        <w:tc>
          <w:tcPr>
            <w:tcW w:w="1600" w:type="dxa"/>
            <w:vAlign w:val="bottom"/>
            <w:shd w:val="clear" w:color="auto" w:fill="CCEEFF"/>
          </w:tcPr>
          <w:p>
            <w:pPr>
              <w:jc w:val="right"/>
              <w:ind w:right="499"/>
              <w:spacing w:after="0"/>
              <w:rPr>
                <w:sz w:val="20"/>
                <w:szCs w:val="20"/>
                <w:color w:val="auto"/>
              </w:rPr>
            </w:pPr>
            <w:r>
              <w:rPr>
                <w:rFonts w:ascii="Arial" w:cs="Arial" w:eastAsia="Arial" w:hAnsi="Arial"/>
                <w:sz w:val="18"/>
                <w:szCs w:val="18"/>
                <w:color w:val="auto"/>
              </w:rPr>
              <w:t>101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36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r>
    </w:tbl>
    <w:p>
      <w:pPr>
        <w:spacing w:after="0" w:line="94"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In the third quarter and the first nine months of 2020, metals volumes increased when compared with the same periods in 2019. We believe these increases are largely due to investors using gold and other precious metals as safe-haven alternative investments due to significant uncertainty within other markets caused by the COVID-19 pandemic.</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Average Rate per Contract</w:t>
      </w:r>
    </w:p>
    <w:p>
      <w:pPr>
        <w:spacing w:after="0" w:line="10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average rate per contract increased in the third quarter and first nine months of 2020 when compared with the same period in 2019. The increases were largely due to a shift in product mix. Interest rate contract volume, as a percentage of total volume, decreased by 20% in the third quarter when compared with the same period in 2019, respectively, while all other products collectively increased by 20%. Interest rate contract volume, as a percentage of total volume, decreased by 12% in the first nine months when compared with the same period in 2019, respectively, while all other products collectively increased by 12%. In general, interest rate products have a lower rate per contract compared with the remaining contracts. The increases in average rate per contract were partially offset by the introduction of the micro-E-mini equity index contracts, which have a lower average rate per contract compared with a standard E-mini contract. Micro-E-mini equity index contracts have a notional size of one-tenth of the traditional E-mini contracts.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Markets Business</w:t>
      </w:r>
    </w:p>
    <w:p>
      <w:pPr>
        <w:spacing w:after="0" w:line="117"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Total clearing and transaction fees revenues in the third quarter and the first nine months of 2020 include $105.6 million and $342.4 million of transaction fees attributable to the cash markets business acquired from NEX compared with $124.9 million and $368.5 million in the third quarter and first nine months of 2019, respectively. This revenue primarily includes BrokerTec Americas LLC's fixed income volume and EBS's foreign exchange volume.</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ind w:left="480"/>
              <w:spacing w:after="0"/>
              <w:rPr>
                <w:sz w:val="20"/>
                <w:szCs w:val="20"/>
                <w:color w:val="auto"/>
              </w:rPr>
            </w:pPr>
            <w:r>
              <w:rPr>
                <w:rFonts w:ascii="Arial" w:cs="Arial" w:eastAsia="Arial" w:hAnsi="Arial"/>
                <w:sz w:val="14"/>
                <w:szCs w:val="14"/>
                <w:b w:val="1"/>
                <w:bCs w:val="1"/>
                <w:color w:val="auto"/>
                <w:w w:val="96"/>
              </w:rPr>
              <w:t>Quarter Ended</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2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4"/>
              </w:rPr>
              <w:t>Nine Months Ended</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ind w:left="520"/>
              <w:spacing w:after="0"/>
              <w:rPr>
                <w:sz w:val="20"/>
                <w:szCs w:val="20"/>
                <w:color w:val="auto"/>
              </w:rPr>
            </w:pPr>
            <w:r>
              <w:rPr>
                <w:rFonts w:ascii="Arial" w:cs="Arial" w:eastAsia="Arial" w:hAnsi="Arial"/>
                <w:sz w:val="14"/>
                <w:szCs w:val="14"/>
                <w:b w:val="1"/>
                <w:bCs w:val="1"/>
                <w:color w:val="auto"/>
                <w:w w:val="93"/>
              </w:rPr>
              <w:t>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left="421"/>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4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(amounts in millions)</w:t>
            </w:r>
          </w:p>
        </w:tc>
        <w:tc>
          <w:tcPr>
            <w:tcW w:w="260" w:type="dxa"/>
            <w:vAlign w:val="bottom"/>
          </w:tcPr>
          <w:p>
            <w:pPr>
              <w:spacing w:after="0"/>
              <w:rPr>
                <w:sz w:val="15"/>
                <w:szCs w:val="15"/>
                <w:color w:val="auto"/>
              </w:rPr>
            </w:pPr>
          </w:p>
        </w:tc>
        <w:tc>
          <w:tcPr>
            <w:tcW w:w="940" w:type="dxa"/>
            <w:vAlign w:val="bottom"/>
          </w:tcPr>
          <w:p>
            <w:pPr>
              <w:ind w:left="160"/>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5"/>
                <w:szCs w:val="15"/>
                <w:color w:val="auto"/>
              </w:rPr>
            </w:pPr>
          </w:p>
        </w:tc>
        <w:tc>
          <w:tcPr>
            <w:tcW w:w="760" w:type="dxa"/>
            <w:vAlign w:val="bottom"/>
          </w:tcPr>
          <w:p>
            <w:pPr>
              <w:jc w:val="right"/>
              <w:ind w:right="356"/>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5"/>
                <w:szCs w:val="15"/>
                <w:color w:val="auto"/>
              </w:rPr>
            </w:pPr>
          </w:p>
        </w:tc>
        <w:tc>
          <w:tcPr>
            <w:tcW w:w="1360" w:type="dxa"/>
            <w:vAlign w:val="bottom"/>
            <w:gridSpan w:val="2"/>
          </w:tcPr>
          <w:p>
            <w:pPr>
              <w:ind w:left="380"/>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5"/>
                <w:szCs w:val="15"/>
                <w:color w:val="auto"/>
              </w:rPr>
            </w:pPr>
          </w:p>
        </w:tc>
        <w:tc>
          <w:tcPr>
            <w:tcW w:w="940" w:type="dxa"/>
            <w:vAlign w:val="bottom"/>
          </w:tcPr>
          <w:p>
            <w:pPr>
              <w:jc w:val="right"/>
              <w:ind w:right="401"/>
              <w:spacing w:after="0"/>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5"/>
                <w:szCs w:val="15"/>
                <w:color w:val="auto"/>
              </w:rPr>
            </w:pPr>
          </w:p>
        </w:tc>
        <w:tc>
          <w:tcPr>
            <w:tcW w:w="760" w:type="dxa"/>
            <w:vAlign w:val="bottom"/>
          </w:tcPr>
          <w:p>
            <w:pPr>
              <w:jc w:val="right"/>
              <w:ind w:right="356"/>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5"/>
                <w:szCs w:val="15"/>
                <w:color w:val="auto"/>
              </w:rPr>
            </w:pPr>
          </w:p>
        </w:tc>
        <w:tc>
          <w:tcPr>
            <w:tcW w:w="1260" w:type="dxa"/>
            <w:vAlign w:val="bottom"/>
          </w:tcPr>
          <w:p>
            <w:pPr>
              <w:ind w:left="4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78"/>
        </w:trPr>
        <w:tc>
          <w:tcPr>
            <w:tcW w:w="3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BrokerTec U.S.'s fixed income transaction</w:t>
            </w:r>
          </w:p>
        </w:tc>
        <w:tc>
          <w:tcPr>
            <w:tcW w:w="260" w:type="dxa"/>
            <w:vAlign w:val="bottom"/>
            <w:tcBorders>
              <w:top w:val="single" w:sz="8" w:color="auto"/>
            </w:tcBorders>
            <w:shd w:val="clear" w:color="auto" w:fill="CCEEFF"/>
          </w:tcPr>
          <w:p>
            <w:pPr>
              <w:spacing w:after="0"/>
              <w:rPr>
                <w:sz w:val="24"/>
                <w:szCs w:val="24"/>
                <w:color w:val="auto"/>
              </w:rPr>
            </w:pPr>
          </w:p>
        </w:tc>
        <w:tc>
          <w:tcPr>
            <w:tcW w:w="940" w:type="dxa"/>
            <w:vAlign w:val="bottom"/>
            <w:tcBorders>
              <w:top w:val="single" w:sz="8" w:color="auto"/>
            </w:tcBorders>
            <w:shd w:val="clear" w:color="auto" w:fill="CCEEFF"/>
          </w:tcPr>
          <w:p>
            <w:pPr>
              <w:spacing w:after="0"/>
              <w:rPr>
                <w:sz w:val="24"/>
                <w:szCs w:val="24"/>
                <w:color w:val="auto"/>
              </w:rPr>
            </w:pPr>
          </w:p>
        </w:tc>
        <w:tc>
          <w:tcPr>
            <w:tcW w:w="500" w:type="dxa"/>
            <w:vAlign w:val="bottom"/>
            <w:tcBorders>
              <w:top w:val="single" w:sz="8" w:color="auto"/>
            </w:tcBorders>
            <w:shd w:val="clear" w:color="auto" w:fill="CCEEFF"/>
          </w:tcPr>
          <w:p>
            <w:pPr>
              <w:spacing w:after="0"/>
              <w:rPr>
                <w:sz w:val="24"/>
                <w:szCs w:val="24"/>
                <w:color w:val="auto"/>
              </w:rPr>
            </w:pPr>
          </w:p>
        </w:tc>
        <w:tc>
          <w:tcPr>
            <w:tcW w:w="7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2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auto"/>
            </w:tcBorders>
            <w:shd w:val="clear" w:color="auto" w:fill="CCEEFF"/>
          </w:tcPr>
          <w:p>
            <w:pPr>
              <w:spacing w:after="0"/>
              <w:rPr>
                <w:sz w:val="24"/>
                <w:szCs w:val="24"/>
                <w:color w:val="auto"/>
              </w:rPr>
            </w:pPr>
          </w:p>
        </w:tc>
        <w:tc>
          <w:tcPr>
            <w:tcW w:w="940" w:type="dxa"/>
            <w:vAlign w:val="bottom"/>
            <w:tcBorders>
              <w:top w:val="single" w:sz="8" w:color="auto"/>
            </w:tcBorders>
            <w:shd w:val="clear" w:color="auto" w:fill="CCEEFF"/>
          </w:tcPr>
          <w:p>
            <w:pPr>
              <w:spacing w:after="0"/>
              <w:rPr>
                <w:sz w:val="24"/>
                <w:szCs w:val="24"/>
                <w:color w:val="auto"/>
              </w:rPr>
            </w:pPr>
          </w:p>
        </w:tc>
        <w:tc>
          <w:tcPr>
            <w:tcW w:w="520" w:type="dxa"/>
            <w:vAlign w:val="bottom"/>
            <w:tcBorders>
              <w:top w:val="single" w:sz="8" w:color="auto"/>
            </w:tcBorders>
            <w:shd w:val="clear" w:color="auto" w:fill="CCEEFF"/>
          </w:tcPr>
          <w:p>
            <w:pPr>
              <w:spacing w:after="0"/>
              <w:rPr>
                <w:sz w:val="24"/>
                <w:szCs w:val="24"/>
                <w:color w:val="auto"/>
              </w:rPr>
            </w:pPr>
          </w:p>
        </w:tc>
        <w:tc>
          <w:tcPr>
            <w:tcW w:w="7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26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fees</w:t>
            </w: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ind w:left="500"/>
              <w:spacing w:after="0"/>
              <w:rPr>
                <w:sz w:val="20"/>
                <w:szCs w:val="20"/>
                <w:color w:val="auto"/>
              </w:rPr>
            </w:pPr>
            <w:r>
              <w:rPr>
                <w:rFonts w:ascii="Arial" w:cs="Arial" w:eastAsia="Arial" w:hAnsi="Arial"/>
                <w:sz w:val="18"/>
                <w:szCs w:val="18"/>
                <w:color w:val="auto"/>
              </w:rPr>
              <w:t>39.8</w:t>
            </w:r>
          </w:p>
        </w:tc>
        <w:tc>
          <w:tcPr>
            <w:tcW w:w="5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00" w:type="dxa"/>
            <w:vAlign w:val="bottom"/>
            <w:shd w:val="clear" w:color="auto" w:fill="CCEEFF"/>
          </w:tcPr>
          <w:p>
            <w:pPr>
              <w:spacing w:after="0"/>
              <w:rPr>
                <w:sz w:val="20"/>
                <w:szCs w:val="20"/>
                <w:color w:val="auto"/>
              </w:rPr>
            </w:pPr>
          </w:p>
        </w:tc>
        <w:tc>
          <w:tcPr>
            <w:tcW w:w="1620" w:type="dxa"/>
            <w:vAlign w:val="bottom"/>
            <w:gridSpan w:val="3"/>
            <w:vMerge w:val="restart"/>
            <w:shd w:val="clear" w:color="auto" w:fill="CCEEFF"/>
          </w:tcPr>
          <w:p>
            <w:pPr>
              <w:ind w:left="760"/>
              <w:spacing w:after="0"/>
              <w:rPr>
                <w:sz w:val="20"/>
                <w:szCs w:val="20"/>
                <w:color w:val="auto"/>
              </w:rPr>
            </w:pPr>
            <w:r>
              <w:rPr>
                <w:rFonts w:ascii="Arial" w:cs="Arial" w:eastAsia="Arial" w:hAnsi="Arial"/>
                <w:sz w:val="18"/>
                <w:szCs w:val="18"/>
                <w:color w:val="auto"/>
              </w:rPr>
              <w:t>(22)%  $</w:t>
            </w:r>
          </w:p>
        </w:tc>
        <w:tc>
          <w:tcPr>
            <w:tcW w:w="940" w:type="dxa"/>
            <w:vAlign w:val="bottom"/>
            <w:vMerge w:val="restart"/>
            <w:shd w:val="clear" w:color="auto" w:fill="CCEEFF"/>
          </w:tcPr>
          <w:p>
            <w:pPr>
              <w:jc w:val="right"/>
              <w:ind w:right="41"/>
              <w:spacing w:after="0"/>
              <w:rPr>
                <w:sz w:val="20"/>
                <w:szCs w:val="20"/>
                <w:color w:val="auto"/>
              </w:rPr>
            </w:pPr>
            <w:r>
              <w:rPr>
                <w:rFonts w:ascii="Arial" w:cs="Arial" w:eastAsia="Arial" w:hAnsi="Arial"/>
                <w:sz w:val="18"/>
                <w:szCs w:val="18"/>
                <w:color w:val="auto"/>
              </w:rPr>
              <w:t>133.3</w:t>
            </w:r>
          </w:p>
        </w:tc>
        <w:tc>
          <w:tcPr>
            <w:tcW w:w="52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100" w:type="dxa"/>
            <w:vAlign w:val="bottom"/>
            <w:shd w:val="clear" w:color="auto" w:fill="CCEEFF"/>
          </w:tcPr>
          <w:p>
            <w:pPr>
              <w:spacing w:after="0"/>
              <w:rPr>
                <w:sz w:val="20"/>
                <w:szCs w:val="20"/>
                <w:color w:val="auto"/>
              </w:rPr>
            </w:pPr>
          </w:p>
        </w:tc>
        <w:tc>
          <w:tcPr>
            <w:tcW w:w="1260" w:type="dxa"/>
            <w:vAlign w:val="bottom"/>
            <w:vMerge w:val="restart"/>
            <w:shd w:val="clear" w:color="auto" w:fill="CCEEFF"/>
          </w:tcPr>
          <w:p>
            <w:pPr>
              <w:ind w:left="880"/>
              <w:spacing w:after="0"/>
              <w:rPr>
                <w:sz w:val="20"/>
                <w:szCs w:val="20"/>
                <w:color w:val="auto"/>
              </w:rPr>
            </w:pPr>
            <w:r>
              <w:rPr>
                <w:rFonts w:ascii="Arial" w:cs="Arial" w:eastAsia="Arial" w:hAnsi="Arial"/>
                <w:sz w:val="18"/>
                <w:szCs w:val="18"/>
                <w:color w:val="auto"/>
                <w:w w:val="94"/>
              </w:rPr>
              <w:t>(9)%</w:t>
            </w:r>
          </w:p>
        </w:tc>
        <w:tc>
          <w:tcPr>
            <w:tcW w:w="0" w:type="dxa"/>
            <w:vAlign w:val="bottom"/>
          </w:tcPr>
          <w:p>
            <w:pPr>
              <w:spacing w:after="0"/>
              <w:rPr>
                <w:sz w:val="1"/>
                <w:szCs w:val="1"/>
                <w:color w:val="auto"/>
              </w:rPr>
            </w:pPr>
          </w:p>
        </w:tc>
      </w:tr>
      <w:tr>
        <w:trPr>
          <w:trHeight w:val="107"/>
        </w:trPr>
        <w:tc>
          <w:tcPr>
            <w:tcW w:w="3480" w:type="dxa"/>
            <w:vAlign w:val="bottom"/>
            <w:shd w:val="clear" w:color="auto" w:fill="CCEEFF"/>
          </w:tcPr>
          <w:p>
            <w:pPr>
              <w:spacing w:after="0"/>
              <w:rPr>
                <w:sz w:val="9"/>
                <w:szCs w:val="9"/>
                <w:color w:val="auto"/>
              </w:rPr>
            </w:pPr>
          </w:p>
        </w:tc>
        <w:tc>
          <w:tcPr>
            <w:tcW w:w="260" w:type="dxa"/>
            <w:vAlign w:val="bottom"/>
            <w:vMerge w:val="continue"/>
            <w:shd w:val="clear" w:color="auto" w:fill="CCEEFF"/>
          </w:tcPr>
          <w:p>
            <w:pPr>
              <w:spacing w:after="0"/>
              <w:rPr>
                <w:sz w:val="9"/>
                <w:szCs w:val="9"/>
                <w:color w:val="auto"/>
              </w:rPr>
            </w:pPr>
          </w:p>
        </w:tc>
        <w:tc>
          <w:tcPr>
            <w:tcW w:w="940" w:type="dxa"/>
            <w:vAlign w:val="bottom"/>
            <w:vMerge w:val="continue"/>
            <w:shd w:val="clear" w:color="auto" w:fill="CCEEFF"/>
          </w:tcPr>
          <w:p>
            <w:pPr>
              <w:spacing w:after="0"/>
              <w:rPr>
                <w:sz w:val="9"/>
                <w:szCs w:val="9"/>
                <w:color w:val="auto"/>
              </w:rPr>
            </w:pPr>
          </w:p>
        </w:tc>
        <w:tc>
          <w:tcPr>
            <w:tcW w:w="500" w:type="dxa"/>
            <w:vAlign w:val="bottom"/>
            <w:vMerge w:val="continue"/>
            <w:shd w:val="clear" w:color="auto" w:fill="CCEEFF"/>
          </w:tcPr>
          <w:p>
            <w:pPr>
              <w:spacing w:after="0"/>
              <w:rPr>
                <w:sz w:val="9"/>
                <w:szCs w:val="9"/>
                <w:color w:val="auto"/>
              </w:rPr>
            </w:pPr>
          </w:p>
        </w:tc>
        <w:tc>
          <w:tcPr>
            <w:tcW w:w="7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20" w:type="dxa"/>
            <w:vAlign w:val="bottom"/>
            <w:gridSpan w:val="3"/>
            <w:vMerge w:val="continue"/>
            <w:shd w:val="clear" w:color="auto" w:fill="CCEEFF"/>
          </w:tcPr>
          <w:p>
            <w:pPr>
              <w:spacing w:after="0"/>
              <w:rPr>
                <w:sz w:val="9"/>
                <w:szCs w:val="9"/>
                <w:color w:val="auto"/>
              </w:rPr>
            </w:pPr>
          </w:p>
        </w:tc>
        <w:tc>
          <w:tcPr>
            <w:tcW w:w="940" w:type="dxa"/>
            <w:vAlign w:val="bottom"/>
            <w:vMerge w:val="continue"/>
            <w:shd w:val="clear" w:color="auto" w:fill="CCEEFF"/>
          </w:tcPr>
          <w:p>
            <w:pPr>
              <w:spacing w:after="0"/>
              <w:rPr>
                <w:sz w:val="9"/>
                <w:szCs w:val="9"/>
                <w:color w:val="auto"/>
              </w:rPr>
            </w:pPr>
          </w:p>
        </w:tc>
        <w:tc>
          <w:tcPr>
            <w:tcW w:w="520" w:type="dxa"/>
            <w:vAlign w:val="bottom"/>
            <w:vMerge w:val="continue"/>
            <w:shd w:val="clear" w:color="auto" w:fill="CCEEFF"/>
          </w:tcPr>
          <w:p>
            <w:pPr>
              <w:spacing w:after="0"/>
              <w:rPr>
                <w:sz w:val="9"/>
                <w:szCs w:val="9"/>
                <w:color w:val="auto"/>
              </w:rPr>
            </w:pPr>
          </w:p>
        </w:tc>
        <w:tc>
          <w:tcPr>
            <w:tcW w:w="7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338"/>
        </w:trPr>
        <w:tc>
          <w:tcPr>
            <w:tcW w:w="3480" w:type="dxa"/>
            <w:vAlign w:val="bottom"/>
          </w:tcPr>
          <w:p>
            <w:pPr>
              <w:ind w:left="20"/>
              <w:spacing w:after="0"/>
              <w:rPr>
                <w:sz w:val="20"/>
                <w:szCs w:val="20"/>
                <w:color w:val="auto"/>
              </w:rPr>
            </w:pPr>
            <w:r>
              <w:rPr>
                <w:rFonts w:ascii="Arial" w:cs="Arial" w:eastAsia="Arial" w:hAnsi="Arial"/>
                <w:sz w:val="18"/>
                <w:szCs w:val="18"/>
                <w:color w:val="auto"/>
              </w:rPr>
              <w:t>EBS's foreign exchange transaction fees</w:t>
            </w:r>
          </w:p>
        </w:tc>
        <w:tc>
          <w:tcPr>
            <w:tcW w:w="260" w:type="dxa"/>
            <w:vAlign w:val="bottom"/>
          </w:tcPr>
          <w:p>
            <w:pPr>
              <w:spacing w:after="0"/>
              <w:rPr>
                <w:sz w:val="24"/>
                <w:szCs w:val="24"/>
                <w:color w:val="auto"/>
              </w:rPr>
            </w:pPr>
          </w:p>
        </w:tc>
        <w:tc>
          <w:tcPr>
            <w:tcW w:w="940" w:type="dxa"/>
            <w:vAlign w:val="bottom"/>
            <w:vMerge w:val="restart"/>
          </w:tcPr>
          <w:p>
            <w:pPr>
              <w:ind w:left="500"/>
              <w:spacing w:after="0"/>
              <w:rPr>
                <w:sz w:val="20"/>
                <w:szCs w:val="20"/>
                <w:color w:val="auto"/>
              </w:rPr>
            </w:pPr>
            <w:r>
              <w:rPr>
                <w:rFonts w:ascii="Arial" w:cs="Arial" w:eastAsia="Arial" w:hAnsi="Arial"/>
                <w:sz w:val="18"/>
                <w:szCs w:val="18"/>
                <w:color w:val="auto"/>
              </w:rPr>
              <w:t>42.3</w:t>
            </w:r>
          </w:p>
        </w:tc>
        <w:tc>
          <w:tcPr>
            <w:tcW w:w="500" w:type="dxa"/>
            <w:vAlign w:val="bottom"/>
          </w:tcPr>
          <w:p>
            <w:pPr>
              <w:spacing w:after="0"/>
              <w:rPr>
                <w:sz w:val="24"/>
                <w:szCs w:val="24"/>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4"/>
                <w:szCs w:val="24"/>
                <w:color w:val="auto"/>
              </w:rPr>
            </w:pPr>
          </w:p>
        </w:tc>
        <w:tc>
          <w:tcPr>
            <w:tcW w:w="1240" w:type="dxa"/>
            <w:vAlign w:val="bottom"/>
            <w:vMerge w:val="restart"/>
          </w:tcPr>
          <w:p>
            <w:pPr>
              <w:ind w:left="76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vMerge w:val="restart"/>
          </w:tcPr>
          <w:p>
            <w:pPr>
              <w:jc w:val="right"/>
              <w:ind w:right="41"/>
              <w:spacing w:after="0"/>
              <w:rPr>
                <w:sz w:val="20"/>
                <w:szCs w:val="20"/>
                <w:color w:val="auto"/>
              </w:rPr>
            </w:pPr>
            <w:r>
              <w:rPr>
                <w:rFonts w:ascii="Arial" w:cs="Arial" w:eastAsia="Arial" w:hAnsi="Arial"/>
                <w:sz w:val="18"/>
                <w:szCs w:val="18"/>
                <w:color w:val="auto"/>
              </w:rPr>
              <w:t>136.9</w:t>
            </w:r>
          </w:p>
        </w:tc>
        <w:tc>
          <w:tcPr>
            <w:tcW w:w="520" w:type="dxa"/>
            <w:vAlign w:val="bottom"/>
          </w:tcPr>
          <w:p>
            <w:pPr>
              <w:spacing w:after="0"/>
              <w:rPr>
                <w:sz w:val="24"/>
                <w:szCs w:val="24"/>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148.4</w:t>
            </w:r>
          </w:p>
        </w:tc>
        <w:tc>
          <w:tcPr>
            <w:tcW w:w="100" w:type="dxa"/>
            <w:vAlign w:val="bottom"/>
          </w:tcPr>
          <w:p>
            <w:pPr>
              <w:spacing w:after="0"/>
              <w:rPr>
                <w:sz w:val="24"/>
                <w:szCs w:val="24"/>
                <w:color w:val="auto"/>
              </w:rPr>
            </w:pPr>
          </w:p>
        </w:tc>
        <w:tc>
          <w:tcPr>
            <w:tcW w:w="1260" w:type="dxa"/>
            <w:vAlign w:val="bottom"/>
            <w:vMerge w:val="restart"/>
          </w:tcPr>
          <w:p>
            <w:pPr>
              <w:ind w:left="88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08"/>
        </w:trPr>
        <w:tc>
          <w:tcPr>
            <w:tcW w:w="3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related average daily notional value for the third quarter of 2020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center"/>
              <w:ind w:left="359"/>
              <w:spacing w:after="0"/>
              <w:rPr>
                <w:sz w:val="20"/>
                <w:szCs w:val="20"/>
                <w:color w:val="auto"/>
              </w:rPr>
            </w:pPr>
            <w:r>
              <w:rPr>
                <w:rFonts w:ascii="Arial" w:cs="Arial" w:eastAsia="Arial" w:hAnsi="Arial"/>
                <w:sz w:val="14"/>
                <w:szCs w:val="14"/>
                <w:b w:val="1"/>
                <w:bCs w:val="1"/>
                <w:color w:val="auto"/>
                <w:w w:val="96"/>
              </w:rPr>
              <w:t>Quarter Ended</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0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4"/>
              </w:rPr>
              <w:t>Nine Months Ended</w:t>
            </w:r>
          </w:p>
        </w:tc>
        <w:tc>
          <w:tcPr>
            <w:tcW w:w="1260" w:type="dxa"/>
            <w:vAlign w:val="bottom"/>
          </w:tcPr>
          <w:p>
            <w:pPr>
              <w:spacing w:after="0"/>
              <w:rPr>
                <w:sz w:val="14"/>
                <w:szCs w:val="14"/>
                <w:color w:val="auto"/>
              </w:rPr>
            </w:pPr>
          </w:p>
        </w:tc>
      </w:tr>
      <w:tr>
        <w:trPr>
          <w:trHeight w:val="188"/>
        </w:trPr>
        <w:tc>
          <w:tcPr>
            <w:tcW w:w="3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left="419"/>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left="399"/>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3"/>
        </w:trPr>
        <w:tc>
          <w:tcPr>
            <w:tcW w:w="35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(amounts in billions)</w:t>
            </w:r>
          </w:p>
        </w:tc>
        <w:tc>
          <w:tcPr>
            <w:tcW w:w="260" w:type="dxa"/>
            <w:vAlign w:val="bottom"/>
          </w:tcPr>
          <w:p>
            <w:pPr>
              <w:spacing w:after="0"/>
              <w:rPr>
                <w:sz w:val="15"/>
                <w:szCs w:val="15"/>
                <w:color w:val="auto"/>
              </w:rPr>
            </w:pPr>
          </w:p>
        </w:tc>
        <w:tc>
          <w:tcPr>
            <w:tcW w:w="920" w:type="dxa"/>
            <w:vAlign w:val="bottom"/>
          </w:tcPr>
          <w:p>
            <w:pPr>
              <w:jc w:val="right"/>
              <w:ind w:right="399"/>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5"/>
                <w:szCs w:val="15"/>
                <w:color w:val="auto"/>
              </w:rPr>
            </w:pPr>
          </w:p>
        </w:tc>
        <w:tc>
          <w:tcPr>
            <w:tcW w:w="760" w:type="dxa"/>
            <w:vAlign w:val="bottom"/>
          </w:tcPr>
          <w:p>
            <w:pPr>
              <w:jc w:val="right"/>
              <w:ind w:right="355"/>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5"/>
                <w:szCs w:val="15"/>
                <w:color w:val="auto"/>
              </w:rPr>
            </w:pPr>
          </w:p>
        </w:tc>
        <w:tc>
          <w:tcPr>
            <w:tcW w:w="1360" w:type="dxa"/>
            <w:vAlign w:val="bottom"/>
            <w:gridSpan w:val="2"/>
          </w:tcPr>
          <w:p>
            <w:pPr>
              <w:ind w:left="400"/>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5"/>
                <w:szCs w:val="15"/>
                <w:color w:val="auto"/>
              </w:rPr>
            </w:pPr>
          </w:p>
        </w:tc>
        <w:tc>
          <w:tcPr>
            <w:tcW w:w="920" w:type="dxa"/>
            <w:vAlign w:val="bottom"/>
          </w:tcPr>
          <w:p>
            <w:pPr>
              <w:jc w:val="right"/>
              <w:ind w:right="399"/>
              <w:spacing w:after="0"/>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5"/>
                <w:szCs w:val="15"/>
                <w:color w:val="auto"/>
              </w:rPr>
            </w:pPr>
          </w:p>
        </w:tc>
        <w:tc>
          <w:tcPr>
            <w:tcW w:w="760" w:type="dxa"/>
            <w:vAlign w:val="bottom"/>
          </w:tcPr>
          <w:p>
            <w:pPr>
              <w:jc w:val="right"/>
              <w:ind w:right="355"/>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5"/>
                <w:szCs w:val="15"/>
                <w:color w:val="auto"/>
              </w:rPr>
            </w:pPr>
          </w:p>
        </w:tc>
        <w:tc>
          <w:tcPr>
            <w:tcW w:w="1260" w:type="dxa"/>
            <w:vAlign w:val="bottom"/>
          </w:tcPr>
          <w:p>
            <w:pPr>
              <w:jc w:val="right"/>
              <w:ind w:right="315"/>
              <w:spacing w:after="0"/>
              <w:rPr>
                <w:sz w:val="20"/>
                <w:szCs w:val="20"/>
                <w:color w:val="auto"/>
              </w:rPr>
            </w:pPr>
            <w:r>
              <w:rPr>
                <w:rFonts w:ascii="Arial" w:cs="Arial" w:eastAsia="Arial" w:hAnsi="Arial"/>
                <w:sz w:val="14"/>
                <w:szCs w:val="14"/>
                <w:b w:val="1"/>
                <w:bCs w:val="1"/>
                <w:color w:val="auto"/>
              </w:rPr>
              <w:t>Change</w:t>
            </w:r>
          </w:p>
        </w:tc>
      </w:tr>
      <w:tr>
        <w:trPr>
          <w:trHeight w:val="224"/>
        </w:trPr>
        <w:tc>
          <w:tcPr>
            <w:tcW w:w="3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U.S. Treasury</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93.2</w:t>
            </w:r>
          </w:p>
        </w:tc>
        <w:tc>
          <w:tcPr>
            <w:tcW w:w="5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178.5</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135.3</w:t>
            </w:r>
          </w:p>
        </w:tc>
        <w:tc>
          <w:tcPr>
            <w:tcW w:w="5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9"/>
        </w:trPr>
        <w:tc>
          <w:tcPr>
            <w:tcW w:w="3500" w:type="dxa"/>
            <w:vAlign w:val="bottom"/>
          </w:tcPr>
          <w:p>
            <w:pPr>
              <w:ind w:left="20"/>
              <w:spacing w:after="0"/>
              <w:rPr>
                <w:sz w:val="20"/>
                <w:szCs w:val="20"/>
                <w:color w:val="auto"/>
              </w:rPr>
            </w:pPr>
            <w:r>
              <w:rPr>
                <w:rFonts w:ascii="Arial" w:cs="Arial" w:eastAsia="Arial" w:hAnsi="Arial"/>
                <w:sz w:val="18"/>
                <w:szCs w:val="18"/>
                <w:color w:val="auto"/>
              </w:rPr>
              <w:t>European Repo (in euros)</w:t>
            </w:r>
          </w:p>
        </w:tc>
        <w:tc>
          <w:tcPr>
            <w:tcW w:w="26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8"/>
                <w:szCs w:val="18"/>
                <w:color w:val="auto"/>
              </w:rPr>
              <w:t>261.6</w:t>
            </w:r>
          </w:p>
        </w:tc>
        <w:tc>
          <w:tcPr>
            <w:tcW w:w="5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271.9</w:t>
            </w:r>
          </w:p>
        </w:tc>
        <w:tc>
          <w:tcPr>
            <w:tcW w:w="100" w:type="dxa"/>
            <w:vAlign w:val="bottom"/>
          </w:tcPr>
          <w:p>
            <w:pPr>
              <w:spacing w:after="0"/>
              <w:rPr>
                <w:sz w:val="19"/>
                <w:szCs w:val="19"/>
                <w:color w:val="auto"/>
              </w:rPr>
            </w:pPr>
          </w:p>
        </w:tc>
        <w:tc>
          <w:tcPr>
            <w:tcW w:w="1260" w:type="dxa"/>
            <w:vAlign w:val="bottom"/>
          </w:tcPr>
          <w:p>
            <w:pPr>
              <w:jc w:val="right"/>
              <w:ind w:right="95"/>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8"/>
                <w:szCs w:val="18"/>
                <w:color w:val="auto"/>
              </w:rPr>
              <w:t>265.9</w:t>
            </w:r>
          </w:p>
        </w:tc>
        <w:tc>
          <w:tcPr>
            <w:tcW w:w="5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275.1</w:t>
            </w:r>
          </w:p>
        </w:tc>
        <w:tc>
          <w:tcPr>
            <w:tcW w:w="100" w:type="dxa"/>
            <w:vAlign w:val="bottom"/>
          </w:tcPr>
          <w:p>
            <w:pPr>
              <w:spacing w:after="0"/>
              <w:rPr>
                <w:sz w:val="19"/>
                <w:szCs w:val="19"/>
                <w:color w:val="auto"/>
              </w:rPr>
            </w:pPr>
          </w:p>
        </w:tc>
        <w:tc>
          <w:tcPr>
            <w:tcW w:w="1260" w:type="dxa"/>
            <w:vAlign w:val="bottom"/>
          </w:tcPr>
          <w:p>
            <w:pPr>
              <w:jc w:val="right"/>
              <w:ind w:right="95"/>
              <w:spacing w:after="0"/>
              <w:rPr>
                <w:sz w:val="20"/>
                <w:szCs w:val="20"/>
                <w:color w:val="auto"/>
              </w:rPr>
            </w:pPr>
            <w:r>
              <w:rPr>
                <w:rFonts w:ascii="Arial" w:cs="Arial" w:eastAsia="Arial" w:hAnsi="Arial"/>
                <w:sz w:val="18"/>
                <w:szCs w:val="18"/>
                <w:color w:val="auto"/>
              </w:rPr>
              <w:t>(3)</w:t>
            </w:r>
          </w:p>
        </w:tc>
      </w:tr>
      <w:tr>
        <w:trPr>
          <w:trHeight w:val="230"/>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Spot FX</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63.3</w:t>
            </w:r>
          </w:p>
        </w:tc>
        <w:tc>
          <w:tcPr>
            <w:tcW w:w="5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74.3</w:t>
            </w:r>
          </w:p>
        </w:tc>
        <w:tc>
          <w:tcPr>
            <w:tcW w:w="5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(6)</w:t>
            </w:r>
          </w:p>
        </w:tc>
      </w:tr>
    </w:tbl>
    <w:p>
      <w:pPr>
        <w:spacing w:after="0" w:line="202"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Overall average daily notional value for the cash markets business decreased in the third quarter and first nine months of 2020 when compared with the same periods in 2019. The decreases in trading are largely due to the expectation of potentially low interest rates for an extended period of time and the economic uncertainty surrounding the COVID-19 pandemic.</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Revenue</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bill a substantial portion of our clearing and transaction fees directly to our clearing firms. The majority of clearing and transaction fees received from clearing firms represent charges for trades executed and cleared on behalf of their customers. One individual firm represented approximately 11% of our clearing and transaction fees in the first nine months of 2020. Should a clearing firm withdraw, we believe that the customer portion of the firm’s trading activity would likely transfer to another clearing firm of the exchange. Therefore, we do not believe we are exposed to significant risk from the ongoing loss of revenue received from or through a particular clearing firm.</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Sources of Revenue</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During the third quarter and first nine months of 2020, overall market data and information services revenues increased when compared with the same periods in 2019 largely due to increases in subscriber device counts and higher demand for CME data.</w:t>
      </w:r>
    </w:p>
    <w:p>
      <w:pPr>
        <w:spacing w:after="0" w:line="6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two largest resellers of our market data represented approximately 35% of our market data and information services revenue in the first nine months of 2020. Despite this concentration, we consider exposure to significant risk of revenue loss to be minimal. In the event that one of these vendors no longer subscribes to our market data, we believe the majority of that vendor’s customers would likely subscribe to our market data through another reseller. Additionally, several of our largest institutional customers that utilize services from our two largest resellers report usage and remit payment of their fees directly to us.</w:t>
      </w:r>
    </w:p>
    <w:p>
      <w:pPr>
        <w:spacing w:after="0" w:line="8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the third quarter of 2020 other revenue was relatively flat as compared with the same period in 2019. In the first nine months of 2020 when compared with the same period in 2019, the increase in other revenues was largely due to increases in custody fees.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6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6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Nine Months Ended</w:t>
            </w:r>
          </w:p>
        </w:tc>
        <w:tc>
          <w:tcPr>
            <w:tcW w:w="1360" w:type="dxa"/>
            <w:vAlign w:val="bottom"/>
          </w:tcPr>
          <w:p>
            <w:pPr>
              <w:spacing w:after="0"/>
              <w:rPr>
                <w:sz w:val="14"/>
                <w:szCs w:val="14"/>
                <w:color w:val="auto"/>
              </w:rPr>
            </w:pPr>
          </w:p>
        </w:tc>
      </w:tr>
      <w:tr>
        <w:trPr>
          <w:trHeight w:val="186"/>
        </w:trPr>
        <w:tc>
          <w:tcPr>
            <w:tcW w:w="3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16"/>
                <w:szCs w:val="16"/>
                <w:color w:val="auto"/>
              </w:rPr>
            </w:pPr>
          </w:p>
        </w:tc>
        <w:tc>
          <w:tcPr>
            <w:tcW w:w="1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184"/>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w w:val="83"/>
              </w:rPr>
              <w:t>2019</w:t>
            </w:r>
          </w:p>
        </w:tc>
        <w:tc>
          <w:tcPr>
            <w:tcW w:w="14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Change</w:t>
            </w: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w w:val="89"/>
              </w:rPr>
              <w:t>2019</w:t>
            </w:r>
          </w:p>
        </w:tc>
        <w:tc>
          <w:tcPr>
            <w:tcW w:w="13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Change</w:t>
            </w:r>
          </w:p>
        </w:tc>
      </w:tr>
      <w:tr>
        <w:trPr>
          <w:trHeight w:val="224"/>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 and benefits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14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Technology</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52.7</w:t>
            </w:r>
          </w:p>
        </w:tc>
        <w:tc>
          <w:tcPr>
            <w:tcW w:w="1460" w:type="dxa"/>
            <w:vAlign w:val="bottom"/>
          </w:tcPr>
          <w:p>
            <w:pPr>
              <w:jc w:val="right"/>
              <w:ind w:right="192"/>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144.9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148.4</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(2)</w:t>
            </w:r>
          </w:p>
        </w:tc>
      </w:tr>
      <w:tr>
        <w:trPr>
          <w:trHeight w:val="229"/>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fees and outside services</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4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1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14</w:t>
            </w: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Amortization of purchased intangibles</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79.8</w:t>
            </w:r>
          </w:p>
        </w:tc>
        <w:tc>
          <w:tcPr>
            <w:tcW w:w="1460" w:type="dxa"/>
            <w:vAlign w:val="bottom"/>
          </w:tcPr>
          <w:p>
            <w:pPr>
              <w:jc w:val="right"/>
              <w:ind w:right="192"/>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232.2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236.6</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(2)</w:t>
            </w:r>
          </w:p>
        </w:tc>
      </w:tr>
      <w:tr>
        <w:trPr>
          <w:trHeight w:val="229"/>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4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1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(7)</w:t>
            </w:r>
          </w:p>
        </w:tc>
      </w:tr>
      <w:tr>
        <w:trPr>
          <w:trHeight w:val="229"/>
        </w:trPr>
        <w:tc>
          <w:tcPr>
            <w:tcW w:w="3820" w:type="dxa"/>
            <w:vAlign w:val="bottom"/>
          </w:tcPr>
          <w:p>
            <w:pPr>
              <w:ind w:left="20"/>
              <w:spacing w:after="0"/>
              <w:rPr>
                <w:sz w:val="20"/>
                <w:szCs w:val="20"/>
                <w:color w:val="auto"/>
              </w:rPr>
            </w:pPr>
            <w:r>
              <w:rPr>
                <w:rFonts w:ascii="Arial" w:cs="Arial" w:eastAsia="Arial" w:hAnsi="Arial"/>
                <w:sz w:val="18"/>
                <w:szCs w:val="18"/>
                <w:color w:val="auto"/>
              </w:rPr>
              <w:t>Licensing and other fee agreements</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45.6</w:t>
            </w:r>
          </w:p>
        </w:tc>
        <w:tc>
          <w:tcPr>
            <w:tcW w:w="1460" w:type="dxa"/>
            <w:vAlign w:val="bottom"/>
          </w:tcPr>
          <w:p>
            <w:pPr>
              <w:jc w:val="right"/>
              <w:ind w:right="232"/>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187.0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130.9</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43</w:t>
            </w:r>
          </w:p>
        </w:tc>
      </w:tr>
      <w:tr>
        <w:trPr>
          <w:trHeight w:val="230"/>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14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(37)</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272.9</w:t>
            </w:r>
          </w:p>
        </w:tc>
        <w:tc>
          <w:tcPr>
            <w:tcW w:w="1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(25)</w:t>
            </w:r>
          </w:p>
        </w:tc>
      </w:tr>
      <w:tr>
        <w:trPr>
          <w:trHeight w:val="223"/>
        </w:trPr>
        <w:tc>
          <w:tcPr>
            <w:tcW w:w="3820" w:type="dxa"/>
            <w:vAlign w:val="bottom"/>
          </w:tcPr>
          <w:p>
            <w:pPr>
              <w:ind w:left="20"/>
              <w:spacing w:after="0"/>
              <w:rPr>
                <w:sz w:val="20"/>
                <w:szCs w:val="20"/>
                <w:color w:val="auto"/>
              </w:rPr>
            </w:pPr>
            <w:r>
              <w:rPr>
                <w:rFonts w:ascii="Arial" w:cs="Arial" w:eastAsia="Arial" w:hAnsi="Arial"/>
                <w:sz w:val="18"/>
                <w:szCs w:val="18"/>
                <w:color w:val="auto"/>
              </w:rPr>
              <w:t>Total Expenses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555.7</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592.1</w:t>
            </w:r>
          </w:p>
        </w:tc>
        <w:tc>
          <w:tcPr>
            <w:tcW w:w="1460" w:type="dxa"/>
            <w:vAlign w:val="bottom"/>
          </w:tcPr>
          <w:p>
            <w:pPr>
              <w:jc w:val="right"/>
              <w:ind w:right="192"/>
              <w:spacing w:after="0"/>
              <w:rPr>
                <w:sz w:val="20"/>
                <w:szCs w:val="20"/>
                <w:color w:val="auto"/>
              </w:rPr>
            </w:pPr>
            <w:r>
              <w:rPr>
                <w:rFonts w:ascii="Arial" w:cs="Arial" w:eastAsia="Arial" w:hAnsi="Arial"/>
                <w:sz w:val="18"/>
                <w:szCs w:val="18"/>
                <w:color w:val="auto"/>
              </w:rPr>
              <w:t>(6)</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1,662.7</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1,714.8</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(3)</w:t>
            </w:r>
          </w:p>
        </w:tc>
      </w:tr>
      <w:tr>
        <w:trPr>
          <w:trHeight w:val="21"/>
        </w:trPr>
        <w:tc>
          <w:tcPr>
            <w:tcW w:w="3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Operating expenses decreased by $36.4 million and $52.1 million in the third quarter and first nine months of 2020 when compared with the same periods in 2019. The following table shows the estimated impacts of key factors resulting in the change in operating expenses: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60" w:type="dxa"/>
            <w:vAlign w:val="bottom"/>
            <w:gridSpan w:val="4"/>
          </w:tcPr>
          <w:p>
            <w:pPr>
              <w:ind w:left="680"/>
              <w:spacing w:after="0"/>
              <w:rPr>
                <w:sz w:val="20"/>
                <w:szCs w:val="20"/>
                <w:color w:val="auto"/>
              </w:rPr>
            </w:pPr>
            <w:r>
              <w:rPr>
                <w:rFonts w:ascii="Arial" w:cs="Arial" w:eastAsia="Arial" w:hAnsi="Arial"/>
                <w:sz w:val="14"/>
                <w:szCs w:val="14"/>
                <w:b w:val="1"/>
                <w:bCs w:val="1"/>
                <w:color w:val="auto"/>
              </w:rPr>
              <w:t>Quarter Ended,</w:t>
            </w:r>
          </w:p>
        </w:tc>
        <w:tc>
          <w:tcPr>
            <w:tcW w:w="180" w:type="dxa"/>
            <w:vAlign w:val="bottom"/>
          </w:tcPr>
          <w:p>
            <w:pPr>
              <w:spacing w:after="0"/>
              <w:rPr>
                <w:sz w:val="14"/>
                <w:szCs w:val="14"/>
                <w:color w:val="auto"/>
              </w:rPr>
            </w:pPr>
          </w:p>
        </w:tc>
        <w:tc>
          <w:tcPr>
            <w:tcW w:w="2580" w:type="dxa"/>
            <w:vAlign w:val="bottom"/>
            <w:gridSpan w:val="3"/>
          </w:tcPr>
          <w:p>
            <w:pPr>
              <w:jc w:val="right"/>
              <w:ind w:right="675"/>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8"/>
        </w:trPr>
        <w:tc>
          <w:tcPr>
            <w:tcW w:w="56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3"/>
          </w:tcPr>
          <w:p>
            <w:pPr>
              <w:jc w:val="right"/>
              <w:ind w:right="695"/>
              <w:spacing w:after="0"/>
              <w:rPr>
                <w:sz w:val="20"/>
                <w:szCs w:val="20"/>
                <w:color w:val="auto"/>
              </w:rPr>
            </w:pPr>
            <w:r>
              <w:rPr>
                <w:rFonts w:ascii="Arial" w:cs="Arial" w:eastAsia="Arial" w:hAnsi="Arial"/>
                <w:sz w:val="14"/>
                <w:szCs w:val="14"/>
                <w:b w:val="1"/>
                <w:bCs w:val="1"/>
                <w:color w:val="auto"/>
              </w:rPr>
              <w:t>September 30, 2020</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3"/>
          </w:tcPr>
          <w:p>
            <w:pPr>
              <w:jc w:val="right"/>
              <w:ind w:right="695"/>
              <w:spacing w:after="0"/>
              <w:rPr>
                <w:sz w:val="20"/>
                <w:szCs w:val="20"/>
                <w:color w:val="auto"/>
              </w:rPr>
            </w:pPr>
            <w:r>
              <w:rPr>
                <w:rFonts w:ascii="Arial" w:cs="Arial" w:eastAsia="Arial" w:hAnsi="Arial"/>
                <w:sz w:val="14"/>
                <w:szCs w:val="14"/>
                <w:b w:val="1"/>
                <w:bCs w:val="1"/>
                <w:color w:val="auto"/>
              </w:rPr>
              <w:t>September 30, 2020</w:t>
            </w:r>
          </w:p>
        </w:tc>
        <w:tc>
          <w:tcPr>
            <w:tcW w:w="0" w:type="dxa"/>
            <w:vAlign w:val="bottom"/>
          </w:tcPr>
          <w:p>
            <w:pPr>
              <w:spacing w:after="0"/>
              <w:rPr>
                <w:sz w:val="1"/>
                <w:szCs w:val="1"/>
                <w:color w:val="auto"/>
              </w:rPr>
            </w:pPr>
          </w:p>
        </w:tc>
      </w:tr>
      <w:tr>
        <w:trPr>
          <w:trHeight w:val="251"/>
        </w:trPr>
        <w:tc>
          <w:tcPr>
            <w:tcW w:w="5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9"/>
              </w:rPr>
              <w:t>Amount of</w:t>
            </w: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Change as a</w:t>
            </w:r>
          </w:p>
        </w:tc>
        <w:tc>
          <w:tcPr>
            <w:tcW w:w="180" w:type="dxa"/>
            <w:vAlign w:val="bottom"/>
          </w:tcPr>
          <w:p>
            <w:pPr>
              <w:spacing w:after="0"/>
              <w:rPr>
                <w:sz w:val="21"/>
                <w:szCs w:val="21"/>
                <w:color w:val="auto"/>
              </w:rPr>
            </w:pP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Amount of</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4"/>
              </w:rPr>
              <w:t>Change as a</w:t>
            </w:r>
          </w:p>
        </w:tc>
        <w:tc>
          <w:tcPr>
            <w:tcW w:w="0" w:type="dxa"/>
            <w:vAlign w:val="bottom"/>
          </w:tcPr>
          <w:p>
            <w:pPr>
              <w:spacing w:after="0"/>
              <w:rPr>
                <w:sz w:val="1"/>
                <w:szCs w:val="1"/>
                <w:color w:val="auto"/>
              </w:rPr>
            </w:pPr>
          </w:p>
        </w:tc>
      </w:tr>
      <w:tr>
        <w:trPr>
          <w:trHeight w:val="135"/>
        </w:trPr>
        <w:tc>
          <w:tcPr>
            <w:tcW w:w="56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8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5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Percentage of</w:t>
            </w:r>
          </w:p>
        </w:tc>
        <w:tc>
          <w:tcPr>
            <w:tcW w:w="18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5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88"/>
        </w:trPr>
        <w:tc>
          <w:tcPr>
            <w:tcW w:w="56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9"/>
              </w:rPr>
              <w:t>Change</w:t>
            </w:r>
          </w:p>
        </w:tc>
        <w:tc>
          <w:tcPr>
            <w:tcW w:w="15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9"/>
              </w:rPr>
              <w:t>Total Expenses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3"/>
              </w:rPr>
              <w:t>Change</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Total Expenses</w:t>
            </w:r>
          </w:p>
        </w:tc>
        <w:tc>
          <w:tcPr>
            <w:tcW w:w="0" w:type="dxa"/>
            <w:vAlign w:val="bottom"/>
          </w:tcPr>
          <w:p>
            <w:pPr>
              <w:spacing w:after="0"/>
              <w:rPr>
                <w:sz w:val="1"/>
                <w:szCs w:val="1"/>
                <w:color w:val="auto"/>
              </w:rPr>
            </w:pPr>
          </w:p>
        </w:tc>
      </w:tr>
      <w:tr>
        <w:trPr>
          <w:trHeight w:val="224"/>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and fixed asset impairments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ind w:left="1020"/>
              <w:spacing w:after="0"/>
              <w:rPr>
                <w:sz w:val="20"/>
                <w:szCs w:val="20"/>
                <w:color w:val="auto"/>
              </w:rPr>
            </w:pPr>
            <w:r>
              <w:rPr>
                <w:rFonts w:ascii="Arial" w:cs="Arial" w:eastAsia="Arial" w:hAnsi="Arial"/>
                <w:sz w:val="18"/>
                <w:szCs w:val="18"/>
                <w:color w:val="auto"/>
                <w:w w:val="94"/>
              </w:rPr>
              <w:t>(8)%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ind w:left="1120"/>
              <w:spacing w:after="0"/>
              <w:rPr>
                <w:sz w:val="20"/>
                <w:szCs w:val="20"/>
                <w:color w:val="auto"/>
              </w:rPr>
            </w:pPr>
            <w:r>
              <w:rPr>
                <w:rFonts w:ascii="Arial" w:cs="Arial" w:eastAsia="Arial" w:hAnsi="Arial"/>
                <w:sz w:val="18"/>
                <w:szCs w:val="18"/>
                <w:color w:val="auto"/>
                <w:w w:val="94"/>
              </w:rPr>
              <w:t>(3)%</w:t>
            </w:r>
          </w:p>
        </w:tc>
        <w:tc>
          <w:tcPr>
            <w:tcW w:w="0" w:type="dxa"/>
            <w:vAlign w:val="bottom"/>
          </w:tcPr>
          <w:p>
            <w:pPr>
              <w:spacing w:after="0"/>
              <w:rPr>
                <w:sz w:val="1"/>
                <w:szCs w:val="1"/>
                <w:color w:val="auto"/>
              </w:rPr>
            </w:pP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Bonus expense</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19"/>
                <w:szCs w:val="19"/>
                <w:color w:val="auto"/>
              </w:rPr>
            </w:pPr>
          </w:p>
        </w:tc>
        <w:tc>
          <w:tcPr>
            <w:tcW w:w="1400" w:type="dxa"/>
            <w:vAlign w:val="bottom"/>
          </w:tcPr>
          <w:p>
            <w:pPr>
              <w:ind w:left="10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19"/>
                <w:szCs w:val="19"/>
                <w:color w:val="auto"/>
              </w:rPr>
            </w:pPr>
          </w:p>
        </w:tc>
        <w:tc>
          <w:tcPr>
            <w:tcW w:w="1500" w:type="dxa"/>
            <w:vAlign w:val="bottom"/>
          </w:tcPr>
          <w:p>
            <w:pPr>
              <w:ind w:left="1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Travel and entertainment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Marketing</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9"/>
                <w:szCs w:val="19"/>
                <w:color w:val="auto"/>
              </w:rPr>
            </w:pPr>
          </w:p>
        </w:tc>
        <w:tc>
          <w:tcPr>
            <w:tcW w:w="1500" w:type="dxa"/>
            <w:vAlign w:val="bottom"/>
          </w:tcPr>
          <w:p>
            <w:pPr>
              <w:ind w:left="1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Non-qualified deferred compensation plans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640" w:type="dxa"/>
            <w:vAlign w:val="bottom"/>
          </w:tcPr>
          <w:p>
            <w:pPr>
              <w:ind w:left="20"/>
              <w:spacing w:after="0"/>
              <w:rPr>
                <w:sz w:val="20"/>
                <w:szCs w:val="20"/>
                <w:color w:val="auto"/>
              </w:rPr>
            </w:pPr>
            <w:r>
              <w:rPr>
                <w:rFonts w:ascii="Arial" w:cs="Arial" w:eastAsia="Arial" w:hAnsi="Arial"/>
                <w:sz w:val="18"/>
                <w:szCs w:val="18"/>
                <w:color w:val="auto"/>
              </w:rPr>
              <w:t>Professional fees and outside services</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1400" w:type="dxa"/>
            <w:vAlign w:val="bottom"/>
          </w:tcPr>
          <w:p>
            <w:pPr>
              <w:jc w:val="right"/>
              <w:ind w:right="135"/>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9"/>
                <w:szCs w:val="19"/>
                <w:color w:val="auto"/>
              </w:rPr>
            </w:pPr>
          </w:p>
        </w:tc>
        <w:tc>
          <w:tcPr>
            <w:tcW w:w="1500" w:type="dxa"/>
            <w:vAlign w:val="bottom"/>
          </w:tcPr>
          <w:p>
            <w:pPr>
              <w:jc w:val="right"/>
              <w:ind w:right="135"/>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Licensing and other fee agreements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expenses, net</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decrease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w w:val="94"/>
              </w:rPr>
              <w:t>(6)%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w w:val="94"/>
              </w:rPr>
              <w:t>(3)%</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Decreases in operating expenses in the third quarter and first nine months of 2020 when compared with the same periods in 2019 were as follows:</w:t>
      </w:r>
    </w:p>
    <w:p>
      <w:pPr>
        <w:spacing w:after="0" w:line="129" w:lineRule="exact"/>
        <w:rPr>
          <w:sz w:val="20"/>
          <w:szCs w:val="20"/>
          <w:color w:val="auto"/>
        </w:rPr>
      </w:pPr>
    </w:p>
    <w:p>
      <w:pPr>
        <w:ind w:left="660" w:right="42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 third quarter and first nine months of 2019, we recognized higher impairment charges on certain intangibles and fixed assets due to the disposal of various businesses.</w:t>
      </w:r>
    </w:p>
    <w:p>
      <w:pPr>
        <w:spacing w:after="0" w:line="62" w:lineRule="exact"/>
        <w:rPr>
          <w:rFonts w:ascii="Arial" w:cs="Arial" w:eastAsia="Arial" w:hAnsi="Arial"/>
          <w:sz w:val="18"/>
          <w:szCs w:val="18"/>
          <w:color w:val="auto"/>
        </w:rPr>
      </w:pPr>
    </w:p>
    <w:p>
      <w:pPr>
        <w:ind w:left="660" w:right="60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Bonus expense decreased compared with the same periods in 2019 largely due to a reduction in headcount in conjunction with our planned integration of legacy NEX businesses.</w:t>
      </w:r>
    </w:p>
    <w:p>
      <w:pPr>
        <w:spacing w:after="0" w:line="62" w:lineRule="exact"/>
        <w:rPr>
          <w:rFonts w:ascii="Arial" w:cs="Arial" w:eastAsia="Arial" w:hAnsi="Arial"/>
          <w:sz w:val="18"/>
          <w:szCs w:val="18"/>
          <w:color w:val="auto"/>
        </w:rPr>
      </w:pPr>
    </w:p>
    <w:p>
      <w:pPr>
        <w:ind w:left="660" w:right="36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Travel and entertainment expenses decreased as a result of the company's response to the COVID-19 pandemic, with the vast majority of staff working remotely in 2020.</w:t>
      </w:r>
    </w:p>
    <w:p>
      <w:pPr>
        <w:spacing w:after="0" w:line="62"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Marketing expenses decreased compared with the same periods in 2019 due to the timing of planned advertising and media campaigns, as well as a reduction in special promotional events held.</w:t>
      </w:r>
    </w:p>
    <w:p>
      <w:pPr>
        <w:spacing w:after="0" w:line="62" w:lineRule="exact"/>
        <w:rPr>
          <w:rFonts w:ascii="Arial" w:cs="Arial" w:eastAsia="Arial" w:hAnsi="Arial"/>
          <w:sz w:val="18"/>
          <w:szCs w:val="18"/>
          <w:color w:val="auto"/>
        </w:rPr>
      </w:pPr>
    </w:p>
    <w:p>
      <w:pPr>
        <w:ind w:left="660" w:right="480" w:hanging="328"/>
        <w:spacing w:after="0" w:line="342" w:lineRule="auto"/>
        <w:tabs>
          <w:tab w:leader="none" w:pos="655" w:val="left"/>
        </w:tabs>
        <w:numPr>
          <w:ilvl w:val="0"/>
          <w:numId w:val="9"/>
        </w:numPr>
        <w:rPr>
          <w:rFonts w:ascii="Arial" w:cs="Arial" w:eastAsia="Arial" w:hAnsi="Arial"/>
          <w:sz w:val="16"/>
          <w:szCs w:val="16"/>
          <w:color w:val="auto"/>
        </w:rPr>
      </w:pPr>
      <w:r>
        <w:rPr>
          <w:rFonts w:ascii="Arial" w:cs="Arial" w:eastAsia="Arial" w:hAnsi="Arial"/>
          <w:sz w:val="16"/>
          <w:szCs w:val="16"/>
          <w:color w:val="auto"/>
        </w:rPr>
        <w:t>A decrease in our non-qualified deferred compensation liability during the first nine months of 2020, the impact of which does not affect net income because of an equal and offsetting change in investment income, contributed to a decrease in compensation and benefits expense.</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Increases in operating expenses in the third quarter and first nine months of 2020 when compared with the same periods in 2019 were as follows:</w:t>
      </w:r>
    </w:p>
    <w:p>
      <w:pPr>
        <w:spacing w:after="0" w:line="129" w:lineRule="exact"/>
        <w:rPr>
          <w:sz w:val="20"/>
          <w:szCs w:val="20"/>
          <w:color w:val="auto"/>
        </w:rPr>
      </w:pPr>
    </w:p>
    <w:p>
      <w:pPr>
        <w:ind w:left="660" w:right="400" w:hanging="328"/>
        <w:spacing w:after="0" w:line="342" w:lineRule="auto"/>
        <w:tabs>
          <w:tab w:leader="none" w:pos="655" w:val="left"/>
        </w:tabs>
        <w:numPr>
          <w:ilvl w:val="0"/>
          <w:numId w:val="10"/>
        </w:numPr>
        <w:rPr>
          <w:rFonts w:ascii="Arial" w:cs="Arial" w:eastAsia="Arial" w:hAnsi="Arial"/>
          <w:sz w:val="16"/>
          <w:szCs w:val="16"/>
          <w:color w:val="auto"/>
        </w:rPr>
      </w:pPr>
      <w:r>
        <w:rPr>
          <w:rFonts w:ascii="Arial" w:cs="Arial" w:eastAsia="Arial" w:hAnsi="Arial"/>
          <w:sz w:val="16"/>
          <w:szCs w:val="16"/>
          <w:color w:val="auto"/>
        </w:rPr>
        <w:t>Licensing and other fee agreements expenses increased in the third quarter and first nine months of 2020 due to higher fees related to revenue sharing agreements for certain equity contracts, which resulted from increases in volume and increases in license rates for certain products.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right="20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Professional fees and outside services expenses increased due to higher costs in the third quarter and first nine months of 2020 for legal fees and technology and platform integration initiatives.</w:t>
      </w:r>
    </w:p>
    <w:p>
      <w:pPr>
        <w:spacing w:after="0" w:line="62" w:lineRule="exact"/>
        <w:rPr>
          <w:rFonts w:ascii="Arial" w:cs="Arial" w:eastAsia="Arial" w:hAnsi="Arial"/>
          <w:sz w:val="18"/>
          <w:szCs w:val="18"/>
          <w:color w:val="auto"/>
        </w:rPr>
      </w:pPr>
    </w:p>
    <w:p>
      <w:pPr>
        <w:ind w:left="660" w:right="180" w:hanging="328"/>
        <w:spacing w:after="0" w:line="342" w:lineRule="auto"/>
        <w:tabs>
          <w:tab w:leader="none" w:pos="655"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 increase in our non-qualified deferred compensation liability during the third quarter of 2020, the impact of which does not affect net income because of an equal and offsetting change in investment income, contributed to an increase in compensation and benefits expense.</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(Expense)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00" w:type="dxa"/>
            <w:vAlign w:val="bottom"/>
            <w:gridSpan w:val="4"/>
          </w:tcPr>
          <w:p>
            <w:pPr>
              <w:jc w:val="right"/>
              <w:ind w:right="533"/>
              <w:spacing w:after="0"/>
              <w:rPr>
                <w:sz w:val="20"/>
                <w:szCs w:val="20"/>
                <w:color w:val="auto"/>
              </w:rPr>
            </w:pPr>
            <w:r>
              <w:rPr>
                <w:rFonts w:ascii="Arial" w:cs="Arial" w:eastAsia="Arial" w:hAnsi="Arial"/>
                <w:sz w:val="14"/>
                <w:szCs w:val="14"/>
                <w:b w:val="1"/>
                <w:bCs w:val="1"/>
                <w:color w:val="auto"/>
              </w:rPr>
              <w:t>Quarter Ended</w:t>
            </w:r>
          </w:p>
        </w:tc>
        <w:tc>
          <w:tcPr>
            <w:tcW w:w="1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gridSpan w:val="4"/>
          </w:tcPr>
          <w:p>
            <w:pPr>
              <w:jc w:val="right"/>
              <w:ind w:right="393"/>
              <w:spacing w:after="0"/>
              <w:rPr>
                <w:sz w:val="20"/>
                <w:szCs w:val="20"/>
                <w:color w:val="auto"/>
              </w:rPr>
            </w:pPr>
            <w:r>
              <w:rPr>
                <w:rFonts w:ascii="Arial" w:cs="Arial" w:eastAsia="Arial" w:hAnsi="Arial"/>
                <w:sz w:val="14"/>
                <w:szCs w:val="14"/>
                <w:b w:val="1"/>
                <w:bCs w:val="1"/>
                <w:color w:val="auto"/>
              </w:rPr>
              <w:t>Nine Months Ended</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4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ind w:right="533"/>
              <w:spacing w:after="0"/>
              <w:rPr>
                <w:sz w:val="20"/>
                <w:szCs w:val="20"/>
                <w:color w:val="auto"/>
              </w:rPr>
            </w:pPr>
            <w:r>
              <w:rPr>
                <w:rFonts w:ascii="Arial" w:cs="Arial" w:eastAsia="Arial" w:hAnsi="Arial"/>
                <w:sz w:val="14"/>
                <w:szCs w:val="14"/>
                <w:b w:val="1"/>
                <w:bCs w:val="1"/>
                <w:color w:val="auto"/>
              </w:rPr>
              <w:t>September 30,</w:t>
            </w:r>
          </w:p>
        </w:tc>
        <w:tc>
          <w:tcPr>
            <w:tcW w:w="1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553"/>
              <w:spacing w:after="0"/>
              <w:rPr>
                <w:sz w:val="20"/>
                <w:szCs w:val="20"/>
                <w:color w:val="auto"/>
              </w:rPr>
            </w:pPr>
            <w:r>
              <w:rPr>
                <w:rFonts w:ascii="Arial" w:cs="Arial" w:eastAsia="Arial" w:hAnsi="Arial"/>
                <w:sz w:val="14"/>
                <w:szCs w:val="14"/>
                <w:b w:val="1"/>
                <w:bCs w:val="1"/>
                <w:color w:val="auto"/>
              </w:rPr>
              <w:t>September 30,</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2019</w:t>
            </w:r>
          </w:p>
        </w:tc>
        <w:tc>
          <w:tcPr>
            <w:tcW w:w="13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2019</w:t>
            </w:r>
          </w:p>
        </w:tc>
        <w:tc>
          <w:tcPr>
            <w:tcW w:w="12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4"/>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income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center"/>
              <w:ind w:left="217"/>
              <w:spacing w:after="0"/>
              <w:rPr>
                <w:sz w:val="20"/>
                <w:szCs w:val="20"/>
                <w:color w:val="auto"/>
              </w:rPr>
            </w:pPr>
            <w:r>
              <w:rPr>
                <w:rFonts w:ascii="Arial" w:cs="Arial" w:eastAsia="Arial" w:hAnsi="Arial"/>
                <w:sz w:val="18"/>
                <w:szCs w:val="18"/>
                <w:color w:val="auto"/>
                <w:w w:val="91"/>
              </w:rPr>
              <w:t>23.6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13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490.3</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Interest and other borrowing costs</w:t>
            </w:r>
          </w:p>
        </w:tc>
        <w:tc>
          <w:tcPr>
            <w:tcW w:w="240" w:type="dxa"/>
            <w:vAlign w:val="bottom"/>
          </w:tcPr>
          <w:p>
            <w:pPr>
              <w:spacing w:after="0"/>
              <w:rPr>
                <w:sz w:val="19"/>
                <w:szCs w:val="19"/>
                <w:color w:val="auto"/>
              </w:rPr>
            </w:pPr>
          </w:p>
        </w:tc>
        <w:tc>
          <w:tcPr>
            <w:tcW w:w="780" w:type="dxa"/>
            <w:vAlign w:val="bottom"/>
          </w:tcPr>
          <w:p>
            <w:pPr>
              <w:jc w:val="center"/>
              <w:ind w:left="197"/>
              <w:spacing w:after="0"/>
              <w:rPr>
                <w:sz w:val="20"/>
                <w:szCs w:val="20"/>
                <w:color w:val="auto"/>
              </w:rPr>
            </w:pPr>
            <w:r>
              <w:rPr>
                <w:rFonts w:ascii="Arial" w:cs="Arial" w:eastAsia="Arial" w:hAnsi="Arial"/>
                <w:sz w:val="18"/>
                <w:szCs w:val="18"/>
                <w:color w:val="auto"/>
                <w:w w:val="89"/>
              </w:rPr>
              <w:t>(41.7)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(42.8)</w:t>
            </w:r>
          </w:p>
        </w:tc>
        <w:tc>
          <w:tcPr>
            <w:tcW w:w="1320" w:type="dxa"/>
            <w:vAlign w:val="bottom"/>
          </w:tcPr>
          <w:p>
            <w:pPr>
              <w:jc w:val="right"/>
              <w:ind w:right="193"/>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(124.5)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(136.0)</w:t>
            </w: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75"/>
        </w:trPr>
        <w:tc>
          <w:tcPr>
            <w:tcW w:w="44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Equity in net earnings (losses) of unconsolidated</w:t>
            </w:r>
          </w:p>
        </w:tc>
        <w:tc>
          <w:tcPr>
            <w:tcW w:w="2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center"/>
              <w:ind w:left="217"/>
              <w:spacing w:after="0"/>
              <w:rPr>
                <w:sz w:val="20"/>
                <w:szCs w:val="20"/>
                <w:color w:val="auto"/>
              </w:rPr>
            </w:pPr>
            <w:r>
              <w:rPr>
                <w:rFonts w:ascii="Arial" w:cs="Arial" w:eastAsia="Arial" w:hAnsi="Arial"/>
                <w:sz w:val="18"/>
                <w:szCs w:val="18"/>
                <w:color w:val="auto"/>
                <w:w w:val="91"/>
              </w:rPr>
              <w:t>44.0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320" w:type="dxa"/>
            <w:vAlign w:val="bottom"/>
            <w:vMerge w:val="restart"/>
            <w:shd w:val="clear" w:color="auto" w:fill="CCEEFF"/>
          </w:tcPr>
          <w:p>
            <w:pPr>
              <w:jc w:val="right"/>
              <w:ind w:right="193"/>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1200" w:type="dxa"/>
            <w:vAlign w:val="bottom"/>
            <w:vMerge w:val="restart"/>
            <w:shd w:val="clear" w:color="auto" w:fill="CCEEFF"/>
          </w:tcPr>
          <w:p>
            <w:pPr>
              <w:jc w:val="right"/>
              <w:ind w:right="133"/>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subsidiaries</w:t>
            </w:r>
          </w:p>
        </w:tc>
        <w:tc>
          <w:tcPr>
            <w:tcW w:w="24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non-operating income (expense)</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left="197"/>
              <w:spacing w:after="0"/>
              <w:rPr>
                <w:sz w:val="20"/>
                <w:szCs w:val="20"/>
                <w:color w:val="auto"/>
              </w:rPr>
            </w:pPr>
            <w:r>
              <w:rPr>
                <w:rFonts w:ascii="Arial" w:cs="Arial" w:eastAsia="Arial" w:hAnsi="Arial"/>
                <w:sz w:val="18"/>
                <w:szCs w:val="18"/>
                <w:color w:val="auto"/>
                <w:w w:val="89"/>
              </w:rPr>
              <w:t>(14.4)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w:t>
            </w:r>
          </w:p>
        </w:tc>
        <w:tc>
          <w:tcPr>
            <w:tcW w:w="1320" w:type="dxa"/>
            <w:vAlign w:val="bottom"/>
            <w:tcBorders>
              <w:bottom w:val="single" w:sz="8" w:color="CCEEFF"/>
            </w:tcBorders>
          </w:tcPr>
          <w:p>
            <w:pPr>
              <w:jc w:val="right"/>
              <w:ind w:right="193"/>
              <w:spacing w:after="0"/>
              <w:rPr>
                <w:sz w:val="20"/>
                <w:szCs w:val="20"/>
                <w:color w:val="auto"/>
              </w:rPr>
            </w:pPr>
            <w:r>
              <w:rPr>
                <w:rFonts w:ascii="Arial" w:cs="Arial" w:eastAsia="Arial" w:hAnsi="Arial"/>
                <w:sz w:val="18"/>
                <w:szCs w:val="18"/>
                <w:color w:val="auto"/>
              </w:rPr>
              <w:t>(90)</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(435.9)</w:t>
            </w:r>
          </w:p>
        </w:tc>
        <w:tc>
          <w:tcPr>
            <w:tcW w:w="1200" w:type="dxa"/>
            <w:vAlign w:val="bottom"/>
            <w:tcBorders>
              <w:bottom w:val="single" w:sz="8" w:color="CCEEFF"/>
            </w:tcBorders>
          </w:tcPr>
          <w:p>
            <w:pPr>
              <w:jc w:val="right"/>
              <w:ind w:right="93"/>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48"/>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Non-Operating</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center"/>
              <w:ind w:left="237"/>
              <w:spacing w:after="0"/>
              <w:rPr>
                <w:sz w:val="20"/>
                <w:szCs w:val="20"/>
                <w:color w:val="auto"/>
              </w:rPr>
            </w:pPr>
            <w:r>
              <w:rPr>
                <w:rFonts w:ascii="Arial" w:cs="Arial" w:eastAsia="Arial" w:hAnsi="Arial"/>
                <w:sz w:val="18"/>
                <w:szCs w:val="18"/>
                <w:color w:val="auto"/>
                <w:w w:val="85"/>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32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rPr>
              <w:t>(70)</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2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 xml:space="preserve">Investment income. </w:t>
      </w:r>
      <w:r>
        <w:rPr>
          <w:rFonts w:ascii="Arial" w:cs="Arial" w:eastAsia="Arial" w:hAnsi="Arial"/>
          <w:sz w:val="18"/>
          <w:szCs w:val="18"/>
          <w:color w:val="auto"/>
        </w:rPr>
        <w:t>Investment income decreased in the third quarter and first nine months of 2020 when compared with the same periods in 2019, largely</w:t>
      </w:r>
      <w:r>
        <w:rPr>
          <w:rFonts w:ascii="Arial" w:cs="Arial" w:eastAsia="Arial" w:hAnsi="Arial"/>
          <w:sz w:val="18"/>
          <w:szCs w:val="18"/>
          <w:i w:val="1"/>
          <w:iCs w:val="1"/>
          <w:color w:val="auto"/>
        </w:rPr>
        <w:t xml:space="preserve"> </w:t>
      </w:r>
      <w:r>
        <w:rPr>
          <w:rFonts w:ascii="Arial" w:cs="Arial" w:eastAsia="Arial" w:hAnsi="Arial"/>
          <w:sz w:val="18"/>
          <w:szCs w:val="18"/>
          <w:color w:val="auto"/>
        </w:rPr>
        <w:t>due to decreases in earnings from cash performance bond and guaranty fund contributions that are reinvested. These decreases in earnings resulted primarily from lower rates of interest earned in the cash account at the Federal Reserve Bank of Chicago following significant interest rate cuts in early 2020 despite increases in our average reinvestment amount.</w:t>
      </w:r>
    </w:p>
    <w:p>
      <w:pPr>
        <w:spacing w:after="0" w:line="7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 xml:space="preserve">Interest and other borrowing costs. </w:t>
      </w:r>
      <w:r>
        <w:rPr>
          <w:rFonts w:ascii="Arial" w:cs="Arial" w:eastAsia="Arial" w:hAnsi="Arial"/>
          <w:sz w:val="18"/>
          <w:szCs w:val="18"/>
          <w:color w:val="auto"/>
        </w:rPr>
        <w:t>Interest and other borrowing costs were lower in the third quarter and first nine months of 2020, primarily due to lower</w:t>
      </w:r>
      <w:r>
        <w:rPr>
          <w:rFonts w:ascii="Arial" w:cs="Arial" w:eastAsia="Arial" w:hAnsi="Arial"/>
          <w:sz w:val="18"/>
          <w:szCs w:val="18"/>
          <w:i w:val="1"/>
          <w:iCs w:val="1"/>
          <w:color w:val="auto"/>
        </w:rPr>
        <w:t xml:space="preserve"> </w:t>
      </w:r>
      <w:r>
        <w:rPr>
          <w:rFonts w:ascii="Arial" w:cs="Arial" w:eastAsia="Arial" w:hAnsi="Arial"/>
          <w:sz w:val="18"/>
          <w:szCs w:val="18"/>
          <w:color w:val="auto"/>
        </w:rPr>
        <w:t>borrowing costs on commercial paper issuances, as there were higher average balances of commercial paper outstanding during the first nine months of 2019 when compared with the same period in 2020. Interest and other borrowing costs were also lower during the first nine months of 2020, primarily due to interest expense recognized on the €350.0 million fixed rate notes and the ¥19.1 billion term loan assumed as part of the NEX acquisition in 2018 and subsequently paid down during the first quarter of 2019.</w:t>
      </w:r>
    </w:p>
    <w:p>
      <w:pPr>
        <w:spacing w:after="0" w:line="8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Equity in net earnings (losses) of unconsolidated subsidiaries. </w:t>
      </w:r>
      <w:r>
        <w:rPr>
          <w:rFonts w:ascii="Arial" w:cs="Arial" w:eastAsia="Arial" w:hAnsi="Arial"/>
          <w:sz w:val="18"/>
          <w:szCs w:val="18"/>
          <w:color w:val="auto"/>
        </w:rPr>
        <w:t>In the third quarter of 2020 when compared with the same period of 2019, lower income</w:t>
      </w:r>
      <w:r>
        <w:rPr>
          <w:rFonts w:ascii="Arial" w:cs="Arial" w:eastAsia="Arial" w:hAnsi="Arial"/>
          <w:sz w:val="18"/>
          <w:szCs w:val="18"/>
          <w:i w:val="1"/>
          <w:iCs w:val="1"/>
          <w:color w:val="auto"/>
        </w:rPr>
        <w:t xml:space="preserve"> </w:t>
      </w:r>
      <w:r>
        <w:rPr>
          <w:rFonts w:ascii="Arial" w:cs="Arial" w:eastAsia="Arial" w:hAnsi="Arial"/>
          <w:sz w:val="18"/>
          <w:szCs w:val="18"/>
          <w:color w:val="auto"/>
        </w:rPr>
        <w:t>generated from our S&amp;P/Dow Jones Indices LLC (S&amp;P/DJI) business venture contributed to a decrease in equity in net earnings (losses) of unconsolidated subsidiaries. In the first nine months of 2020 when compared to the same period in 2019, our investment in S&amp;P/DJI generated higher equity in net earnings (losses) due to higher profits in early 2020.</w:t>
      </w:r>
    </w:p>
    <w:p>
      <w:pPr>
        <w:spacing w:after="0" w:line="65"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i w:val="1"/>
          <w:iCs w:val="1"/>
          <w:color w:val="auto"/>
        </w:rPr>
        <w:t xml:space="preserve">Other income (expense). </w:t>
      </w:r>
      <w:r>
        <w:rPr>
          <w:rFonts w:ascii="Arial" w:cs="Arial" w:eastAsia="Arial" w:hAnsi="Arial"/>
          <w:sz w:val="16"/>
          <w:szCs w:val="16"/>
          <w:color w:val="auto"/>
        </w:rPr>
        <w:t>Other expenses decreased in the third quarter and first nine months of 2020 when compared with the same periods in 2019. We</w:t>
      </w:r>
      <w:r>
        <w:rPr>
          <w:rFonts w:ascii="Arial" w:cs="Arial" w:eastAsia="Arial" w:hAnsi="Arial"/>
          <w:sz w:val="16"/>
          <w:szCs w:val="16"/>
          <w:i w:val="1"/>
          <w:iCs w:val="1"/>
          <w:color w:val="auto"/>
        </w:rPr>
        <w:t xml:space="preserve"> </w:t>
      </w:r>
      <w:r>
        <w:rPr>
          <w:rFonts w:ascii="Arial" w:cs="Arial" w:eastAsia="Arial" w:hAnsi="Arial"/>
          <w:sz w:val="16"/>
          <w:szCs w:val="16"/>
          <w:color w:val="auto"/>
        </w:rPr>
        <w:t>recognized lower expenses during the third quarter and first nine months of 2020 related to a reduction in the distribution of interest earned on performance bond collateral reinvestments to the clearing firms due to lower interest income earned on our reinvestment. In addition, a gain of $1.5 million was recognized on derivative contracts in the first nine months of 2020 compared with a net loss of $17.9 million for the same period in 2019.</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effective tax rates for the periods presented: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8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2019</w:t>
            </w:r>
          </w:p>
        </w:tc>
      </w:tr>
      <w:tr>
        <w:trPr>
          <w:trHeight w:val="229"/>
        </w:trPr>
        <w:tc>
          <w:tcPr>
            <w:tcW w:w="9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Quarter ended September 30</w:t>
            </w:r>
          </w:p>
        </w:tc>
        <w:tc>
          <w:tcPr>
            <w:tcW w:w="8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89"/>
              </w:rPr>
              <w:t>23.3 %</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12.0 %</w:t>
            </w:r>
          </w:p>
        </w:tc>
      </w:tr>
      <w:tr>
        <w:trPr>
          <w:trHeight w:val="230"/>
        </w:trPr>
        <w:tc>
          <w:tcPr>
            <w:tcW w:w="9100" w:type="dxa"/>
            <w:vAlign w:val="bottom"/>
          </w:tcPr>
          <w:p>
            <w:pPr>
              <w:ind w:left="20"/>
              <w:spacing w:after="0"/>
              <w:rPr>
                <w:sz w:val="20"/>
                <w:szCs w:val="20"/>
                <w:color w:val="auto"/>
              </w:rPr>
            </w:pPr>
            <w:r>
              <w:rPr>
                <w:rFonts w:ascii="Arial" w:cs="Arial" w:eastAsia="Arial" w:hAnsi="Arial"/>
                <w:sz w:val="18"/>
                <w:szCs w:val="18"/>
                <w:color w:val="auto"/>
              </w:rPr>
              <w:t>Nine months ended September 30</w:t>
            </w:r>
          </w:p>
        </w:tc>
        <w:tc>
          <w:tcPr>
            <w:tcW w:w="880" w:type="dxa"/>
            <w:vAlign w:val="bottom"/>
          </w:tcPr>
          <w:p>
            <w:pPr>
              <w:jc w:val="right"/>
              <w:ind w:right="270"/>
              <w:spacing w:after="0"/>
              <w:rPr>
                <w:sz w:val="20"/>
                <w:szCs w:val="20"/>
                <w:color w:val="auto"/>
              </w:rPr>
            </w:pPr>
            <w:r>
              <w:rPr>
                <w:rFonts w:ascii="Arial" w:cs="Arial" w:eastAsia="Arial" w:hAnsi="Arial"/>
                <w:sz w:val="18"/>
                <w:szCs w:val="18"/>
                <w:color w:val="auto"/>
                <w:w w:val="89"/>
              </w:rPr>
              <w:t>23.1 %</w:t>
            </w:r>
          </w:p>
        </w:tc>
        <w:tc>
          <w:tcPr>
            <w:tcW w:w="1220" w:type="dxa"/>
            <w:vAlign w:val="bottom"/>
          </w:tcPr>
          <w:p>
            <w:pPr>
              <w:jc w:val="right"/>
              <w:spacing w:after="0"/>
              <w:rPr>
                <w:sz w:val="20"/>
                <w:szCs w:val="20"/>
                <w:color w:val="auto"/>
              </w:rPr>
            </w:pPr>
            <w:r>
              <w:rPr>
                <w:rFonts w:ascii="Arial" w:cs="Arial" w:eastAsia="Arial" w:hAnsi="Arial"/>
                <w:sz w:val="18"/>
                <w:szCs w:val="18"/>
                <w:color w:val="auto"/>
              </w:rPr>
              <w:t>20.3 %</w:t>
            </w:r>
          </w:p>
        </w:tc>
      </w:tr>
    </w:tbl>
    <w:p>
      <w:pPr>
        <w:spacing w:after="0" w:line="66"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The overall effective tax rates increased in the third quarter and first nine months of 2020 when compared with the same periods in 2019. In the third quarter of 2019, we recognized benefits for both 2018 and 2019 for the Foreign Derived Intangible Income Deduction (FDII Deduction) from servicing foreign customers. We have also recognized benefits for the FDII Deduction through the first three quarters of 2020.</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i w:val="1"/>
          <w:iCs w:val="1"/>
          <w:u w:val="single" w:color="auto"/>
          <w:color w:val="auto"/>
        </w:rPr>
        <w:t>Sources and Uses of Cash</w:t>
      </w:r>
      <w:r>
        <w:rPr>
          <w:rFonts w:ascii="Arial" w:cs="Arial" w:eastAsia="Arial" w:hAnsi="Arial"/>
          <w:sz w:val="17"/>
          <w:szCs w:val="17"/>
          <w:i w:val="1"/>
          <w:iCs w:val="1"/>
          <w:color w:val="auto"/>
        </w:rPr>
        <w:t xml:space="preserve">. </w:t>
      </w:r>
      <w:r>
        <w:rPr>
          <w:rFonts w:ascii="Arial" w:cs="Arial" w:eastAsia="Arial" w:hAnsi="Arial"/>
          <w:sz w:val="17"/>
          <w:szCs w:val="17"/>
          <w:color w:val="auto"/>
        </w:rPr>
        <w:t>Net cash provided by operating activities increased slightly in the first nine months of 2020 when compared with the same</w:t>
      </w:r>
      <w:r>
        <w:rPr>
          <w:rFonts w:ascii="Arial" w:cs="Arial" w:eastAsia="Arial" w:hAnsi="Arial"/>
          <w:sz w:val="17"/>
          <w:szCs w:val="17"/>
          <w:i w:val="1"/>
          <w:iCs w:val="1"/>
          <w:color w:val="auto"/>
        </w:rPr>
        <w:t xml:space="preserve"> </w:t>
      </w:r>
      <w:r>
        <w:rPr>
          <w:rFonts w:ascii="Arial" w:cs="Arial" w:eastAsia="Arial" w:hAnsi="Arial"/>
          <w:sz w:val="17"/>
          <w:szCs w:val="17"/>
          <w:color w:val="auto"/>
        </w:rPr>
        <w:t>period in 2019 largely due to an increase in revenues and a decrease in cash-based expenses. Net cash used in investing activities decreased in the first nine months of 2020 when compared with the same period of 2019 largely due to a decrease in purchases of property. Cash used in financing activities was higher in the first nine months of 2020 when compared with the same period in 2019 due to an increase in cash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Debt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table summarizes our debt outstanding at September 30, 2020:</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9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Par Value</w:t>
            </w:r>
          </w:p>
        </w:tc>
      </w:tr>
      <w:tr>
        <w:trPr>
          <w:trHeight w:val="229"/>
        </w:trPr>
        <w:tc>
          <w:tcPr>
            <w:tcW w:w="7240" w:type="dxa"/>
            <w:vAlign w:val="bottom"/>
            <w:shd w:val="clear" w:color="auto" w:fill="CCEEFF"/>
          </w:tcPr>
          <w:p>
            <w:pPr>
              <w:ind w:left="20"/>
              <w:spacing w:after="0" w:line="229" w:lineRule="exact"/>
              <w:rPr>
                <w:sz w:val="20"/>
                <w:szCs w:val="20"/>
                <w:color w:val="auto"/>
              </w:rPr>
            </w:pPr>
            <w:r>
              <w:rPr>
                <w:rFonts w:ascii="Arial" w:cs="Arial" w:eastAsia="Arial" w:hAnsi="Arial"/>
                <w:sz w:val="18"/>
                <w:szCs w:val="18"/>
                <w:color w:val="auto"/>
              </w:rPr>
              <w:t xml:space="preserve">Fixed rate notes due September 2022, stated rate of 3.00% </w:t>
            </w:r>
            <w:r>
              <w:rPr>
                <w:rFonts w:ascii="Arial" w:cs="Arial" w:eastAsia="Arial" w:hAnsi="Arial"/>
                <w:sz w:val="23"/>
                <w:szCs w:val="23"/>
                <w:color w:val="auto"/>
                <w:vertAlign w:val="superscript"/>
              </w:rPr>
              <w:t>(1)</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Fixed rate notes due May 2023, stated rate of 4.30%</w:t>
            </w:r>
          </w:p>
        </w:tc>
        <w:tc>
          <w:tcPr>
            <w:tcW w:w="29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29"/>
        </w:trPr>
        <w:tc>
          <w:tcPr>
            <w:tcW w:w="7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Fixed rate notes due March 2025, stated rate of 3.00% </w:t>
            </w:r>
            <w:r>
              <w:rPr>
                <w:rFonts w:ascii="Arial" w:cs="Arial" w:eastAsia="Arial" w:hAnsi="Arial"/>
                <w:sz w:val="23"/>
                <w:szCs w:val="23"/>
                <w:color w:val="auto"/>
                <w:vertAlign w:val="superscript"/>
              </w:rPr>
              <w:t>(2)</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Fixed rate notes due June 2028, stated rate of 3.75%</w:t>
            </w:r>
          </w:p>
        </w:tc>
        <w:tc>
          <w:tcPr>
            <w:tcW w:w="29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29"/>
        </w:trPr>
        <w:tc>
          <w:tcPr>
            <w:tcW w:w="7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Fixed rate notes due September 2043, stated rate of 5.30% </w:t>
            </w:r>
            <w:r>
              <w:rPr>
                <w:rFonts w:ascii="Arial" w:cs="Arial" w:eastAsia="Arial" w:hAnsi="Arial"/>
                <w:sz w:val="23"/>
                <w:szCs w:val="23"/>
                <w:color w:val="auto"/>
                <w:vertAlign w:val="superscript"/>
              </w:rPr>
              <w:t>(3)</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Fixed rate notes due June 2048, stated rate of 4.15%</w:t>
            </w:r>
          </w:p>
        </w:tc>
        <w:tc>
          <w:tcPr>
            <w:tcW w:w="29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700.0</w:t>
            </w:r>
          </w:p>
        </w:tc>
      </w:tr>
    </w:tbl>
    <w:p>
      <w:pPr>
        <w:spacing w:after="0" w:line="93"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117" w:lineRule="exact"/>
        <w:rPr>
          <w:sz w:val="20"/>
          <w:szCs w:val="20"/>
          <w:color w:val="auto"/>
        </w:rPr>
      </w:pPr>
    </w:p>
    <w:p>
      <w:pPr>
        <w:ind w:left="660" w:right="100" w:hanging="328"/>
        <w:spacing w:after="0" w:line="277" w:lineRule="auto"/>
        <w:tabs>
          <w:tab w:leader="none" w:pos="654"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maintained a forward-starting interest rate swap agreement that modified the interest obligation associated with these notes so that the interest payable on the notes effectively became fixed at a rate of 3.32%.</w:t>
      </w:r>
    </w:p>
    <w:p>
      <w:pPr>
        <w:spacing w:after="0" w:line="62" w:lineRule="exact"/>
        <w:rPr>
          <w:rFonts w:ascii="Arial" w:cs="Arial" w:eastAsia="Arial" w:hAnsi="Arial"/>
          <w:sz w:val="18"/>
          <w:szCs w:val="18"/>
          <w:color w:val="auto"/>
        </w:rPr>
      </w:pPr>
    </w:p>
    <w:p>
      <w:pPr>
        <w:ind w:left="660" w:right="100" w:hanging="328"/>
        <w:spacing w:after="0" w:line="277" w:lineRule="auto"/>
        <w:tabs>
          <w:tab w:leader="none" w:pos="654"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maintained a forward-starting interest rate swap agreement that modified the interest obligation associated with these notes so that the interest payable on the notes effectively became fixed at a rate of 3.11%.</w:t>
      </w:r>
    </w:p>
    <w:p>
      <w:pPr>
        <w:spacing w:after="0" w:line="62" w:lineRule="exact"/>
        <w:rPr>
          <w:rFonts w:ascii="Arial" w:cs="Arial" w:eastAsia="Arial" w:hAnsi="Arial"/>
          <w:sz w:val="18"/>
          <w:szCs w:val="18"/>
          <w:color w:val="auto"/>
        </w:rPr>
      </w:pPr>
    </w:p>
    <w:p>
      <w:pPr>
        <w:ind w:left="660" w:right="100" w:hanging="328"/>
        <w:spacing w:after="0" w:line="277" w:lineRule="auto"/>
        <w:tabs>
          <w:tab w:leader="none" w:pos="654"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maintained a forward-starting interest rate swap agreement that modified the interest obligation associated with these notes so that the interest payable effectively became fixed at a rate of 4.73%.</w:t>
      </w:r>
    </w:p>
    <w:p>
      <w:pPr>
        <w:spacing w:after="0" w:line="62"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maintain a $2.4 billion multi-currency revolving senior credit facility with various financial institutions, which matures in November 2022. The proceeds from this facility can be used for general corporate purposes, which includes providing liquidity for our clearing house in certain circumstances at CME Group's discretion and, if necessary, for maturities of commercial paper. As long as we are not in default under this facility, we have the option to increase it up to $3.0 billion with the consent of the agent and lenders providing the additional funds. This facility is voluntarily pre-payable from time to time without premium or penalty. Under this facility, we are required to remain in compliance with a consolidated net worth test, which is defined as our consolidated shareholders' equity at September 30, 2017, giving effect to share repurchases made and special dividends paid during the term of the agreements (and in no event greater than $2.0 billion in aggregate), multiplied by 0.65. We currently do not have any borrowings outstanding under this facility, but any commercial paper balance if or when outstanding can be backstopped against this facility.</w:t>
      </w:r>
    </w:p>
    <w:p>
      <w:pPr>
        <w:spacing w:after="0" w:line="57"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We maintain a 364-day multi-currency revolving secured credit facility with a consortium of domestic and international banks to be used in certain situations by the clearing house. The facility provides for borrowings of up to $7.0 billion. We may use the proceeds to provide temporary liquidity in the unlikely event of a clearing firm default, in the event of a liquidity constraint or default by a depositary (custodian for our collateral), or in the event of a temporary disruption with the domestic payments system that would delay payment of settlement variation between us and our clearing firms. Clearing firm guaranty fund contributions received in the form of cash or U.S. Treasury securities as well as the performance bond assets deposited by defaulting clearing members can be used to collateralize the facility. At September 30, 2020, guaranty funds available to collateralize the facility totaled $7.9 billion. We have the option to request an increase in the line from $7.0 billion to $10.0 billion. Our 364-day facility contains a requirement that CME remain in compliance with a consolidated tangible net worth test, defined as CME consolidated shareholder's equity less intangible assets (as defined in the agreement), of not less than $800.0 million. We currently do not have any borrowings outstanding under this facility.</w:t>
      </w:r>
    </w:p>
    <w:p>
      <w:pPr>
        <w:spacing w:after="0" w:line="58"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The indentures governing our fixed rate notes, our $2.4 billion multi-currency revolving senior credit facility and our 364-day multi-currency revolving secured credit facility for $7.0 billion do not contain specific covenants that restrict the ability to pay dividends. These documents, however, do contain other customary financial and operating covenants that place restrictions on the operations of the company that could indirectly affect the ability to pay dividends.</w:t>
      </w:r>
    </w:p>
    <w:p>
      <w:pPr>
        <w:spacing w:after="0" w:line="7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At September 30, 2020, we have excess borrowing capacity for general corporate purposes of approximately $2.4 billion under our multi-currency revolving senior credit facility.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2020, we were in compliance with the various financial covenant requirements of all our debt facilities.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CME Group, as a holding company, has no operations of its own. Instead, it relies on dividends declared and paid to it by its subsidiaries in order to provide the funds which it uses to pay dividends to its shareholders.</w:t>
      </w:r>
    </w:p>
    <w:p>
      <w:pPr>
        <w:spacing w:after="0" w:line="49"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To satisfy our performance bond obligation with Singapore Exchange Limited, we may pledge irrevocable standby letters of credit. At September 30, 2020, the letters of credit totaled $310.0 million. We also maintain a $350.0 million line of credit to meet our obligations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credit ratings at September 30, 2020:</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40" w:type="dxa"/>
            <w:vAlign w:val="bottom"/>
          </w:tcPr>
          <w:p>
            <w:pPr>
              <w:spacing w:after="0"/>
              <w:rPr>
                <w:sz w:val="16"/>
                <w:szCs w:val="16"/>
                <w:color w:val="auto"/>
              </w:rPr>
            </w:pPr>
          </w:p>
        </w:tc>
        <w:tc>
          <w:tcPr>
            <w:tcW w:w="3420" w:type="dxa"/>
            <w:vAlign w:val="bottom"/>
          </w:tcPr>
          <w:p>
            <w:pPr>
              <w:ind w:left="2080"/>
              <w:spacing w:after="0"/>
              <w:rPr>
                <w:sz w:val="20"/>
                <w:szCs w:val="20"/>
                <w:color w:val="auto"/>
              </w:rPr>
            </w:pPr>
            <w:r>
              <w:rPr>
                <w:rFonts w:ascii="Arial" w:cs="Arial" w:eastAsia="Arial" w:hAnsi="Arial"/>
                <w:sz w:val="14"/>
                <w:szCs w:val="14"/>
                <w:b w:val="1"/>
                <w:bCs w:val="1"/>
                <w:color w:val="auto"/>
              </w:rPr>
              <w:t>Short-Term</w:t>
            </w: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5"/>
              </w:rPr>
              <w:t>Long-Term</w:t>
            </w:r>
          </w:p>
        </w:tc>
        <w:tc>
          <w:tcPr>
            <w:tcW w:w="1760" w:type="dxa"/>
            <w:vAlign w:val="bottom"/>
          </w:tcPr>
          <w:p>
            <w:pPr>
              <w:spacing w:after="0"/>
              <w:rPr>
                <w:sz w:val="16"/>
                <w:szCs w:val="16"/>
                <w:color w:val="auto"/>
              </w:rPr>
            </w:pPr>
          </w:p>
        </w:tc>
      </w:tr>
      <w:tr>
        <w:trPr>
          <w:trHeight w:val="195"/>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Rating Agency</w:t>
            </w:r>
          </w:p>
        </w:tc>
        <w:tc>
          <w:tcPr>
            <w:tcW w:w="3420" w:type="dxa"/>
            <w:vAlign w:val="bottom"/>
            <w:tcBorders>
              <w:bottom w:val="single" w:sz="8" w:color="auto"/>
            </w:tcBorders>
          </w:tcPr>
          <w:p>
            <w:pPr>
              <w:ind w:left="2080"/>
              <w:spacing w:after="0"/>
              <w:rPr>
                <w:sz w:val="20"/>
                <w:szCs w:val="20"/>
                <w:color w:val="auto"/>
              </w:rPr>
            </w:pPr>
            <w:r>
              <w:rPr>
                <w:rFonts w:ascii="Arial" w:cs="Arial" w:eastAsia="Arial" w:hAnsi="Arial"/>
                <w:sz w:val="14"/>
                <w:szCs w:val="14"/>
                <w:b w:val="1"/>
                <w:bCs w:val="1"/>
                <w:color w:val="auto"/>
              </w:rPr>
              <w:t>Debt Rating</w:t>
            </w: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Debt Rating</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Outlook</w:t>
            </w: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Standard &amp; Poor’s</w:t>
            </w:r>
          </w:p>
        </w:tc>
        <w:tc>
          <w:tcPr>
            <w:tcW w:w="3420" w:type="dxa"/>
            <w:vAlign w:val="bottom"/>
            <w:shd w:val="clear" w:color="auto" w:fill="CCEEFF"/>
          </w:tcPr>
          <w:p>
            <w:pPr>
              <w:jc w:val="center"/>
              <w:ind w:left="1379"/>
              <w:spacing w:after="0"/>
              <w:rPr>
                <w:sz w:val="20"/>
                <w:szCs w:val="20"/>
                <w:color w:val="auto"/>
              </w:rPr>
            </w:pPr>
            <w:r>
              <w:rPr>
                <w:rFonts w:ascii="Arial" w:cs="Arial" w:eastAsia="Arial" w:hAnsi="Arial"/>
                <w:sz w:val="18"/>
                <w:szCs w:val="18"/>
                <w:color w:val="auto"/>
                <w:w w:val="98"/>
              </w:rPr>
              <w:t>A1+</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AA-</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Stable</w:t>
            </w: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Moody’s Investors Service</w:t>
            </w:r>
          </w:p>
        </w:tc>
        <w:tc>
          <w:tcPr>
            <w:tcW w:w="3420" w:type="dxa"/>
            <w:vAlign w:val="bottom"/>
          </w:tcPr>
          <w:p>
            <w:pPr>
              <w:jc w:val="center"/>
              <w:ind w:left="1399"/>
              <w:spacing w:after="0"/>
              <w:rPr>
                <w:sz w:val="20"/>
                <w:szCs w:val="20"/>
                <w:color w:val="auto"/>
              </w:rPr>
            </w:pPr>
            <w:r>
              <w:rPr>
                <w:rFonts w:ascii="Arial" w:cs="Arial" w:eastAsia="Arial" w:hAnsi="Arial"/>
                <w:sz w:val="18"/>
                <w:szCs w:val="18"/>
                <w:color w:val="auto"/>
                <w:w w:val="81"/>
              </w:rPr>
              <w:t>P1</w:t>
            </w:r>
          </w:p>
        </w:tc>
        <w:tc>
          <w:tcPr>
            <w:tcW w:w="2020" w:type="dxa"/>
            <w:vAlign w:val="bottom"/>
          </w:tcPr>
          <w:p>
            <w:pPr>
              <w:jc w:val="center"/>
              <w:spacing w:after="0"/>
              <w:rPr>
                <w:sz w:val="20"/>
                <w:szCs w:val="20"/>
                <w:color w:val="auto"/>
              </w:rPr>
            </w:pPr>
            <w:r>
              <w:rPr>
                <w:rFonts w:ascii="Arial" w:cs="Arial" w:eastAsia="Arial" w:hAnsi="Arial"/>
                <w:sz w:val="18"/>
                <w:szCs w:val="18"/>
                <w:color w:val="auto"/>
                <w:w w:val="93"/>
              </w:rPr>
              <w:t>Aa3</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Stable</w:t>
            </w:r>
          </w:p>
        </w:tc>
      </w:tr>
    </w:tbl>
    <w:p>
      <w:pPr>
        <w:spacing w:after="0" w:line="93"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Given our cash flow generation, our ability to pay down debt levels and our ability to refinance existing debt facilities if necessary, we expect to maintain an investment grade rating. If our ratings are downgraded below investment grade due to a change of control, we are required to make an offer to repurchase our fixed rate notes at a price equal to 101% of the principal amount, plus accrued and unpaid interest.</w:t>
      </w:r>
    </w:p>
    <w:p>
      <w:pPr>
        <w:spacing w:after="0" w:line="57"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i w:val="1"/>
          <w:iCs w:val="1"/>
          <w:u w:val="single" w:color="auto"/>
          <w:color w:val="auto"/>
        </w:rPr>
        <w:t>Liquidity and Cash Management</w:t>
      </w:r>
      <w:r>
        <w:rPr>
          <w:rFonts w:ascii="Arial" w:cs="Arial" w:eastAsia="Arial" w:hAnsi="Arial"/>
          <w:sz w:val="16"/>
          <w:szCs w:val="16"/>
          <w:color w:val="auto"/>
        </w:rPr>
        <w:t>. Cash and cash equivalents totaled $1.3 billion and $1.6 billion at September 30, 2020 and December 31, 2019,</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The balance retained in cash and cash equivalents is a function of anticipated or possible short-term cash needs, prevailing interest rates, our investment policy and alternative investment choices. A majority of our cash and cash equivalents balance is invested in money market mutual funds that invest only in U.S. Treasury securities, U.S. government agency securities and U.S. Treasury security reverse repurchase agreements. Our exposure to credit and liquidity risk is minimal given the nature of the investments. Cash that is not available for general corporate purposes because of regulatory requirements or other restrictions is classified as restricted cash and is included in other current assets or other assets in the consolidated balance sheets.</w:t>
      </w:r>
    </w:p>
    <w:p>
      <w:pPr>
        <w:spacing w:after="0" w:line="5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At September 30, 2020, the cash performance bonds and guaranty fund contributions on the consolidated balance sheet was $88.1 billion compared with $37.1 billion at December 31, 2019. The increase in the balance was due to an increase in margin requirements.</w:t>
      </w:r>
    </w:p>
    <w:p>
      <w:pPr>
        <w:spacing w:after="0" w:line="62"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i w:val="1"/>
          <w:iCs w:val="1"/>
          <w:u w:val="single" w:color="auto"/>
          <w:color w:val="auto"/>
        </w:rPr>
        <w:t>Regulatory Requirements</w:t>
      </w:r>
      <w:r>
        <w:rPr>
          <w:rFonts w:ascii="Arial" w:cs="Arial" w:eastAsia="Arial" w:hAnsi="Arial"/>
          <w:sz w:val="17"/>
          <w:szCs w:val="17"/>
          <w:i w:val="1"/>
          <w:iCs w:val="1"/>
          <w:color w:val="auto"/>
        </w:rPr>
        <w:t xml:space="preserve">. </w:t>
      </w:r>
      <w:r>
        <w:rPr>
          <w:rFonts w:ascii="Arial" w:cs="Arial" w:eastAsia="Arial" w:hAnsi="Arial"/>
          <w:sz w:val="17"/>
          <w:szCs w:val="17"/>
          <w:color w:val="auto"/>
        </w:rPr>
        <w:t>CME is regulated by the CFTC as a U.S. Derivatives Clearing Organization (DCO). DCOs are required to maintain capital, as</w:t>
      </w:r>
      <w:r>
        <w:rPr>
          <w:rFonts w:ascii="Arial" w:cs="Arial" w:eastAsia="Arial" w:hAnsi="Arial"/>
          <w:sz w:val="17"/>
          <w:szCs w:val="17"/>
          <w:i w:val="1"/>
          <w:iCs w:val="1"/>
          <w:color w:val="auto"/>
        </w:rPr>
        <w:t xml:space="preserve"> </w:t>
      </w:r>
      <w:r>
        <w:rPr>
          <w:rFonts w:ascii="Arial" w:cs="Arial" w:eastAsia="Arial" w:hAnsi="Arial"/>
          <w:sz w:val="17"/>
          <w:szCs w:val="17"/>
          <w:color w:val="auto"/>
        </w:rPr>
        <w:t>defined by the CFTC, in an amount at least equal to one year of projected operating expenses as well as cash, liquid securities, or a line of credit at least equal to six months of projected operating expenses. CME was designated by the Financial Stability Oversight Council as a systemically important financial market utility under Title VIII of Dodd-Frank. As a result, CME must comply with CFTC regulations applicable to a systemically important DCO for financial resources and liquidity resources. CME is in compliance with all DCO financial requirements.</w:t>
      </w:r>
    </w:p>
    <w:p>
      <w:pPr>
        <w:spacing w:after="0" w:line="68"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CME, CBOT, NYMEX and COMEX are regulated by the CFTC as Designated Contract Markets (DCM). DCMs are required to maintain capital, as defined by the CFTC, in an amount at least equal to one year of projected operating expenses as well as cash, liquid securities or a line of credit at least equal to six months of projected operating expenses. Our DCMs are in compliance with all DCM financial requirements.</w:t>
      </w:r>
    </w:p>
    <w:p>
      <w:pPr>
        <w:spacing w:after="0" w:line="4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BrokerTec Americas LLC is required to maintain sufficient net capital under Securities Exchange Act Rule 15c3-1 (the Net Capital Rule). The Net Capital Rule focuses on liquidity and is designed to protect securities customers, counterparties, and creditors by requiring that broker-dealers have sufficient liquid resources on hand at all times to satisfy claims promptly. Rule 15c3-3, or the customer protection rule, which complements rule 15c3-1, is designed to ensure that customer property (securities and funds) in the custody of broker-dealers is adequately safeguarded. By law, both of these rules apply to the activities of registered broker-dealers, but not to unregistered affiliates. The firm began operating as a (k)(2)(i) broker dealer in November 2017 following notification to the Financial Industry Regulatory Authority and the SEC. A company operating under the (k)(2)(i) exemption is not required to lock up customer funds as would otherwise be required under Rule 15c3-3 of the Securities Exchange Act.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0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Refer to Note 2. Accounting Policies in our notes to the consolidated financial statements for information on newly issued and recently adopted accounting pronouncements that are applicable to us.</w:t>
      </w:r>
    </w:p>
    <w:p>
      <w:pPr>
        <w:spacing w:after="0" w:line="166"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We are subject to various market risks, including those caused by changes in interest rates, credit, foreign currency exchange rates and equity prices. There have not been material changes in our exposure to market risk since December 31, 2019. Refer to Item 7A. of CME Group’s Annual Report on Form 10-K for the year ended December 31, 2019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jc w:val="both"/>
        <w:ind w:right="20" w:firstLine="8"/>
        <w:spacing w:after="0" w:line="301" w:lineRule="auto"/>
        <w:tabs>
          <w:tab w:leader="none" w:pos="245" w:val="left"/>
        </w:tabs>
        <w:numPr>
          <w:ilvl w:val="0"/>
          <w:numId w:val="13"/>
        </w:numPr>
        <w:rPr>
          <w:rFonts w:ascii="Arial" w:cs="Arial" w:eastAsia="Arial" w:hAnsi="Arial"/>
          <w:sz w:val="16"/>
          <w:szCs w:val="16"/>
          <w:color w:val="auto"/>
        </w:rPr>
      </w:pPr>
      <w:r>
        <w:rPr>
          <w:rFonts w:ascii="Arial" w:cs="Arial" w:eastAsia="Arial" w:hAnsi="Arial"/>
          <w:sz w:val="16"/>
          <w:szCs w:val="16"/>
          <w:color w:val="auto"/>
        </w:rPr>
        <w:t>Disclosure Controls and Procedures. Our management, with the participation of our Chief Executive Officer and Chief Financial Officer, has evaluated the effectiveness of our disclosure controls and procedures (as such term is defined in Rules 13a-15(e) and 15d-15(e) under the Securities Exchange Act of 1934, as amended (the Exchange Act)) as of the end of the period covered by this report. Based on such evaluation, our Chief Executive Officer and Chief Financial Officer have concluded that, as of the end of such period, our disclosure controls and procedures are effective.</w:t>
      </w:r>
    </w:p>
    <w:p>
      <w:pPr>
        <w:spacing w:after="0" w:line="49" w:lineRule="exact"/>
        <w:rPr>
          <w:rFonts w:ascii="Arial" w:cs="Arial" w:eastAsia="Arial" w:hAnsi="Arial"/>
          <w:sz w:val="16"/>
          <w:szCs w:val="16"/>
          <w:color w:val="auto"/>
        </w:rPr>
      </w:pPr>
    </w:p>
    <w:p>
      <w:pPr>
        <w:ind w:right="20" w:firstLine="8"/>
        <w:spacing w:after="0" w:line="293" w:lineRule="auto"/>
        <w:tabs>
          <w:tab w:leader="none" w:pos="255" w:val="left"/>
        </w:tabs>
        <w:numPr>
          <w:ilvl w:val="0"/>
          <w:numId w:val="13"/>
        </w:numPr>
        <w:rPr>
          <w:rFonts w:ascii="Arial" w:cs="Arial" w:eastAsia="Arial" w:hAnsi="Arial"/>
          <w:sz w:val="16"/>
          <w:szCs w:val="16"/>
          <w:color w:val="auto"/>
        </w:rPr>
      </w:pPr>
      <w:r>
        <w:rPr>
          <w:rFonts w:ascii="Arial" w:cs="Arial" w:eastAsia="Arial" w:hAnsi="Arial"/>
          <w:sz w:val="16"/>
          <w:szCs w:val="16"/>
          <w:color w:val="auto"/>
        </w:rPr>
        <w:t>Changes in Internal Control Over Financial Reporting. As required by Rule 13a-15(d) under the Exchange Act, the company’s management, including the company’s Chief Executive Officer and Chief Financial Officer, have evaluated the company’s internal control over financial reporting (as such term is defined in Rules 13a-15(f) and 15d-15(f) under the Exchange Act) to determine whether any changes occurred during the quarter covered by this quarterly report that have materially affected, or are reasonably likely to materially affect, the company’s internal control over financial reporting. There were no changes in the company’s internal control over financial reporting which occurred during the fiscal quarter ended September 30, 2020, that have materially affected, or are reasonably likely to materially affect, the company’s internal control over financial reporting.</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58"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21" w:lineRule="exact"/>
        <w:rPr>
          <w:sz w:val="20"/>
          <w:szCs w:val="20"/>
          <w:color w:val="auto"/>
        </w:rPr>
      </w:pPr>
    </w:p>
    <w:p>
      <w:pPr>
        <w:jc w:val="both"/>
        <w:ind w:right="620"/>
        <w:spacing w:after="0" w:line="263" w:lineRule="auto"/>
        <w:rPr>
          <w:sz w:val="20"/>
          <w:szCs w:val="20"/>
          <w:color w:val="auto"/>
        </w:rPr>
      </w:pPr>
      <w:r>
        <w:rPr>
          <w:rFonts w:ascii="Arial" w:cs="Arial" w:eastAsia="Arial" w:hAnsi="Arial"/>
          <w:sz w:val="18"/>
          <w:szCs w:val="18"/>
          <w:color w:val="auto"/>
        </w:rPr>
        <w:t>See “Legal and Regulatory Matters” in Note 7. Contingencies to the Consolidated Financial Statements for updates to CME Group’s existing legal proceedings disclosure which is incorporated herein by reference. Note 7. Contingencies includes updates to the legal proceedings disclosed in the company’s Annual Report on Form 10-K, filed with the SEC on February 28, 2020.</w:t>
      </w:r>
    </w:p>
    <w:p>
      <w:pPr>
        <w:spacing w:after="0" w:line="112"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333333"/>
        </w:rPr>
        <w:t>There have been no material changes in the company's risk factors from those disclosed in the company's Annual Report on Form 10-K for the year ended December 31, 2019 and Form 10-Q for the quarter ended June 30, 2020.</w:t>
      </w:r>
    </w:p>
    <w:p>
      <w:pPr>
        <w:spacing w:after="0" w:line="139"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3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(c) Total Number of Class A</w:t>
            </w:r>
          </w:p>
        </w:tc>
        <w:tc>
          <w:tcPr>
            <w:tcW w:w="2260" w:type="dxa"/>
            <w:vAlign w:val="bottom"/>
          </w:tcPr>
          <w:p>
            <w:pPr>
              <w:jc w:val="center"/>
              <w:ind w:right="121"/>
              <w:spacing w:after="0"/>
              <w:rPr>
                <w:sz w:val="20"/>
                <w:szCs w:val="20"/>
                <w:color w:val="auto"/>
              </w:rPr>
            </w:pPr>
            <w:r>
              <w:rPr>
                <w:rFonts w:ascii="Arial" w:cs="Arial" w:eastAsia="Arial" w:hAnsi="Arial"/>
                <w:sz w:val="14"/>
                <w:szCs w:val="14"/>
                <w:b w:val="1"/>
                <w:bCs w:val="1"/>
                <w:color w:val="auto"/>
                <w:w w:val="97"/>
              </w:rPr>
              <w:t>(d) Maximum Number (or</w:t>
            </w: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1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(a) Total Number of</w:t>
            </w:r>
          </w:p>
        </w:tc>
        <w:tc>
          <w:tcPr>
            <w:tcW w:w="2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300" w:type="dxa"/>
            <w:vAlign w:val="bottom"/>
            <w:gridSpan w:val="2"/>
            <w:vMerge w:val="continue"/>
          </w:tcPr>
          <w:p>
            <w:pPr>
              <w:spacing w:after="0"/>
              <w:rPr>
                <w:sz w:val="11"/>
                <w:szCs w:val="11"/>
                <w:color w:val="auto"/>
              </w:rPr>
            </w:pPr>
          </w:p>
        </w:tc>
        <w:tc>
          <w:tcPr>
            <w:tcW w:w="2260" w:type="dxa"/>
            <w:vAlign w:val="bottom"/>
          </w:tcPr>
          <w:p>
            <w:pPr>
              <w:jc w:val="center"/>
              <w:ind w:right="141"/>
              <w:spacing w:after="0" w:line="135" w:lineRule="exact"/>
              <w:rPr>
                <w:sz w:val="20"/>
                <w:szCs w:val="20"/>
                <w:color w:val="auto"/>
              </w:rPr>
            </w:pPr>
            <w:r>
              <w:rPr>
                <w:rFonts w:ascii="Arial" w:cs="Arial" w:eastAsia="Arial" w:hAnsi="Arial"/>
                <w:sz w:val="14"/>
                <w:szCs w:val="14"/>
                <w:b w:val="1"/>
                <w:bCs w:val="1"/>
                <w:color w:val="auto"/>
                <w:w w:val="94"/>
              </w:rPr>
              <w:t>Approximate Value) that</w:t>
            </w: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17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460" w:type="dxa"/>
            <w:vAlign w:val="bottom"/>
            <w:vMerge w:val="restart"/>
          </w:tcPr>
          <w:p>
            <w:pPr>
              <w:jc w:val="right"/>
              <w:ind w:right="257"/>
              <w:spacing w:after="0"/>
              <w:rPr>
                <w:sz w:val="20"/>
                <w:szCs w:val="20"/>
                <w:color w:val="auto"/>
              </w:rPr>
            </w:pPr>
            <w:r>
              <w:rPr>
                <w:rFonts w:ascii="Arial" w:cs="Arial" w:eastAsia="Arial" w:hAnsi="Arial"/>
                <w:sz w:val="14"/>
                <w:szCs w:val="14"/>
                <w:b w:val="1"/>
                <w:bCs w:val="1"/>
                <w:color w:val="auto"/>
                <w:w w:val="95"/>
              </w:rPr>
              <w:t>(b) Average Price</w:t>
            </w:r>
          </w:p>
        </w:tc>
        <w:tc>
          <w:tcPr>
            <w:tcW w:w="23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8"/>
              </w:rPr>
              <w:t>Shares Purchased as</w:t>
            </w:r>
          </w:p>
        </w:tc>
        <w:tc>
          <w:tcPr>
            <w:tcW w:w="2260" w:type="dxa"/>
            <w:vAlign w:val="bottom"/>
          </w:tcPr>
          <w:p>
            <w:pPr>
              <w:jc w:val="center"/>
              <w:ind w:right="121"/>
              <w:spacing w:after="0" w:line="135" w:lineRule="exact"/>
              <w:rPr>
                <w:sz w:val="20"/>
                <w:szCs w:val="20"/>
                <w:color w:val="auto"/>
              </w:rPr>
            </w:pPr>
            <w:r>
              <w:rPr>
                <w:rFonts w:ascii="Arial" w:cs="Arial" w:eastAsia="Arial" w:hAnsi="Arial"/>
                <w:sz w:val="14"/>
                <w:szCs w:val="14"/>
                <w:b w:val="1"/>
                <w:bCs w:val="1"/>
                <w:color w:val="auto"/>
                <w:w w:val="91"/>
              </w:rPr>
              <w:t>May Yet Be Purchased</w:t>
            </w:r>
          </w:p>
        </w:tc>
        <w:tc>
          <w:tcPr>
            <w:tcW w:w="0" w:type="dxa"/>
            <w:vAlign w:val="bottom"/>
          </w:tcPr>
          <w:p>
            <w:pPr>
              <w:spacing w:after="0"/>
              <w:rPr>
                <w:sz w:val="1"/>
                <w:szCs w:val="1"/>
                <w:color w:val="auto"/>
              </w:rPr>
            </w:pPr>
          </w:p>
        </w:tc>
      </w:tr>
      <w:tr>
        <w:trPr>
          <w:trHeight w:val="135"/>
        </w:trPr>
        <w:tc>
          <w:tcPr>
            <w:tcW w:w="3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7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Class A</w:t>
            </w:r>
          </w:p>
        </w:tc>
        <w:tc>
          <w:tcPr>
            <w:tcW w:w="28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23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2"/>
              </w:rPr>
              <w:t>Part of Publicly Announced</w:t>
            </w:r>
          </w:p>
        </w:tc>
        <w:tc>
          <w:tcPr>
            <w:tcW w:w="2260" w:type="dxa"/>
            <w:vAlign w:val="bottom"/>
          </w:tcPr>
          <w:p>
            <w:pPr>
              <w:jc w:val="center"/>
              <w:ind w:right="141"/>
              <w:spacing w:after="0" w:line="135" w:lineRule="exact"/>
              <w:rPr>
                <w:sz w:val="20"/>
                <w:szCs w:val="20"/>
                <w:color w:val="auto"/>
              </w:rPr>
            </w:pPr>
            <w:r>
              <w:rPr>
                <w:rFonts w:ascii="Arial" w:cs="Arial" w:eastAsia="Arial" w:hAnsi="Arial"/>
                <w:sz w:val="14"/>
                <w:szCs w:val="14"/>
                <w:b w:val="1"/>
                <w:bCs w:val="1"/>
                <w:color w:val="auto"/>
                <w:w w:val="92"/>
              </w:rPr>
              <w:t>Under the Plans or Programs</w:t>
            </w:r>
          </w:p>
        </w:tc>
        <w:tc>
          <w:tcPr>
            <w:tcW w:w="0" w:type="dxa"/>
            <w:vAlign w:val="bottom"/>
          </w:tcPr>
          <w:p>
            <w:pPr>
              <w:spacing w:after="0"/>
              <w:rPr>
                <w:sz w:val="1"/>
                <w:szCs w:val="1"/>
                <w:color w:val="auto"/>
              </w:rPr>
            </w:pPr>
          </w:p>
        </w:tc>
      </w:tr>
      <w:tr>
        <w:trPr>
          <w:trHeight w:val="188"/>
        </w:trPr>
        <w:tc>
          <w:tcPr>
            <w:tcW w:w="3120" w:type="dxa"/>
            <w:vAlign w:val="bottom"/>
            <w:tcBorders>
              <w:bottom w:val="single" w:sz="8" w:color="auto"/>
            </w:tcBorders>
            <w:vMerge w:val="continue"/>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Shares Purchased (1)</w:t>
            </w: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Paid Per Share</w:t>
            </w:r>
          </w:p>
        </w:tc>
        <w:tc>
          <w:tcPr>
            <w:tcW w:w="23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Plans or Programs</w:t>
            </w:r>
          </w:p>
        </w:tc>
        <w:tc>
          <w:tcPr>
            <w:tcW w:w="226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24"/>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July 1 to July 31</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168.90</w:t>
            </w:r>
          </w:p>
        </w:tc>
        <w:tc>
          <w:tcPr>
            <w:tcW w:w="2300" w:type="dxa"/>
            <w:vAlign w:val="bottom"/>
            <w:gridSpan w:val="2"/>
            <w:shd w:val="clear" w:color="auto" w:fill="CCEEFF"/>
          </w:tcPr>
          <w:p>
            <w:pPr>
              <w:ind w:left="1720"/>
              <w:spacing w:after="0"/>
              <w:rPr>
                <w:sz w:val="20"/>
                <w:szCs w:val="20"/>
                <w:color w:val="auto"/>
              </w:rPr>
            </w:pPr>
            <w:r>
              <w:rPr>
                <w:rFonts w:ascii="Arial" w:cs="Arial" w:eastAsia="Arial" w:hAnsi="Arial"/>
                <w:sz w:val="18"/>
                <w:szCs w:val="18"/>
                <w:color w:val="auto"/>
              </w:rPr>
              <w:t>—  $</w:t>
            </w:r>
          </w:p>
        </w:tc>
        <w:tc>
          <w:tcPr>
            <w:tcW w:w="2260" w:type="dxa"/>
            <w:vAlign w:val="bottom"/>
            <w:shd w:val="clear" w:color="auto" w:fill="CCEEFF"/>
          </w:tcPr>
          <w:p>
            <w:pPr>
              <w:ind w:left="2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August 1 to August 31</w:t>
            </w:r>
          </w:p>
        </w:tc>
        <w:tc>
          <w:tcPr>
            <w:tcW w:w="1760" w:type="dxa"/>
            <w:vAlign w:val="bottom"/>
          </w:tcPr>
          <w:p>
            <w:pPr>
              <w:jc w:val="right"/>
              <w:spacing w:after="0"/>
              <w:rPr>
                <w:sz w:val="20"/>
                <w:szCs w:val="20"/>
                <w:color w:val="auto"/>
              </w:rPr>
            </w:pPr>
            <w:r>
              <w:rPr>
                <w:rFonts w:ascii="Arial" w:cs="Arial" w:eastAsia="Arial" w:hAnsi="Arial"/>
                <w:sz w:val="18"/>
                <w:szCs w:val="18"/>
                <w:color w:val="auto"/>
              </w:rPr>
              <w:t>252</w:t>
            </w:r>
          </w:p>
        </w:tc>
        <w:tc>
          <w:tcPr>
            <w:tcW w:w="280" w:type="dxa"/>
            <w:vAlign w:val="bottom"/>
          </w:tcPr>
          <w:p>
            <w:pPr>
              <w:spacing w:after="0"/>
              <w:rPr>
                <w:sz w:val="19"/>
                <w:szCs w:val="19"/>
                <w:color w:val="auto"/>
              </w:rPr>
            </w:pPr>
          </w:p>
        </w:tc>
        <w:tc>
          <w:tcPr>
            <w:tcW w:w="1460" w:type="dxa"/>
            <w:vAlign w:val="bottom"/>
          </w:tcPr>
          <w:p>
            <w:pPr>
              <w:jc w:val="right"/>
              <w:ind w:right="97"/>
              <w:spacing w:after="0"/>
              <w:rPr>
                <w:sz w:val="20"/>
                <w:szCs w:val="20"/>
                <w:color w:val="auto"/>
              </w:rPr>
            </w:pPr>
            <w:r>
              <w:rPr>
                <w:rFonts w:ascii="Arial" w:cs="Arial" w:eastAsia="Arial" w:hAnsi="Arial"/>
                <w:sz w:val="18"/>
                <w:szCs w:val="18"/>
                <w:color w:val="auto"/>
              </w:rPr>
              <w:t>170.02</w:t>
            </w:r>
          </w:p>
        </w:tc>
        <w:tc>
          <w:tcPr>
            <w:tcW w:w="2300" w:type="dxa"/>
            <w:vAlign w:val="bottom"/>
            <w:gridSpan w:val="2"/>
          </w:tcPr>
          <w:p>
            <w:pPr>
              <w:ind w:left="1720"/>
              <w:spacing w:after="0"/>
              <w:rPr>
                <w:sz w:val="20"/>
                <w:szCs w:val="20"/>
                <w:color w:val="auto"/>
              </w:rPr>
            </w:pPr>
            <w:r>
              <w:rPr>
                <w:rFonts w:ascii="Arial" w:cs="Arial" w:eastAsia="Arial" w:hAnsi="Arial"/>
                <w:sz w:val="18"/>
                <w:szCs w:val="18"/>
                <w:color w:val="auto"/>
              </w:rPr>
              <w:t>—</w:t>
            </w:r>
          </w:p>
        </w:tc>
        <w:tc>
          <w:tcPr>
            <w:tcW w:w="2260" w:type="dxa"/>
            <w:vAlign w:val="bottom"/>
          </w:tcPr>
          <w:p>
            <w:pPr>
              <w:ind w:left="2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1 to September 30</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107,236</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168.25</w:t>
            </w:r>
          </w:p>
        </w:tc>
        <w:tc>
          <w:tcPr>
            <w:tcW w:w="2300" w:type="dxa"/>
            <w:vAlign w:val="bottom"/>
            <w:gridSpan w:val="2"/>
            <w:shd w:val="clear" w:color="auto" w:fill="CCEEFF"/>
          </w:tcPr>
          <w:p>
            <w:pPr>
              <w:ind w:left="1720"/>
              <w:spacing w:after="0"/>
              <w:rPr>
                <w:sz w:val="20"/>
                <w:szCs w:val="20"/>
                <w:color w:val="auto"/>
              </w:rPr>
            </w:pPr>
            <w:r>
              <w:rPr>
                <w:rFonts w:ascii="Arial" w:cs="Arial" w:eastAsia="Arial" w:hAnsi="Arial"/>
                <w:sz w:val="18"/>
                <w:szCs w:val="18"/>
                <w:color w:val="auto"/>
              </w:rPr>
              <w:t>—</w:t>
            </w:r>
          </w:p>
        </w:tc>
        <w:tc>
          <w:tcPr>
            <w:tcW w:w="2260" w:type="dxa"/>
            <w:vAlign w:val="bottom"/>
            <w:shd w:val="clear" w:color="auto" w:fill="CCEEFF"/>
          </w:tcPr>
          <w:p>
            <w:pPr>
              <w:ind w:left="2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120" w:type="dxa"/>
            <w:vAlign w:val="bottom"/>
          </w:tcPr>
          <w:p>
            <w:pPr>
              <w:ind w:left="20"/>
              <w:spacing w:after="0"/>
              <w:rPr>
                <w:sz w:val="20"/>
                <w:szCs w:val="20"/>
                <w:color w:val="auto"/>
              </w:rPr>
            </w:pPr>
            <w:r>
              <w:rPr>
                <w:rFonts w:ascii="Arial" w:cs="Arial" w:eastAsia="Arial" w:hAnsi="Arial"/>
                <w:sz w:val="18"/>
                <w:szCs w:val="18"/>
                <w:color w:val="auto"/>
              </w:rPr>
              <w:t>Total</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107,590</w:t>
            </w: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980" w:type="dxa"/>
            <w:vAlign w:val="bottom"/>
            <w:tcBorders>
              <w:top w:val="single" w:sz="8" w:color="auto"/>
              <w:bottom w:val="single" w:sz="8" w:color="auto"/>
            </w:tcBorders>
          </w:tcPr>
          <w:p>
            <w:pPr>
              <w:ind w:left="17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1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60" w:right="780" w:hanging="328"/>
        <w:spacing w:after="0" w:line="277" w:lineRule="auto"/>
        <w:tabs>
          <w:tab w:leader="none" w:pos="654"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Shares purchased consist of an aggregate of 107,590 shares of Class A common stock surrendered in the third quarter of 2020 to satisfy employees’ tax obligations upon the vesting of restricted stock.</w:t>
      </w:r>
    </w:p>
    <w:p>
      <w:pPr>
        <w:sectPr>
          <w:pgSz w:w="11900" w:h="16838" w:orient="portrait"/>
          <w:cols w:equalWidth="0" w:num="1">
            <w:col w:w="11180"/>
          </w:cols>
          <w:pgMar w:left="320" w:top="12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520" w:type="dxa"/>
            <w:vAlign w:val="bottom"/>
          </w:tcPr>
          <w:p>
            <w:pPr>
              <w:ind w:left="280"/>
              <w:spacing w:after="0"/>
              <w:rPr>
                <w:sz w:val="20"/>
                <w:szCs w:val="20"/>
                <w:color w:val="auto"/>
              </w:rPr>
            </w:pPr>
            <w:r>
              <w:rPr>
                <w:rFonts w:ascii="Arial" w:cs="Arial" w:eastAsia="Arial" w:hAnsi="Arial"/>
                <w:sz w:val="18"/>
                <w:szCs w:val="18"/>
                <w:b w:val="1"/>
                <w:bCs w:val="1"/>
                <w:color w:val="auto"/>
              </w:rPr>
              <w:t>EXHIBITS</w:t>
            </w:r>
          </w:p>
        </w:tc>
        <w:tc>
          <w:tcPr>
            <w:tcW w:w="8560" w:type="dxa"/>
            <w:vAlign w:val="bottom"/>
          </w:tcPr>
          <w:p>
            <w:pPr>
              <w:spacing w:after="0"/>
              <w:rPr>
                <w:sz w:val="20"/>
                <w:szCs w:val="20"/>
                <w:color w:val="auto"/>
              </w:rPr>
            </w:pPr>
          </w:p>
        </w:tc>
      </w:tr>
      <w:tr>
        <w:trPr>
          <w:trHeight w:val="581"/>
        </w:trPr>
        <w:tc>
          <w:tcPr>
            <w:tcW w:w="960" w:type="dxa"/>
            <w:vAlign w:val="bottom"/>
          </w:tcPr>
          <w:p>
            <w:pPr>
              <w:spacing w:after="0"/>
              <w:rPr>
                <w:sz w:val="20"/>
                <w:szCs w:val="20"/>
                <w:color w:val="auto"/>
              </w:rPr>
            </w:pPr>
            <w:r>
              <w:rPr>
                <w:rFonts w:ascii="Arial" w:cs="Arial" w:eastAsia="Arial" w:hAnsi="Arial"/>
                <w:sz w:val="18"/>
                <w:szCs w:val="18"/>
                <w:color w:val="auto"/>
              </w:rPr>
              <w:t>31.1</w:t>
            </w:r>
          </w:p>
        </w:tc>
        <w:tc>
          <w:tcPr>
            <w:tcW w:w="1520" w:type="dxa"/>
            <w:vAlign w:val="bottom"/>
          </w:tcPr>
          <w:p>
            <w:pPr>
              <w:ind w:left="660"/>
              <w:spacing w:after="0"/>
              <w:rPr>
                <w:rFonts w:ascii="Arial" w:cs="Arial" w:eastAsia="Arial" w:hAnsi="Arial"/>
                <w:sz w:val="18"/>
                <w:szCs w:val="18"/>
                <w:u w:val="single" w:color="auto"/>
                <w:color w:val="0000FF"/>
                <w:w w:val="88"/>
              </w:rPr>
            </w:pPr>
            <w:hyperlink w:anchor="page37">
              <w:r>
                <w:rPr>
                  <w:rFonts w:ascii="Arial" w:cs="Arial" w:eastAsia="Arial" w:hAnsi="Arial"/>
                  <w:sz w:val="18"/>
                  <w:szCs w:val="18"/>
                  <w:u w:val="single" w:color="auto"/>
                  <w:color w:val="0000FF"/>
                  <w:w w:val="88"/>
                </w:rPr>
                <w:t>Section 302</w:t>
              </w:r>
            </w:hyperlink>
          </w:p>
        </w:tc>
        <w:tc>
          <w:tcPr>
            <w:tcW w:w="8560" w:type="dxa"/>
            <w:vAlign w:val="bottom"/>
          </w:tcPr>
          <w:p>
            <w:pPr>
              <w:ind w:left="4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Certification—Terrence A. Duffy</w:t>
              </w:r>
            </w:hyperlink>
          </w:p>
        </w:tc>
      </w:tr>
      <w:tr>
        <w:trPr>
          <w:trHeight w:val="338"/>
        </w:trPr>
        <w:tc>
          <w:tcPr>
            <w:tcW w:w="960" w:type="dxa"/>
            <w:vAlign w:val="bottom"/>
          </w:tcPr>
          <w:p>
            <w:pPr>
              <w:spacing w:after="0"/>
              <w:rPr>
                <w:sz w:val="20"/>
                <w:szCs w:val="20"/>
                <w:color w:val="auto"/>
              </w:rPr>
            </w:pPr>
            <w:r>
              <w:rPr>
                <w:rFonts w:ascii="Arial" w:cs="Arial" w:eastAsia="Arial" w:hAnsi="Arial"/>
                <w:sz w:val="18"/>
                <w:szCs w:val="18"/>
                <w:color w:val="auto"/>
              </w:rPr>
              <w:t>31.2</w:t>
            </w:r>
          </w:p>
        </w:tc>
        <w:tc>
          <w:tcPr>
            <w:tcW w:w="1520" w:type="dxa"/>
            <w:vAlign w:val="bottom"/>
          </w:tcPr>
          <w:p>
            <w:pPr>
              <w:ind w:left="660"/>
              <w:spacing w:after="0"/>
              <w:rPr>
                <w:rFonts w:ascii="Arial" w:cs="Arial" w:eastAsia="Arial" w:hAnsi="Arial"/>
                <w:sz w:val="18"/>
                <w:szCs w:val="18"/>
                <w:u w:val="single" w:color="auto"/>
                <w:color w:val="0000FF"/>
                <w:w w:val="88"/>
              </w:rPr>
            </w:pPr>
            <w:hyperlink w:anchor="page38">
              <w:r>
                <w:rPr>
                  <w:rFonts w:ascii="Arial" w:cs="Arial" w:eastAsia="Arial" w:hAnsi="Arial"/>
                  <w:sz w:val="18"/>
                  <w:szCs w:val="18"/>
                  <w:u w:val="single" w:color="auto"/>
                  <w:color w:val="0000FF"/>
                  <w:w w:val="88"/>
                </w:rPr>
                <w:t>Section 302</w:t>
              </w:r>
            </w:hyperlink>
          </w:p>
        </w:tc>
        <w:tc>
          <w:tcPr>
            <w:tcW w:w="8560" w:type="dxa"/>
            <w:vAlign w:val="bottom"/>
          </w:tcPr>
          <w:p>
            <w:pPr>
              <w:ind w:left="40"/>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Certification—John W. Pietrowicz</w:t>
              </w:r>
            </w:hyperlink>
          </w:p>
        </w:tc>
      </w:tr>
      <w:tr>
        <w:trPr>
          <w:trHeight w:val="338"/>
        </w:trPr>
        <w:tc>
          <w:tcPr>
            <w:tcW w:w="960" w:type="dxa"/>
            <w:vAlign w:val="bottom"/>
          </w:tcPr>
          <w:p>
            <w:pPr>
              <w:spacing w:after="0"/>
              <w:rPr>
                <w:sz w:val="20"/>
                <w:szCs w:val="20"/>
                <w:color w:val="auto"/>
              </w:rPr>
            </w:pPr>
            <w:r>
              <w:rPr>
                <w:rFonts w:ascii="Arial" w:cs="Arial" w:eastAsia="Arial" w:hAnsi="Arial"/>
                <w:sz w:val="18"/>
                <w:szCs w:val="18"/>
                <w:color w:val="auto"/>
              </w:rPr>
              <w:t>32.1</w:t>
            </w:r>
          </w:p>
        </w:tc>
        <w:tc>
          <w:tcPr>
            <w:tcW w:w="1520" w:type="dxa"/>
            <w:vAlign w:val="bottom"/>
          </w:tcPr>
          <w:p>
            <w:pPr>
              <w:ind w:left="660"/>
              <w:spacing w:after="0"/>
              <w:rPr>
                <w:rFonts w:ascii="Arial" w:cs="Arial" w:eastAsia="Arial" w:hAnsi="Arial"/>
                <w:sz w:val="18"/>
                <w:szCs w:val="18"/>
                <w:u w:val="single" w:color="auto"/>
                <w:color w:val="0000FF"/>
                <w:w w:val="88"/>
              </w:rPr>
            </w:pPr>
            <w:hyperlink w:anchor="page39">
              <w:r>
                <w:rPr>
                  <w:rFonts w:ascii="Arial" w:cs="Arial" w:eastAsia="Arial" w:hAnsi="Arial"/>
                  <w:sz w:val="18"/>
                  <w:szCs w:val="18"/>
                  <w:u w:val="single" w:color="auto"/>
                  <w:color w:val="0000FF"/>
                  <w:w w:val="88"/>
                </w:rPr>
                <w:t>Section 906</w:t>
              </w:r>
            </w:hyperlink>
          </w:p>
        </w:tc>
        <w:tc>
          <w:tcPr>
            <w:tcW w:w="8560" w:type="dxa"/>
            <w:vAlign w:val="bottom"/>
          </w:tcPr>
          <w:p>
            <w:pPr>
              <w:ind w:left="4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Certification</w:t>
              </w:r>
            </w:hyperlink>
          </w:p>
        </w:tc>
      </w:tr>
      <w:tr>
        <w:trPr>
          <w:trHeight w:val="283"/>
        </w:trPr>
        <w:tc>
          <w:tcPr>
            <w:tcW w:w="960" w:type="dxa"/>
            <w:vAlign w:val="bottom"/>
          </w:tcPr>
          <w:p>
            <w:pPr>
              <w:spacing w:after="0"/>
              <w:rPr>
                <w:sz w:val="20"/>
                <w:szCs w:val="20"/>
                <w:color w:val="auto"/>
              </w:rPr>
            </w:pPr>
            <w:r>
              <w:rPr>
                <w:rFonts w:ascii="Arial" w:cs="Arial" w:eastAsia="Arial" w:hAnsi="Arial"/>
                <w:sz w:val="18"/>
                <w:szCs w:val="18"/>
                <w:color w:val="auto"/>
              </w:rPr>
              <w:t>101</w:t>
            </w:r>
          </w:p>
        </w:tc>
        <w:tc>
          <w:tcPr>
            <w:tcW w:w="10080" w:type="dxa"/>
            <w:vAlign w:val="bottom"/>
            <w:gridSpan w:val="2"/>
          </w:tcPr>
          <w:p>
            <w:pPr>
              <w:ind w:left="660"/>
              <w:spacing w:after="0"/>
              <w:rPr>
                <w:sz w:val="20"/>
                <w:szCs w:val="20"/>
                <w:color w:val="auto"/>
              </w:rPr>
            </w:pPr>
            <w:r>
              <w:rPr>
                <w:rFonts w:ascii="Arial" w:cs="Arial" w:eastAsia="Arial" w:hAnsi="Arial"/>
                <w:sz w:val="18"/>
                <w:szCs w:val="18"/>
                <w:color w:val="auto"/>
                <w:w w:val="96"/>
              </w:rPr>
              <w:t>The following materials from CME Group Inc.’s Quarterly Report on Form 10-Q for the quarter ended September 30, 2020,</w:t>
            </w:r>
          </w:p>
        </w:tc>
      </w:tr>
      <w:tr>
        <w:trPr>
          <w:trHeight w:val="175"/>
        </w:trPr>
        <w:tc>
          <w:tcPr>
            <w:tcW w:w="960" w:type="dxa"/>
            <w:vAlign w:val="bottom"/>
          </w:tcPr>
          <w:p>
            <w:pPr>
              <w:spacing w:after="0"/>
              <w:rPr>
                <w:sz w:val="15"/>
                <w:szCs w:val="15"/>
                <w:color w:val="auto"/>
              </w:rPr>
            </w:pPr>
          </w:p>
        </w:tc>
        <w:tc>
          <w:tcPr>
            <w:tcW w:w="10080" w:type="dxa"/>
            <w:vAlign w:val="bottom"/>
            <w:gridSpan w:val="2"/>
          </w:tcPr>
          <w:p>
            <w:pPr>
              <w:ind w:left="660"/>
              <w:spacing w:after="0" w:line="176" w:lineRule="exact"/>
              <w:rPr>
                <w:sz w:val="20"/>
                <w:szCs w:val="20"/>
                <w:color w:val="auto"/>
              </w:rPr>
            </w:pPr>
            <w:r>
              <w:rPr>
                <w:rFonts w:ascii="Arial" w:cs="Arial" w:eastAsia="Arial" w:hAnsi="Arial"/>
                <w:sz w:val="18"/>
                <w:szCs w:val="18"/>
                <w:color w:val="auto"/>
                <w:w w:val="93"/>
              </w:rPr>
              <w:t>formatted in Inline XBRL (Extensible Business Reporting Language): (i) the Consolidated Balance Sheets, (ii) the Consolidated</w:t>
            </w:r>
          </w:p>
        </w:tc>
      </w:tr>
      <w:tr>
        <w:trPr>
          <w:trHeight w:val="176"/>
        </w:trPr>
        <w:tc>
          <w:tcPr>
            <w:tcW w:w="960" w:type="dxa"/>
            <w:vAlign w:val="bottom"/>
          </w:tcPr>
          <w:p>
            <w:pPr>
              <w:spacing w:after="0"/>
              <w:rPr>
                <w:sz w:val="15"/>
                <w:szCs w:val="15"/>
                <w:color w:val="auto"/>
              </w:rPr>
            </w:pPr>
          </w:p>
        </w:tc>
        <w:tc>
          <w:tcPr>
            <w:tcW w:w="10080" w:type="dxa"/>
            <w:vAlign w:val="bottom"/>
            <w:gridSpan w:val="2"/>
          </w:tcPr>
          <w:p>
            <w:pPr>
              <w:ind w:left="660"/>
              <w:spacing w:after="0" w:line="176" w:lineRule="exact"/>
              <w:rPr>
                <w:sz w:val="20"/>
                <w:szCs w:val="20"/>
                <w:color w:val="auto"/>
              </w:rPr>
            </w:pPr>
            <w:r>
              <w:rPr>
                <w:rFonts w:ascii="Arial" w:cs="Arial" w:eastAsia="Arial" w:hAnsi="Arial"/>
                <w:sz w:val="18"/>
                <w:szCs w:val="18"/>
                <w:color w:val="auto"/>
                <w:w w:val="90"/>
              </w:rPr>
              <w:t>Statements of Income, (iii) the Consolidated Statements of Comprehensive Income, (iv) the Consolidated Statements of Equity, (v)</w:t>
            </w:r>
          </w:p>
        </w:tc>
      </w:tr>
      <w:tr>
        <w:trPr>
          <w:trHeight w:val="230"/>
        </w:trPr>
        <w:tc>
          <w:tcPr>
            <w:tcW w:w="960" w:type="dxa"/>
            <w:vAlign w:val="bottom"/>
          </w:tcPr>
          <w:p>
            <w:pPr>
              <w:spacing w:after="0"/>
              <w:rPr>
                <w:sz w:val="20"/>
                <w:szCs w:val="20"/>
                <w:color w:val="auto"/>
              </w:rPr>
            </w:pPr>
          </w:p>
        </w:tc>
        <w:tc>
          <w:tcPr>
            <w:tcW w:w="10080" w:type="dxa"/>
            <w:vAlign w:val="bottom"/>
            <w:gridSpan w:val="2"/>
          </w:tcPr>
          <w:p>
            <w:pPr>
              <w:ind w:left="660"/>
              <w:spacing w:after="0"/>
              <w:rPr>
                <w:sz w:val="20"/>
                <w:szCs w:val="20"/>
                <w:color w:val="auto"/>
              </w:rPr>
            </w:pPr>
            <w:r>
              <w:rPr>
                <w:rFonts w:ascii="Arial" w:cs="Arial" w:eastAsia="Arial" w:hAnsi="Arial"/>
                <w:sz w:val="18"/>
                <w:szCs w:val="18"/>
                <w:color w:val="auto"/>
                <w:w w:val="91"/>
              </w:rPr>
              <w:t>Consolidated Statements of Cash Flows and (vi) Notes to Unaudited Consolidated Financial Statements, tagged as blocks of text.</w:t>
            </w:r>
          </w:p>
        </w:tc>
      </w:tr>
      <w:tr>
        <w:trPr>
          <w:trHeight w:val="283"/>
        </w:trPr>
        <w:tc>
          <w:tcPr>
            <w:tcW w:w="960" w:type="dxa"/>
            <w:vAlign w:val="bottom"/>
          </w:tcPr>
          <w:p>
            <w:pPr>
              <w:spacing w:after="0"/>
              <w:rPr>
                <w:sz w:val="20"/>
                <w:szCs w:val="20"/>
                <w:color w:val="auto"/>
              </w:rPr>
            </w:pPr>
            <w:r>
              <w:rPr>
                <w:rFonts w:ascii="Arial" w:cs="Arial" w:eastAsia="Arial" w:hAnsi="Arial"/>
                <w:sz w:val="18"/>
                <w:szCs w:val="18"/>
                <w:color w:val="auto"/>
              </w:rPr>
              <w:t>104</w:t>
            </w:r>
          </w:p>
        </w:tc>
        <w:tc>
          <w:tcPr>
            <w:tcW w:w="10080" w:type="dxa"/>
            <w:vAlign w:val="bottom"/>
            <w:gridSpan w:val="2"/>
          </w:tcPr>
          <w:p>
            <w:pPr>
              <w:ind w:left="660"/>
              <w:spacing w:after="0"/>
              <w:rPr>
                <w:sz w:val="20"/>
                <w:szCs w:val="20"/>
                <w:color w:val="auto"/>
              </w:rPr>
            </w:pPr>
            <w:r>
              <w:rPr>
                <w:rFonts w:ascii="Arial" w:cs="Arial" w:eastAsia="Arial" w:hAnsi="Arial"/>
                <w:sz w:val="18"/>
                <w:szCs w:val="18"/>
                <w:color w:val="auto"/>
                <w:w w:val="92"/>
              </w:rPr>
              <w:t>The cover page from CME Group Inc.'s Quarterly Report on Form 10-Q for the quarter ended September 30, 2020, formatted in</w:t>
            </w:r>
          </w:p>
        </w:tc>
      </w:tr>
      <w:tr>
        <w:trPr>
          <w:trHeight w:val="230"/>
        </w:trPr>
        <w:tc>
          <w:tcPr>
            <w:tcW w:w="960" w:type="dxa"/>
            <w:vAlign w:val="bottom"/>
          </w:tcPr>
          <w:p>
            <w:pPr>
              <w:spacing w:after="0"/>
              <w:rPr>
                <w:sz w:val="20"/>
                <w:szCs w:val="20"/>
                <w:color w:val="auto"/>
              </w:rPr>
            </w:pPr>
          </w:p>
        </w:tc>
        <w:tc>
          <w:tcPr>
            <w:tcW w:w="10080" w:type="dxa"/>
            <w:vAlign w:val="bottom"/>
            <w:gridSpan w:val="2"/>
          </w:tcPr>
          <w:p>
            <w:pPr>
              <w:ind w:left="660"/>
              <w:spacing w:after="0"/>
              <w:rPr>
                <w:sz w:val="20"/>
                <w:szCs w:val="20"/>
                <w:color w:val="auto"/>
              </w:rPr>
            </w:pPr>
            <w:r>
              <w:rPr>
                <w:rFonts w:ascii="Arial" w:cs="Arial" w:eastAsia="Arial" w:hAnsi="Arial"/>
                <w:sz w:val="18"/>
                <w:szCs w:val="18"/>
                <w:color w:val="auto"/>
              </w:rPr>
              <w:t>Inline XBRL.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25" w:right="51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8"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CME Group Inc.</w:t>
      </w:r>
    </w:p>
    <w:p>
      <w:pPr>
        <w:ind w:left="5100"/>
        <w:spacing w:after="0"/>
        <w:rPr>
          <w:sz w:val="20"/>
          <w:szCs w:val="20"/>
          <w:color w:val="auto"/>
        </w:rPr>
      </w:pPr>
      <w:r>
        <w:rPr>
          <w:rFonts w:ascii="Arial" w:cs="Arial" w:eastAsia="Arial" w:hAnsi="Arial"/>
          <w:sz w:val="18"/>
          <w:szCs w:val="18"/>
          <w:color w:val="auto"/>
        </w:rPr>
        <w:t>(Registrant)</w:t>
      </w:r>
    </w:p>
    <w:p>
      <w:pPr>
        <w:spacing w:after="0" w:line="277" w:lineRule="exact"/>
        <w:rPr>
          <w:sz w:val="20"/>
          <w:szCs w:val="20"/>
          <w:color w:val="auto"/>
        </w:rPr>
      </w:pPr>
    </w:p>
    <w:p>
      <w:pPr>
        <w:ind w:left="20"/>
        <w:spacing w:after="0"/>
        <w:tabs>
          <w:tab w:leader="none" w:pos="5080" w:val="left"/>
          <w:tab w:leader="none" w:pos="7760" w:val="left"/>
        </w:tabs>
        <w:rPr>
          <w:sz w:val="20"/>
          <w:szCs w:val="20"/>
          <w:color w:val="auto"/>
        </w:rPr>
      </w:pPr>
      <w:r>
        <w:rPr>
          <w:rFonts w:ascii="Arial" w:cs="Arial" w:eastAsia="Arial" w:hAnsi="Arial"/>
          <w:sz w:val="18"/>
          <w:szCs w:val="18"/>
          <w:color w:val="auto"/>
        </w:rPr>
        <w:t>Dated: November 4,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John W. Pietrowicz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401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1" w:lineRule="exact"/>
        <w:rPr>
          <w:sz w:val="20"/>
          <w:szCs w:val="20"/>
          <w:color w:val="auto"/>
        </w:rPr>
      </w:pPr>
    </w:p>
    <w:p>
      <w:pPr>
        <w:jc w:val="center"/>
        <w:ind w:left="5900"/>
        <w:spacing w:after="0"/>
        <w:rPr>
          <w:sz w:val="20"/>
          <w:szCs w:val="20"/>
          <w:color w:val="auto"/>
        </w:rPr>
      </w:pPr>
      <w:r>
        <w:rPr>
          <w:rFonts w:ascii="Arial" w:cs="Arial" w:eastAsia="Arial" w:hAnsi="Arial"/>
          <w:sz w:val="18"/>
          <w:szCs w:val="18"/>
          <w:b w:val="1"/>
          <w:bCs w:val="1"/>
          <w:color w:val="auto"/>
        </w:rPr>
        <w:t>John W. Pietrowicz</w:t>
      </w:r>
    </w:p>
    <w:p>
      <w:pPr>
        <w:jc w:val="center"/>
        <w:ind w:left="5900"/>
        <w:spacing w:after="0" w:line="203" w:lineRule="auto"/>
        <w:rPr>
          <w:sz w:val="20"/>
          <w:szCs w:val="20"/>
          <w:color w:val="auto"/>
        </w:rPr>
      </w:pPr>
      <w:r>
        <w:rPr>
          <w:rFonts w:ascii="Arial" w:cs="Arial" w:eastAsia="Arial" w:hAnsi="Arial"/>
          <w:sz w:val="18"/>
          <w:szCs w:val="18"/>
          <w:b w:val="1"/>
          <w:bCs w:val="1"/>
          <w:color w:val="auto"/>
        </w:rPr>
        <w:t>Chief Financial Officer &amp; Senior Managing</w:t>
      </w:r>
    </w:p>
    <w:p>
      <w:pPr>
        <w:jc w:val="center"/>
        <w:ind w:left="5900"/>
        <w:spacing w:after="0"/>
        <w:rPr>
          <w:sz w:val="20"/>
          <w:szCs w:val="20"/>
          <w:color w:val="auto"/>
        </w:rPr>
      </w:pPr>
      <w:r>
        <w:rPr>
          <w:rFonts w:ascii="Arial" w:cs="Arial" w:eastAsia="Arial" w:hAnsi="Arial"/>
          <w:sz w:val="18"/>
          <w:szCs w:val="18"/>
          <w:b w:val="1"/>
          <w:bCs w:val="1"/>
          <w:color w:val="auto"/>
        </w:rPr>
        <w:t>Director Finance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00"/>
          </w:cols>
          <w:pgMar w:left="320" w:top="125" w:right="37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Terrence A. Duffy, certify that:</w:t>
      </w:r>
    </w:p>
    <w:p>
      <w:pPr>
        <w:spacing w:after="0" w:line="104" w:lineRule="exact"/>
        <w:rPr>
          <w:sz w:val="20"/>
          <w:szCs w:val="20"/>
          <w:color w:val="auto"/>
        </w:rPr>
      </w:pPr>
    </w:p>
    <w:p>
      <w:pPr>
        <w:ind w:left="360" w:hanging="172"/>
        <w:spacing w:after="0"/>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report on Form 10-Q of CME Group Inc.;</w:t>
      </w:r>
    </w:p>
    <w:p>
      <w:pPr>
        <w:spacing w:after="0" w:line="90" w:lineRule="exact"/>
        <w:rPr>
          <w:rFonts w:ascii="Arial" w:cs="Arial" w:eastAsia="Arial" w:hAnsi="Arial"/>
          <w:sz w:val="18"/>
          <w:szCs w:val="18"/>
          <w:color w:val="auto"/>
        </w:rPr>
      </w:pPr>
    </w:p>
    <w:p>
      <w:pPr>
        <w:ind w:right="260" w:firstLine="188"/>
        <w:spacing w:after="0" w:line="342" w:lineRule="auto"/>
        <w:tabs>
          <w:tab w:leader="none" w:pos="3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 w:lineRule="exact"/>
        <w:rPr>
          <w:rFonts w:ascii="Arial" w:cs="Arial" w:eastAsia="Arial" w:hAnsi="Arial"/>
          <w:sz w:val="16"/>
          <w:szCs w:val="16"/>
          <w:color w:val="auto"/>
        </w:rPr>
      </w:pPr>
    </w:p>
    <w:p>
      <w:pPr>
        <w:ind w:right="360" w:firstLine="188"/>
        <w:spacing w:after="0" w:line="277" w:lineRule="auto"/>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Arial" w:cs="Arial" w:eastAsia="Arial" w:hAnsi="Arial"/>
          <w:sz w:val="18"/>
          <w:szCs w:val="18"/>
          <w:color w:val="auto"/>
        </w:rPr>
      </w:pPr>
    </w:p>
    <w:p>
      <w:pPr>
        <w:ind w:right="80" w:firstLine="188"/>
        <w:spacing w:after="0" w:line="263" w:lineRule="auto"/>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9" w:lineRule="exact"/>
        <w:rPr>
          <w:sz w:val="20"/>
          <w:szCs w:val="20"/>
          <w:color w:val="auto"/>
        </w:rPr>
      </w:pPr>
    </w:p>
    <w:p>
      <w:pPr>
        <w:jc w:val="both"/>
        <w:ind w:right="140" w:firstLine="188"/>
        <w:spacing w:after="0" w:line="263" w:lineRule="auto"/>
        <w:tabs>
          <w:tab w:leader="none" w:pos="365"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right="120" w:firstLine="188"/>
        <w:spacing w:after="0" w:line="263" w:lineRule="auto"/>
        <w:tabs>
          <w:tab w:leader="none" w:pos="3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right="180" w:firstLine="188"/>
        <w:spacing w:after="0" w:line="308" w:lineRule="auto"/>
        <w:tabs>
          <w:tab w:leader="none" w:pos="365" w:val="left"/>
        </w:tabs>
        <w:numPr>
          <w:ilvl w:val="0"/>
          <w:numId w:val="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 w:lineRule="exact"/>
        <w:rPr>
          <w:rFonts w:ascii="Arial" w:cs="Arial" w:eastAsia="Arial" w:hAnsi="Arial"/>
          <w:sz w:val="17"/>
          <w:szCs w:val="17"/>
          <w:color w:val="auto"/>
        </w:rPr>
      </w:pPr>
    </w:p>
    <w:p>
      <w:pPr>
        <w:ind w:right="200" w:firstLine="188"/>
        <w:spacing w:after="0" w:line="263" w:lineRule="auto"/>
        <w:tabs>
          <w:tab w:leader="none" w:pos="3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sz w:val="20"/>
          <w:szCs w:val="20"/>
          <w:color w:val="auto"/>
        </w:rPr>
      </w:pPr>
    </w:p>
    <w:p>
      <w:pPr>
        <w:ind w:right="300" w:firstLine="188"/>
        <w:spacing w:after="0" w:line="308" w:lineRule="auto"/>
        <w:tabs>
          <w:tab w:leader="none" w:pos="3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25" w:lineRule="exact"/>
        <w:rPr>
          <w:sz w:val="20"/>
          <w:szCs w:val="20"/>
          <w:color w:val="auto"/>
        </w:rPr>
      </w:pPr>
    </w:p>
    <w:p>
      <w:pPr>
        <w:ind w:right="100" w:firstLine="188"/>
        <w:spacing w:after="0" w:line="277" w:lineRule="auto"/>
        <w:tabs>
          <w:tab w:leader="none" w:pos="36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right="140" w:firstLine="188"/>
        <w:spacing w:after="0" w:line="277" w:lineRule="auto"/>
        <w:tabs>
          <w:tab w:leader="none" w:pos="3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Dated: November 4, 2020</w:t>
            </w:r>
          </w:p>
        </w:tc>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Terrence A. Duffy</w:t>
            </w:r>
          </w:p>
        </w:tc>
      </w:tr>
      <w:tr>
        <w:trPr>
          <w:trHeight w:val="222"/>
        </w:trPr>
        <w:tc>
          <w:tcPr>
            <w:tcW w:w="5620" w:type="dxa"/>
            <w:vAlign w:val="bottom"/>
          </w:tcPr>
          <w:p>
            <w:pPr>
              <w:spacing w:after="0"/>
              <w:rPr>
                <w:sz w:val="19"/>
                <w:szCs w:val="19"/>
                <w:color w:val="auto"/>
              </w:rPr>
            </w:pPr>
          </w:p>
        </w:tc>
        <w:tc>
          <w:tcPr>
            <w:tcW w:w="5560" w:type="dxa"/>
            <w:vAlign w:val="bottom"/>
          </w:tcPr>
          <w:p>
            <w:pPr>
              <w:ind w:left="20"/>
              <w:spacing w:after="0"/>
              <w:rPr>
                <w:sz w:val="20"/>
                <w:szCs w:val="20"/>
                <w:color w:val="auto"/>
              </w:rPr>
            </w:pPr>
            <w:r>
              <w:rPr>
                <w:rFonts w:ascii="Arial" w:cs="Arial" w:eastAsia="Arial" w:hAnsi="Arial"/>
                <w:sz w:val="18"/>
                <w:szCs w:val="18"/>
                <w:color w:val="auto"/>
              </w:rPr>
              <w:t>Name: Terrence A. Duffy</w:t>
            </w:r>
          </w:p>
        </w:tc>
      </w:tr>
      <w:tr>
        <w:trPr>
          <w:trHeight w:val="230"/>
        </w:trPr>
        <w:tc>
          <w:tcPr>
            <w:tcW w:w="5620" w:type="dxa"/>
            <w:vAlign w:val="bottom"/>
          </w:tcPr>
          <w:p>
            <w:pPr>
              <w:spacing w:after="0"/>
              <w:rPr>
                <w:sz w:val="20"/>
                <w:szCs w:val="20"/>
                <w:color w:val="auto"/>
              </w:rPr>
            </w:pPr>
          </w:p>
        </w:tc>
        <w:tc>
          <w:tcPr>
            <w:tcW w:w="5560" w:type="dxa"/>
            <w:vAlign w:val="bottom"/>
          </w:tcPr>
          <w:p>
            <w:pPr>
              <w:ind w:left="20"/>
              <w:spacing w:after="0"/>
              <w:rPr>
                <w:sz w:val="20"/>
                <w:szCs w:val="20"/>
                <w:color w:val="auto"/>
              </w:rPr>
            </w:pPr>
            <w:r>
              <w:rPr>
                <w:rFonts w:ascii="Arial" w:cs="Arial" w:eastAsia="Arial" w:hAnsi="Arial"/>
                <w:sz w:val="18"/>
                <w:szCs w:val="18"/>
                <w:color w:val="auto"/>
              </w:rPr>
              <w:t>Title: Chief Executive Officer</w:t>
            </w:r>
          </w:p>
        </w:tc>
      </w:tr>
    </w:tbl>
    <w:p>
      <w:pPr>
        <w:sectPr>
          <w:pgSz w:w="11900" w:h="16838" w:orient="portrait"/>
          <w:cols w:equalWidth="0" w:num="1">
            <w:col w:w="11240"/>
          </w:cols>
          <w:pgMar w:left="320" w:top="985"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John W. Pietrowicz, certify that:</w:t>
      </w:r>
    </w:p>
    <w:p>
      <w:pPr>
        <w:spacing w:after="0" w:line="104" w:lineRule="exact"/>
        <w:rPr>
          <w:sz w:val="20"/>
          <w:szCs w:val="20"/>
          <w:color w:val="auto"/>
        </w:rPr>
      </w:pPr>
    </w:p>
    <w:p>
      <w:pPr>
        <w:ind w:left="360" w:hanging="172"/>
        <w:spacing w:after="0"/>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report on Form 10-Q of CME Group Inc.;</w:t>
      </w:r>
    </w:p>
    <w:p>
      <w:pPr>
        <w:spacing w:after="0" w:line="90" w:lineRule="exact"/>
        <w:rPr>
          <w:rFonts w:ascii="Arial" w:cs="Arial" w:eastAsia="Arial" w:hAnsi="Arial"/>
          <w:sz w:val="18"/>
          <w:szCs w:val="18"/>
          <w:color w:val="auto"/>
        </w:rPr>
      </w:pPr>
    </w:p>
    <w:p>
      <w:pPr>
        <w:ind w:right="260" w:firstLine="188"/>
        <w:spacing w:after="0" w:line="342" w:lineRule="auto"/>
        <w:tabs>
          <w:tab w:leader="none" w:pos="3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 w:lineRule="exact"/>
        <w:rPr>
          <w:rFonts w:ascii="Arial" w:cs="Arial" w:eastAsia="Arial" w:hAnsi="Arial"/>
          <w:sz w:val="16"/>
          <w:szCs w:val="16"/>
          <w:color w:val="auto"/>
        </w:rPr>
      </w:pPr>
    </w:p>
    <w:p>
      <w:pPr>
        <w:ind w:right="360" w:firstLine="188"/>
        <w:spacing w:after="0" w:line="277" w:lineRule="auto"/>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Arial" w:cs="Arial" w:eastAsia="Arial" w:hAnsi="Arial"/>
          <w:sz w:val="18"/>
          <w:szCs w:val="18"/>
          <w:color w:val="auto"/>
        </w:rPr>
      </w:pPr>
    </w:p>
    <w:p>
      <w:pPr>
        <w:ind w:right="80" w:firstLine="188"/>
        <w:spacing w:after="0" w:line="263" w:lineRule="auto"/>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9" w:lineRule="exact"/>
        <w:rPr>
          <w:sz w:val="20"/>
          <w:szCs w:val="20"/>
          <w:color w:val="auto"/>
        </w:rPr>
      </w:pPr>
    </w:p>
    <w:p>
      <w:pPr>
        <w:jc w:val="both"/>
        <w:ind w:right="140" w:firstLine="188"/>
        <w:spacing w:after="0" w:line="263" w:lineRule="auto"/>
        <w:tabs>
          <w:tab w:leader="none" w:pos="36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right="120" w:firstLine="188"/>
        <w:spacing w:after="0" w:line="263" w:lineRule="auto"/>
        <w:tabs>
          <w:tab w:leader="none" w:pos="3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right="180" w:firstLine="188"/>
        <w:spacing w:after="0" w:line="308" w:lineRule="auto"/>
        <w:tabs>
          <w:tab w:leader="none" w:pos="365" w:val="left"/>
        </w:tabs>
        <w:numPr>
          <w:ilvl w:val="0"/>
          <w:numId w:val="2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 w:lineRule="exact"/>
        <w:rPr>
          <w:rFonts w:ascii="Arial" w:cs="Arial" w:eastAsia="Arial" w:hAnsi="Arial"/>
          <w:sz w:val="17"/>
          <w:szCs w:val="17"/>
          <w:color w:val="auto"/>
        </w:rPr>
      </w:pPr>
    </w:p>
    <w:p>
      <w:pPr>
        <w:ind w:right="200" w:firstLine="188"/>
        <w:spacing w:after="0" w:line="263" w:lineRule="auto"/>
        <w:tabs>
          <w:tab w:leader="none" w:pos="3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sz w:val="20"/>
          <w:szCs w:val="20"/>
          <w:color w:val="auto"/>
        </w:rPr>
      </w:pPr>
    </w:p>
    <w:p>
      <w:pPr>
        <w:ind w:right="300" w:firstLine="188"/>
        <w:spacing w:after="0" w:line="308" w:lineRule="auto"/>
        <w:tabs>
          <w:tab w:leader="none" w:pos="3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25" w:lineRule="exact"/>
        <w:rPr>
          <w:sz w:val="20"/>
          <w:szCs w:val="20"/>
          <w:color w:val="auto"/>
        </w:rPr>
      </w:pPr>
    </w:p>
    <w:p>
      <w:pPr>
        <w:ind w:right="100" w:firstLine="188"/>
        <w:spacing w:after="0" w:line="277" w:lineRule="auto"/>
        <w:tabs>
          <w:tab w:leader="none" w:pos="36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right="140" w:firstLine="188"/>
        <w:spacing w:after="0" w:line="277" w:lineRule="auto"/>
        <w:tabs>
          <w:tab w:leader="none" w:pos="3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Dated: November 4, 2020</w:t>
            </w:r>
          </w:p>
        </w:tc>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W. Pietrowicz</w:t>
            </w:r>
          </w:p>
        </w:tc>
      </w:tr>
      <w:tr>
        <w:trPr>
          <w:trHeight w:val="222"/>
        </w:trPr>
        <w:tc>
          <w:tcPr>
            <w:tcW w:w="5700" w:type="dxa"/>
            <w:vAlign w:val="bottom"/>
          </w:tcPr>
          <w:p>
            <w:pPr>
              <w:spacing w:after="0"/>
              <w:rPr>
                <w:sz w:val="19"/>
                <w:szCs w:val="19"/>
                <w:color w:val="auto"/>
              </w:rPr>
            </w:pPr>
          </w:p>
        </w:tc>
        <w:tc>
          <w:tcPr>
            <w:tcW w:w="5480" w:type="dxa"/>
            <w:vAlign w:val="bottom"/>
          </w:tcPr>
          <w:p>
            <w:pPr>
              <w:ind w:left="20"/>
              <w:spacing w:after="0"/>
              <w:rPr>
                <w:sz w:val="20"/>
                <w:szCs w:val="20"/>
                <w:color w:val="auto"/>
              </w:rPr>
            </w:pPr>
            <w:r>
              <w:rPr>
                <w:rFonts w:ascii="Arial" w:cs="Arial" w:eastAsia="Arial" w:hAnsi="Arial"/>
                <w:sz w:val="18"/>
                <w:szCs w:val="18"/>
                <w:color w:val="auto"/>
              </w:rPr>
              <w:t>Name: John W. Pietrowicz</w:t>
            </w:r>
          </w:p>
        </w:tc>
      </w:tr>
      <w:tr>
        <w:trPr>
          <w:trHeight w:val="230"/>
        </w:trPr>
        <w:tc>
          <w:tcPr>
            <w:tcW w:w="5700" w:type="dxa"/>
            <w:vAlign w:val="bottom"/>
          </w:tcPr>
          <w:p>
            <w:pPr>
              <w:spacing w:after="0"/>
              <w:rPr>
                <w:sz w:val="20"/>
                <w:szCs w:val="20"/>
                <w:color w:val="auto"/>
              </w:rPr>
            </w:pPr>
          </w:p>
        </w:tc>
        <w:tc>
          <w:tcPr>
            <w:tcW w:w="5480" w:type="dxa"/>
            <w:vAlign w:val="bottom"/>
          </w:tcPr>
          <w:p>
            <w:pPr>
              <w:ind w:left="20"/>
              <w:spacing w:after="0"/>
              <w:rPr>
                <w:sz w:val="20"/>
                <w:szCs w:val="20"/>
                <w:color w:val="auto"/>
              </w:rPr>
            </w:pPr>
            <w:r>
              <w:rPr>
                <w:rFonts w:ascii="Arial" w:cs="Arial" w:eastAsia="Arial" w:hAnsi="Arial"/>
                <w:sz w:val="18"/>
                <w:szCs w:val="18"/>
                <w:color w:val="auto"/>
              </w:rPr>
              <w:t>Title: Chief Financial Officer</w:t>
            </w:r>
          </w:p>
        </w:tc>
      </w:tr>
    </w:tbl>
    <w:p>
      <w:pPr>
        <w:sectPr>
          <w:pgSz w:w="11900" w:h="16838" w:orient="portrait"/>
          <w:cols w:equalWidth="0" w:num="1">
            <w:col w:w="11240"/>
          </w:cols>
          <w:pgMar w:left="320" w:top="985"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89" w:lineRule="exact"/>
        <w:rPr>
          <w:sz w:val="20"/>
          <w:szCs w:val="20"/>
          <w:color w:val="auto"/>
        </w:rPr>
      </w:pPr>
    </w:p>
    <w:p>
      <w:pPr>
        <w:ind w:right="120" w:firstLine="180"/>
        <w:spacing w:after="0" w:line="259" w:lineRule="auto"/>
        <w:rPr>
          <w:sz w:val="20"/>
          <w:szCs w:val="20"/>
          <w:color w:val="auto"/>
        </w:rPr>
      </w:pPr>
      <w:r>
        <w:rPr>
          <w:rFonts w:ascii="Arial" w:cs="Arial" w:eastAsia="Arial" w:hAnsi="Arial"/>
          <w:sz w:val="18"/>
          <w:szCs w:val="18"/>
          <w:color w:val="auto"/>
        </w:rPr>
        <w:t>In connection with the Quarterly Report on Form 10-Q of CME Group Inc. (the “Company”) for the quarter ended September 30, 2020 as filed with the Securities and Exchange Commission on the date hereof (the “Report”), Terrence A. Duffy, as Chief Executive Officer of the Company, and John W. Pietrowicz, as Chief Financial Officer of the Company, each hereby certifies, pursuant to 18 U.S.C. § 1350, as adopted pursuant to § 906 of the Sarbanes-Oxley Act of 2002, that, to the best of his knowledge:</w:t>
      </w:r>
    </w:p>
    <w:p>
      <w:pPr>
        <w:spacing w:after="0" w:line="65" w:lineRule="exact"/>
        <w:rPr>
          <w:sz w:val="20"/>
          <w:szCs w:val="20"/>
          <w:color w:val="auto"/>
        </w:rPr>
      </w:pPr>
    </w:p>
    <w:p>
      <w:pPr>
        <w:ind w:left="1100" w:hanging="264"/>
        <w:spacing w:after="0"/>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660" w:right="480" w:firstLine="176"/>
        <w:spacing w:after="0" w:line="277" w:lineRule="auto"/>
        <w:tabs>
          <w:tab w:leader="none" w:pos="10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 Terrence A. Duffy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35490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Name: Terrence A. Duffy</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Title: Chief Executive Officer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4, 2020</w:t>
      </w:r>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W. Pietrowicz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35490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John W. Pietrowicz</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Chief Financial Officer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4, 2020</w:t>
      </w:r>
    </w:p>
    <w:p>
      <w:pPr>
        <w:spacing w:after="0" w:line="90" w:lineRule="exact"/>
        <w:rPr>
          <w:sz w:val="20"/>
          <w:szCs w:val="20"/>
          <w:color w:val="auto"/>
        </w:rPr>
      </w:pPr>
    </w:p>
    <w:p>
      <w:pPr>
        <w:ind w:right="600" w:firstLine="177"/>
        <w:spacing w:after="0" w:line="342" w:lineRule="auto"/>
        <w:rPr>
          <w:sz w:val="20"/>
          <w:szCs w:val="20"/>
          <w:color w:val="auto"/>
        </w:rPr>
      </w:pPr>
      <w:r>
        <w:rPr>
          <w:rFonts w:ascii="Arial" w:cs="Arial" w:eastAsia="Arial" w:hAnsi="Arial"/>
          <w:sz w:val="16"/>
          <w:szCs w:val="16"/>
          <w:color w:val="auto"/>
        </w:rPr>
        <w:t>This certification accompanies the Report pursuant to § 906 of the Sarbanes-Oxley Act of 2002 and shall not, except to the extent required by the Sarbanes-Oxley Act of 2002, be deemed filed by the Company for purposes of §18 of the Securities Exchange Act of 1934, as amended.</w:t>
      </w:r>
    </w:p>
    <w:p>
      <w:pPr>
        <w:spacing w:after="0" w:line="2" w:lineRule="exact"/>
        <w:rPr>
          <w:sz w:val="20"/>
          <w:szCs w:val="20"/>
          <w:color w:val="auto"/>
        </w:rPr>
      </w:pPr>
    </w:p>
    <w:p>
      <w:pPr>
        <w:ind w:right="120" w:firstLine="170"/>
        <w:spacing w:after="0" w:line="277" w:lineRule="auto"/>
        <w:rPr>
          <w:sz w:val="20"/>
          <w:szCs w:val="20"/>
          <w:color w:val="auto"/>
        </w:rPr>
      </w:pPr>
      <w:r>
        <w:rPr>
          <w:rFonts w:ascii="Arial" w:cs="Arial" w:eastAsia="Arial" w:hAnsi="Arial"/>
          <w:sz w:val="18"/>
          <w:szCs w:val="18"/>
          <w:color w:val="auto"/>
        </w:rPr>
        <w:t>A signed original of this written statement required by § 906 of the Sarbanes-Oxley Act of 2002 has been provided to the Company and will be retained by the Company and furnished to the Securities and Exchange Commission or its staff upon request.</w:t>
      </w:r>
    </w:p>
    <w:sectPr>
      <w:pgSz w:w="11900" w:h="16838" w:orient="portrait"/>
      <w:cols w:equalWidth="0" w:num="1">
        <w:col w:w="11240"/>
      </w:cols>
      <w:pgMar w:left="320" w:top="98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lowerLetter"/>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1)"/>
      <w:numFmt w:val="lowerLetter"/>
      <w:start w:val="1"/>
    </w:lvl>
  </w:abstractNum>
  <w:abstractNum w:abstractNumId="16">
    <w:nsid w:val="62BBD95A"/>
    <w:multiLevelType w:val="hybridMultilevel"/>
    <w:lvl w:ilvl="0">
      <w:lvlJc w:val="left"/>
      <w:lvlText w:val="%1."/>
      <w:numFmt w:val="decimal"/>
      <w:start w:val="5"/>
    </w:lvl>
  </w:abstractNum>
  <w:abstractNum w:abstractNumId="17">
    <w:nsid w:val="436C6125"/>
    <w:multiLevelType w:val="hybridMultilevel"/>
    <w:lvl w:ilvl="0">
      <w:lvlJc w:val="left"/>
      <w:lvlText w:val="%1)"/>
      <w:numFmt w:val="lowerLetter"/>
      <w:start w:val="1"/>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1)"/>
      <w:numFmt w:val="lowerLetter"/>
      <w:start w:val="1"/>
    </w:lvl>
  </w:abstractNum>
  <w:abstractNum w:abstractNumId="20">
    <w:nsid w:val="721DA317"/>
    <w:multiLevelType w:val="hybridMultilevel"/>
    <w:lvl w:ilvl="0">
      <w:lvlJc w:val="left"/>
      <w:lvlText w:val="%1."/>
      <w:numFmt w:val="decimal"/>
      <w:start w:val="5"/>
    </w:lvl>
  </w:abstractNum>
  <w:abstractNum w:abstractNumId="21">
    <w:nsid w:val="2443A858"/>
    <w:multiLevelType w:val="hybridMultilevel"/>
    <w:lvl w:ilvl="0">
      <w:lvlJc w:val="left"/>
      <w:lvlText w:val="%1)"/>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2020-11-04T10:53:50Z</dcterms:created>
  <dcterms:modified xsi:type="dcterms:W3CDTF">2020-11-04T10:53:50Z</dcterms:modified>
</cp:coreProperties>
</file>