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640" w:hanging="614"/>
        <w:spacing w:after="0" w:line="185" w:lineRule="auto"/>
        <w:tabs>
          <w:tab w:leader="none" w:pos="640" w:val="left"/>
        </w:tabs>
        <w:numPr>
          <w:ilvl w:val="0"/>
          <w:numId w:val="1"/>
        </w:numPr>
        <w:rPr>
          <w:rFonts w:ascii="MS PGothic" w:cs="MS PGothic" w:eastAsia="MS PGothic" w:hAnsi="MS PGothic"/>
          <w:sz w:val="27"/>
          <w:szCs w:val="27"/>
          <w:color w:val="auto"/>
          <w:vertAlign w:val="subscript"/>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640" w:hanging="614"/>
        <w:spacing w:after="0" w:line="185" w:lineRule="auto"/>
        <w:tabs>
          <w:tab w:leader="none" w:pos="640" w:val="left"/>
        </w:tabs>
        <w:numPr>
          <w:ilvl w:val="0"/>
          <w:numId w:val="2"/>
        </w:numPr>
        <w:rPr>
          <w:rFonts w:ascii="MS PGothic" w:cs="MS PGothic" w:eastAsia="MS PGothic" w:hAnsi="MS PGothic"/>
          <w:sz w:val="30"/>
          <w:szCs w:val="30"/>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1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Commission File Number 001-31553</w:t>
            </w:r>
          </w:p>
        </w:tc>
        <w:tc>
          <w:tcPr>
            <w:tcW w:w="56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575"/>
        </w:trPr>
        <w:tc>
          <w:tcPr>
            <w:tcW w:w="3740" w:type="dxa"/>
            <w:vAlign w:val="bottom"/>
          </w:tcPr>
          <w:p>
            <w:pPr>
              <w:spacing w:after="0"/>
              <w:rPr>
                <w:sz w:val="24"/>
                <w:szCs w:val="24"/>
                <w:color w:val="auto"/>
              </w:rPr>
            </w:pPr>
          </w:p>
        </w:tc>
        <w:tc>
          <w:tcPr>
            <w:tcW w:w="7480" w:type="dxa"/>
            <w:vAlign w:val="bottom"/>
            <w:gridSpan w:val="3"/>
          </w:tcPr>
          <w:p>
            <w:pPr>
              <w:jc w:val="center"/>
              <w:ind w:right="3654"/>
              <w:spacing w:after="0"/>
              <w:rPr>
                <w:sz w:val="20"/>
                <w:szCs w:val="20"/>
                <w:color w:val="auto"/>
              </w:rPr>
            </w:pPr>
            <w:r>
              <w:rPr>
                <w:rFonts w:ascii="Times New Roman" w:cs="Times New Roman" w:eastAsia="Times New Roman" w:hAnsi="Times New Roman"/>
                <w:sz w:val="43"/>
                <w:szCs w:val="43"/>
                <w:b w:val="1"/>
                <w:bCs w:val="1"/>
                <w:color w:val="auto"/>
              </w:rPr>
              <w:t>CME GROUP INC.</w:t>
            </w:r>
          </w:p>
        </w:tc>
      </w:tr>
      <w:tr>
        <w:trPr>
          <w:trHeight w:val="196"/>
        </w:trPr>
        <w:tc>
          <w:tcPr>
            <w:tcW w:w="3740" w:type="dxa"/>
            <w:vAlign w:val="bottom"/>
          </w:tcPr>
          <w:p>
            <w:pPr>
              <w:spacing w:after="0"/>
              <w:rPr>
                <w:sz w:val="17"/>
                <w:szCs w:val="17"/>
                <w:color w:val="auto"/>
              </w:rPr>
            </w:pP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20" w:type="dxa"/>
            <w:vAlign w:val="bottom"/>
          </w:tcPr>
          <w:p>
            <w:pPr>
              <w:spacing w:after="0"/>
              <w:rPr>
                <w:sz w:val="17"/>
                <w:szCs w:val="17"/>
                <w:color w:val="auto"/>
              </w:rPr>
            </w:pPr>
          </w:p>
        </w:tc>
      </w:tr>
      <w:tr>
        <w:trPr>
          <w:trHeight w:val="257"/>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20" w:type="dxa"/>
            <w:vAlign w:val="bottom"/>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36-4459170</w:t>
            </w:r>
          </w:p>
        </w:tc>
      </w:tr>
      <w:tr>
        <w:trPr>
          <w:trHeight w:val="132"/>
        </w:trPr>
        <w:tc>
          <w:tcPr>
            <w:tcW w:w="3740" w:type="dxa"/>
            <w:vAlign w:val="bottom"/>
          </w:tcPr>
          <w:p>
            <w:pPr>
              <w:jc w:val="center"/>
              <w:ind w:left="1894"/>
              <w:spacing w:after="0" w:line="132"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tcPr>
          <w:p>
            <w:pPr>
              <w:jc w:val="center"/>
              <w:ind w:left="174"/>
              <w:spacing w:after="0" w:line="13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4"/>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90"/>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20 South Wacker Drive</w:t>
            </w:r>
          </w:p>
        </w:tc>
        <w:tc>
          <w:tcPr>
            <w:tcW w:w="310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Chicago</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Illinois</w:t>
            </w:r>
          </w:p>
        </w:tc>
        <w:tc>
          <w:tcPr>
            <w:tcW w:w="382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60606</w:t>
            </w:r>
          </w:p>
        </w:tc>
      </w:tr>
      <w:tr>
        <w:trPr>
          <w:trHeight w:val="170"/>
        </w:trPr>
        <w:tc>
          <w:tcPr>
            <w:tcW w:w="6840" w:type="dxa"/>
            <w:vAlign w:val="bottom"/>
            <w:gridSpan w:val="2"/>
          </w:tcPr>
          <w:p>
            <w:pPr>
              <w:ind w:left="2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43"/>
        </w:trPr>
        <w:tc>
          <w:tcPr>
            <w:tcW w:w="1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(312) 930-1000</w:t>
            </w:r>
          </w:p>
        </w:tc>
      </w:tr>
      <w:tr>
        <w:trPr>
          <w:trHeight w:val="216"/>
        </w:trPr>
        <w:tc>
          <w:tcPr>
            <w:tcW w:w="3740" w:type="dxa"/>
            <w:vAlign w:val="bottom"/>
          </w:tcPr>
          <w:p>
            <w:pPr>
              <w:spacing w:after="0"/>
              <w:rPr>
                <w:sz w:val="18"/>
                <w:szCs w:val="18"/>
                <w:color w:val="auto"/>
              </w:rPr>
            </w:pPr>
          </w:p>
        </w:tc>
        <w:tc>
          <w:tcPr>
            <w:tcW w:w="366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20" w:type="dxa"/>
            <w:vAlign w:val="bottom"/>
          </w:tcPr>
          <w:p>
            <w:pPr>
              <w:spacing w:after="0"/>
              <w:rPr>
                <w:sz w:val="18"/>
                <w:szCs w:val="18"/>
                <w:color w:val="auto"/>
              </w:rPr>
            </w:pPr>
          </w:p>
        </w:tc>
      </w:tr>
      <w:tr>
        <w:trPr>
          <w:trHeight w:val="300"/>
        </w:trPr>
        <w:tc>
          <w:tcPr>
            <w:tcW w:w="3740" w:type="dxa"/>
            <w:vAlign w:val="bottom"/>
            <w:tcBorders>
              <w:bottom w:val="single" w:sz="8" w:color="auto"/>
            </w:tcBorders>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center"/>
              <w:ind w:right="1134"/>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6"/>
        </w:trPr>
        <w:tc>
          <w:tcPr>
            <w:tcW w:w="374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6"/>
              </w:rPr>
              <w:t>Class A Common Stock $0.01 par value</w:t>
            </w:r>
          </w:p>
        </w:tc>
        <w:tc>
          <w:tcPr>
            <w:tcW w:w="3100" w:type="dxa"/>
            <w:vAlign w:val="bottom"/>
          </w:tcPr>
          <w:p>
            <w:pPr>
              <w:jc w:val="center"/>
              <w:ind w:left="490"/>
              <w:spacing w:after="0"/>
              <w:rPr>
                <w:sz w:val="20"/>
                <w:szCs w:val="20"/>
                <w:color w:val="auto"/>
              </w:rPr>
            </w:pPr>
            <w:r>
              <w:rPr>
                <w:rFonts w:ascii="Times New Roman" w:cs="Times New Roman" w:eastAsia="Times New Roman" w:hAnsi="Times New Roman"/>
                <w:sz w:val="13"/>
                <w:szCs w:val="13"/>
                <w:b w:val="1"/>
                <w:bCs w:val="1"/>
                <w:color w:val="auto"/>
                <w:w w:val="92"/>
              </w:rPr>
              <w:t>CME</w:t>
            </w:r>
          </w:p>
        </w:tc>
        <w:tc>
          <w:tcPr>
            <w:tcW w:w="560" w:type="dxa"/>
            <w:vAlign w:val="bottom"/>
          </w:tcPr>
          <w:p>
            <w:pPr>
              <w:spacing w:after="0"/>
              <w:rPr>
                <w:sz w:val="14"/>
                <w:szCs w:val="14"/>
                <w:color w:val="auto"/>
              </w:rPr>
            </w:pPr>
          </w:p>
        </w:tc>
        <w:tc>
          <w:tcPr>
            <w:tcW w:w="3820" w:type="dxa"/>
            <w:vAlign w:val="bottom"/>
          </w:tcPr>
          <w:p>
            <w:pPr>
              <w:jc w:val="center"/>
              <w:ind w:right="1154"/>
              <w:spacing w:after="0"/>
              <w:rPr>
                <w:sz w:val="20"/>
                <w:szCs w:val="20"/>
                <w:color w:val="auto"/>
              </w:rPr>
            </w:pPr>
            <w:r>
              <w:rPr>
                <w:rFonts w:ascii="Times New Roman" w:cs="Times New Roman" w:eastAsia="Times New Roman" w:hAnsi="Times New Roman"/>
                <w:sz w:val="13"/>
                <w:szCs w:val="13"/>
                <w:b w:val="1"/>
                <w:bCs w:val="1"/>
                <w:color w:val="auto"/>
                <w:w w:val="95"/>
              </w:rPr>
              <w:t>Nasdaq</w:t>
            </w:r>
          </w:p>
        </w:tc>
      </w:tr>
    </w:tbl>
    <w:p>
      <w:pPr>
        <w:spacing w:after="0" w:line="9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color w:val="auto"/>
        </w:rPr>
        <w:t>____________________________________________________</w:t>
      </w:r>
    </w:p>
    <w:p>
      <w:pPr>
        <w:spacing w:after="0" w:line="4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240"/>
          </w:cols>
          <w:pgMar w:left="320" w:top="1015" w:right="339" w:bottom="1440" w:gutter="0" w:footer="0" w:header="0"/>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6760" w:space="140"/>
            <w:col w:w="200" w:space="80"/>
            <w:col w:w="140" w:space="140"/>
            <w:col w:w="180" w:space="60"/>
            <w:col w:w="3540"/>
          </w:cols>
          <w:pgMar w:left="320" w:top="1015" w:right="3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9" w:lineRule="exact"/>
        <w:rPr>
          <w:sz w:val="24"/>
          <w:szCs w:val="24"/>
          <w:color w:val="auto"/>
        </w:rPr>
      </w:pPr>
    </w:p>
    <w:p>
      <w:pPr>
        <w:sectPr>
          <w:pgSz w:w="11900" w:h="16838" w:orient="portrait"/>
          <w:cols w:equalWidth="0" w:num="5">
            <w:col w:w="6900" w:space="120"/>
            <w:col w:w="220" w:space="80"/>
            <w:col w:w="120" w:space="140"/>
            <w:col w:w="180" w:space="80"/>
            <w:col w:w="3400"/>
          </w:cols>
          <w:pgMar w:left="320" w:top="1015" w:right="339" w:bottom="1440" w:gutter="0" w:footer="0" w:header="0"/>
          <w:type w:val="continuous"/>
        </w:sect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4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right="6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2020, was approximately $57.9 billion (based on the closing price per share of CME Group Inc. Class A common stock on the Nasdaq Global Select Market (Nasdaq) on such date). The number of shares outstanding of each of the registrant’s classes of common stock as of February 10, 2021 was as follows: 359,003,437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6020" w:type="dxa"/>
            <w:vAlign w:val="bottom"/>
            <w:gridSpan w:val="2"/>
          </w:tcPr>
          <w:p>
            <w:pPr>
              <w:ind w:left="2660"/>
              <w:spacing w:after="0"/>
              <w:rPr>
                <w:sz w:val="20"/>
                <w:szCs w:val="20"/>
                <w:color w:val="auto"/>
              </w:rPr>
            </w:pPr>
            <w:r>
              <w:rPr>
                <w:rFonts w:ascii="Times New Roman" w:cs="Times New Roman" w:eastAsia="Times New Roman" w:hAnsi="Times New Roman"/>
                <w:sz w:val="13"/>
                <w:szCs w:val="13"/>
                <w:b w:val="1"/>
                <w:bCs w:val="1"/>
                <w:color w:val="auto"/>
              </w:rPr>
              <w:t>Documents</w:t>
            </w:r>
          </w:p>
        </w:tc>
        <w:tc>
          <w:tcPr>
            <w:tcW w:w="52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Form 10-K Reference</w:t>
            </w:r>
          </w:p>
        </w:tc>
      </w:tr>
      <w:tr>
        <w:trPr>
          <w:trHeight w:val="188"/>
        </w:trPr>
        <w:tc>
          <w:tcPr>
            <w:tcW w:w="5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Portions of CME Group Inc.’s Proxy Statement for the 2021 Annual Meeting of Shareholders</w:t>
            </w:r>
          </w:p>
        </w:tc>
        <w:tc>
          <w:tcPr>
            <w:tcW w:w="100" w:type="dxa"/>
            <w:vAlign w:val="bottom"/>
          </w:tcPr>
          <w:p>
            <w:pPr>
              <w:spacing w:after="0"/>
              <w:rPr>
                <w:sz w:val="16"/>
                <w:szCs w:val="16"/>
                <w:color w:val="auto"/>
              </w:rPr>
            </w:pPr>
          </w:p>
        </w:tc>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Part III</w:t>
            </w:r>
          </w:p>
        </w:tc>
        <w:tc>
          <w:tcPr>
            <w:tcW w:w="20" w:type="dxa"/>
            <w:vAlign w:val="bottom"/>
          </w:tcPr>
          <w:p>
            <w:pPr>
              <w:spacing w:after="0"/>
              <w:rPr>
                <w:sz w:val="16"/>
                <w:szCs w:val="16"/>
                <w:color w:val="auto"/>
              </w:rPr>
            </w:pPr>
          </w:p>
        </w:tc>
      </w:tr>
      <w:tr>
        <w:trPr>
          <w:trHeight w:val="386"/>
        </w:trPr>
        <w:tc>
          <w:tcPr>
            <w:tcW w:w="5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86"/>
        </w:trPr>
        <w:tc>
          <w:tcPr>
            <w:tcW w:w="14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Borders>
              <w:top w:val="single" w:sz="8" w:color="auto"/>
            </w:tcBorders>
          </w:tcPr>
          <w:p>
            <w:pPr>
              <w:jc w:val="right"/>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Business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15">
              <w:r>
                <w:rPr>
                  <w:rFonts w:ascii="Times New Roman" w:cs="Times New Roman" w:eastAsia="Times New Roman" w:hAnsi="Times New Roman"/>
                  <w:sz w:val="18"/>
                  <w:szCs w:val="18"/>
                  <w:b w:val="1"/>
                  <w:bCs w:val="1"/>
                  <w:u w:val="single" w:color="auto"/>
                  <w:color w:val="0000FF"/>
                </w:rPr>
                <w:t>Risk Factors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Unresolved Staff Comments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Properties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Legal Proceedings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Mine Safety Disclosures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PART II.</w:t>
              </w:r>
            </w:hyperlink>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340" w:type="dxa"/>
            <w:vAlign w:val="bottom"/>
            <w:gridSpan w:val="3"/>
          </w:tcPr>
          <w:p>
            <w:pPr>
              <w:spacing w:after="0"/>
              <w:rPr>
                <w:rFonts w:ascii="Times New Roman" w:cs="Times New Roman" w:eastAsia="Times New Roman" w:hAnsi="Times New Roman"/>
                <w:sz w:val="18"/>
                <w:szCs w:val="18"/>
                <w:b w:val="1"/>
                <w:bCs w:val="1"/>
                <w:color w:val="0000FF"/>
              </w:rPr>
            </w:pPr>
            <w:hyperlink w:anchor="page27">
              <w:r>
                <w:rPr>
                  <w:rFonts w:ascii="Times New Roman" w:cs="Times New Roman" w:eastAsia="Times New Roman" w:hAnsi="Times New Roman"/>
                  <w:sz w:val="18"/>
                  <w:szCs w:val="18"/>
                  <w:b w:val="1"/>
                  <w:bCs w:val="1"/>
                  <w:color w:val="0000FF"/>
                </w:rPr>
                <w:t>Market for Registrant’s Common Equity, Related Shareholder Matters and Issuer Purchases of Equity</w:t>
              </w:r>
            </w:hyperlink>
          </w:p>
        </w:tc>
        <w:tc>
          <w:tcPr>
            <w:tcW w:w="1440" w:type="dxa"/>
            <w:vAlign w:val="bottom"/>
            <w:vMerge w:val="restart"/>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b w:val="1"/>
                <w:bCs w:val="1"/>
                <w:color w:val="0000FF"/>
                <w:w w:val="98"/>
              </w:rPr>
            </w:pPr>
            <w:hyperlink w:anchor="page27">
              <w:r>
                <w:rPr>
                  <w:rFonts w:ascii="Times New Roman" w:cs="Times New Roman" w:eastAsia="Times New Roman" w:hAnsi="Times New Roman"/>
                  <w:sz w:val="18"/>
                  <w:szCs w:val="18"/>
                  <w:b w:val="1"/>
                  <w:bCs w:val="1"/>
                  <w:color w:val="0000FF"/>
                  <w:w w:val="98"/>
                </w:rPr>
                <w:t>Securities</w:t>
              </w:r>
            </w:hyperlink>
          </w:p>
        </w:tc>
        <w:tc>
          <w:tcPr>
            <w:tcW w:w="71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29">
              <w:r>
                <w:rPr>
                  <w:rFonts w:ascii="Times New Roman" w:cs="Times New Roman" w:eastAsia="Times New Roman" w:hAnsi="Times New Roman"/>
                  <w:sz w:val="18"/>
                  <w:szCs w:val="18"/>
                  <w:b w:val="1"/>
                  <w:bCs w:val="1"/>
                  <w:u w:val="single" w:color="auto"/>
                  <w:color w:val="0000FF"/>
                </w:rPr>
                <w:t>Selected Financial Data</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30">
              <w:r>
                <w:rPr>
                  <w:rFonts w:ascii="Times New Roman" w:cs="Times New Roman" w:eastAsia="Times New Roman" w:hAnsi="Times New Roman"/>
                  <w:sz w:val="18"/>
                  <w:szCs w:val="18"/>
                  <w:b w:val="1"/>
                  <w:bCs w:val="1"/>
                  <w:u w:val="single" w:color="auto"/>
                  <w:color w:val="0000FF"/>
                </w:rPr>
                <w:t>Management’s Discussion and Analysis of Financial Condition and Results of Operations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46">
              <w:r>
                <w:rPr>
                  <w:rFonts w:ascii="Times New Roman" w:cs="Times New Roman" w:eastAsia="Times New Roman" w:hAnsi="Times New Roman"/>
                  <w:sz w:val="18"/>
                  <w:szCs w:val="18"/>
                  <w:b w:val="1"/>
                  <w:bCs w:val="1"/>
                  <w:u w:val="single" w:color="auto"/>
                  <w:color w:val="0000FF"/>
                </w:rPr>
                <w:t>Quantitative and Qualitative Disclosures about Market Risk</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Financial Statements and Supplementary Data</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4">
              <w:r>
                <w:rPr>
                  <w:rFonts w:ascii="Times New Roman" w:cs="Times New Roman" w:eastAsia="Times New Roman" w:hAnsi="Times New Roman"/>
                  <w:sz w:val="18"/>
                  <w:szCs w:val="18"/>
                  <w:b w:val="1"/>
                  <w:bCs w:val="1"/>
                  <w:u w:val="single" w:color="auto"/>
                  <w:color w:val="0000FF"/>
                </w:rPr>
                <w:t>Changes in and Disagreements with Accountants on Accounting and Financial Disclosure</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5">
              <w:r>
                <w:rPr>
                  <w:rFonts w:ascii="Times New Roman" w:cs="Times New Roman" w:eastAsia="Times New Roman" w:hAnsi="Times New Roman"/>
                  <w:sz w:val="18"/>
                  <w:szCs w:val="18"/>
                  <w:b w:val="1"/>
                  <w:bCs w:val="1"/>
                  <w:u w:val="single" w:color="auto"/>
                  <w:color w:val="0000FF"/>
                </w:rPr>
                <w:t>Controls and Procedures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85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8">
              <w:r>
                <w:rPr>
                  <w:rFonts w:ascii="Times New Roman" w:cs="Times New Roman" w:eastAsia="Times New Roman" w:hAnsi="Times New Roman"/>
                  <w:sz w:val="18"/>
                  <w:szCs w:val="18"/>
                  <w:b w:val="1"/>
                  <w:bCs w:val="1"/>
                  <w:u w:val="single" w:color="auto"/>
                  <w:color w:val="0000FF"/>
                </w:rPr>
                <w:t>Other Information</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PART III.</w:t>
              </w:r>
            </w:hyperlink>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Directors, Executive Officers and Corporate Governance</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Executive Compensation</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Security Ownership of Certain Beneficial Owners and Management and Related Shareholder Matters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Certain Relationships, Related Transactions and Director Independence</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Principal Accountant Fees and Services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90">
              <w:r>
                <w:rPr>
                  <w:rFonts w:ascii="Times New Roman" w:cs="Times New Roman" w:eastAsia="Times New Roman" w:hAnsi="Times New Roman"/>
                  <w:sz w:val="18"/>
                  <w:szCs w:val="18"/>
                  <w:b w:val="1"/>
                  <w:bCs w:val="1"/>
                  <w:u w:val="single" w:color="auto"/>
                  <w:color w:val="0000FF"/>
                </w:rPr>
                <w:t>PART IV.</w:t>
              </w:r>
            </w:hyperlink>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90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90">
              <w:r>
                <w:rPr>
                  <w:rFonts w:ascii="Times New Roman" w:cs="Times New Roman" w:eastAsia="Times New Roman" w:hAnsi="Times New Roman"/>
                  <w:sz w:val="18"/>
                  <w:szCs w:val="18"/>
                  <w:b w:val="1"/>
                  <w:bCs w:val="1"/>
                  <w:u w:val="single" w:color="auto"/>
                  <w:color w:val="0000FF"/>
                </w:rPr>
                <w:t>Exhibits and Financial Statement Schedules</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90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834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93">
              <w:r>
                <w:rPr>
                  <w:rFonts w:ascii="Times New Roman" w:cs="Times New Roman" w:eastAsia="Times New Roman" w:hAnsi="Times New Roman"/>
                  <w:sz w:val="18"/>
                  <w:szCs w:val="18"/>
                  <w:b w:val="1"/>
                  <w:bCs w:val="1"/>
                  <w:u w:val="single" w:color="auto"/>
                  <w:color w:val="0000FF"/>
                </w:rPr>
                <w:t>Form 10-K Summary</w:t>
              </w:r>
            </w:hyperlink>
          </w:p>
        </w:tc>
        <w:tc>
          <w:tcPr>
            <w:tcW w:w="1440" w:type="dxa"/>
            <w:vAlign w:val="bottom"/>
          </w:tcPr>
          <w:p>
            <w:pPr>
              <w:jc w:val="right"/>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94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94">
              <w:r>
                <w:rPr>
                  <w:rFonts w:ascii="Times New Roman" w:cs="Times New Roman" w:eastAsia="Times New Roman" w:hAnsi="Times New Roman"/>
                  <w:sz w:val="18"/>
                  <w:szCs w:val="18"/>
                  <w:b w:val="1"/>
                  <w:bCs w:val="1"/>
                  <w:u w:val="single" w:color="auto"/>
                  <w:color w:val="0000FF"/>
                </w:rPr>
                <w:t>Signatures</w:t>
              </w:r>
            </w:hyperlink>
          </w:p>
        </w:tc>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95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440" w:type="dxa"/>
            <w:vAlign w:val="bottom"/>
          </w:tcPr>
          <w:p>
            <w:pPr>
              <w:spacing w:after="0"/>
              <w:rPr>
                <w:sz w:val="24"/>
                <w:szCs w:val="24"/>
                <w:color w:val="auto"/>
              </w:rPr>
            </w:pPr>
          </w:p>
        </w:tc>
        <w:tc>
          <w:tcPr>
            <w:tcW w:w="7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11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Further information about CME Group and its products can be found at </w:t>
      </w:r>
      <w:r>
        <w:rPr>
          <w:rFonts w:ascii="Times New Roman" w:cs="Times New Roman" w:eastAsia="Times New Roman" w:hAnsi="Times New Roman"/>
          <w:sz w:val="18"/>
          <w:szCs w:val="18"/>
          <w:i w:val="1"/>
          <w:iCs w:val="1"/>
          <w:color w:val="auto"/>
        </w:rPr>
        <w:t>http://www.cmegroup.com</w:t>
      </w:r>
      <w:r>
        <w:rPr>
          <w:rFonts w:ascii="Times New Roman" w:cs="Times New Roman" w:eastAsia="Times New Roman" w:hAnsi="Times New Roman"/>
          <w:sz w:val="18"/>
          <w:szCs w:val="18"/>
          <w:color w:val="auto"/>
        </w:rPr>
        <w:t>. Information made available on our website does not constitute a part of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("CME"). All other trademarks are the property of their respective owners.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84" w:lineRule="exact"/>
        <w:rPr>
          <w:sz w:val="20"/>
          <w:szCs w:val="20"/>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117"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31" w:lineRule="exact"/>
        <w:rPr>
          <w:rFonts w:ascii="Times New Roman" w:cs="Times New Roman" w:eastAsia="Times New Roman" w:hAnsi="Times New Roman"/>
          <w:sz w:val="17"/>
          <w:szCs w:val="17"/>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10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31" w:lineRule="exact"/>
        <w:rPr>
          <w:rFonts w:ascii="Times New Roman" w:cs="Times New Roman" w:eastAsia="Times New Roman" w:hAnsi="Times New Roman"/>
          <w:sz w:val="17"/>
          <w:szCs w:val="17"/>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response by governments and other third parties;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our strategy for acquisitions, investments and alliances, including those associated with NEX;</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 beginning on 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3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CME Group provides market participants worldwide the ability to efficiently manage risk across multiple asset classes, by trading futures, options, cash and over-the-counter (OTC) products. CME Group also offers a suite of products and services to optimize portfolios, achieve capital efficiencies and manage pre-trade and post-trade processes. Our customers can receive and analyze market data through multiple service offerings in real-time, historical and derived data formats. CME Group also offers industry-leading research and analytics tools to provide customers with market education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CME was founded in 1898 as a not-for-profit corporation. It established CME Clearing in 1919, which is operated by CME. CME demutualized in 2000, and in 2002 its parent company, CME Group, completed an initial public offering of its Class A common stock (Nasdaq: CME). CME Group subsequently acquired CBOT Holdings, Inc. in 2007, NYMEX Holdings, Inc. (NYMEX and COMEX) in 2008, the Kansas City Board of Trade in 2012 and NEX Group plc (NEX) in 2018. The combination with NEX expanded our global customer base and product offerings through the complementary combination of CME Group’s exchange-traded derivative products and NEX’s cash and OTC products. It also created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our telephone number is 312-930-1000 and our website is </w:t>
      </w:r>
      <w:r>
        <w:rPr>
          <w:rFonts w:ascii="Times New Roman" w:cs="Times New Roman" w:eastAsia="Times New Roman" w:hAnsi="Times New Roman"/>
          <w:sz w:val="18"/>
          <w:szCs w:val="18"/>
          <w:i w:val="1"/>
          <w:iCs w:val="1"/>
          <w:color w:val="auto"/>
        </w:rPr>
        <w:t>cmegroup.com</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CME Group exchanges offer the widest range of global benchmark products across interest rates, equity indexes, foreign exchange (FX), agricultural commodities, energy and metals. We also offer cash and repo fixed income trading via BrokerTec, and cash and OTC FX trading via EBS.</w:t>
      </w:r>
    </w:p>
    <w:p>
      <w:pPr>
        <w:spacing w:after="0" w:line="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operate one of the world’s leading central counterparty clearing providers, CME Clearing, operated by CME. With a range of pre- and post-trade products and services underpinning the entire lifecycle of a trade, CME Group offers optimization, reconciliation and processing services through Traiana, TriOptima and Reset.</w:t>
      </w:r>
    </w:p>
    <w:p>
      <w:pPr>
        <w:spacing w:after="0" w:line="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Exchange Business: </w:t>
      </w:r>
      <w:r>
        <w:rPr>
          <w:rFonts w:ascii="Times New Roman" w:cs="Times New Roman" w:eastAsia="Times New Roman" w:hAnsi="Times New Roman"/>
          <w:sz w:val="18"/>
          <w:szCs w:val="18"/>
          <w:color w:val="auto"/>
        </w:rPr>
        <w:t>Through our derivatives exchanges and clearing house, we believe our customers prefer CME Group's diversity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products, liquidity, price transparency and technological capabilities. Market liquidity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the ability of a market to absorb the execution of large purchases or sales quickly and efficiently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key to attracting and retaining customers and contributing to a market's success. Our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71" w:lineRule="exact"/>
        <w:rPr>
          <w:sz w:val="20"/>
          <w:szCs w:val="20"/>
          <w:color w:val="auto"/>
        </w:rPr>
      </w:pPr>
    </w:p>
    <w:p>
      <w:pPr>
        <w:ind w:left="660" w:right="1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CME's </w:t>
      </w:r>
      <w:r>
        <w:rPr>
          <w:rFonts w:ascii="Times New Roman" w:cs="Times New Roman" w:eastAsia="Times New Roman" w:hAnsi="Times New Roman"/>
          <w:sz w:val="18"/>
          <w:szCs w:val="18"/>
          <w:color w:val="auto"/>
        </w:rPr>
        <w:t>product slate includes agricultural, equities, FX and interest rate products, including Eurodollar futures and options, Secured Overnight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Rate (SOFR) futures and options, livestock and cash-settled contracts based on the S&amp;P 500, including the E-mini S&amp;P 500 Environmental, Social and Governance (ESG) contract, Micro E-mini Equity Index contracts, Nasdaq-100, FTSE Russell and Bitcoin Reference Rate.</w:t>
      </w:r>
    </w:p>
    <w:p>
      <w:pPr>
        <w:spacing w:after="0" w:line="68"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CBOT's </w:t>
      </w:r>
      <w:r>
        <w:rPr>
          <w:rFonts w:ascii="Times New Roman" w:cs="Times New Roman" w:eastAsia="Times New Roman" w:hAnsi="Times New Roman"/>
          <w:sz w:val="18"/>
          <w:szCs w:val="18"/>
          <w:color w:val="auto"/>
        </w:rPr>
        <w:t>product slate consists of agricultural, equities and interest rate products, including contracts for United States (U.S.) Treasury futures,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soybean, corn, wheat and contracts based on the Dow Jones Industrial Index.</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NYMEX's </w:t>
      </w:r>
      <w:r>
        <w:rPr>
          <w:rFonts w:ascii="Times New Roman" w:cs="Times New Roman" w:eastAsia="Times New Roman" w:hAnsi="Times New Roman"/>
          <w:sz w:val="18"/>
          <w:szCs w:val="18"/>
          <w:color w:val="auto"/>
        </w:rPr>
        <w:t>product slate consists of energy and metals products, including contracts for crude oil, natural gas, heating oil and gasoline.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COMEX's </w:t>
      </w:r>
      <w:r>
        <w:rPr>
          <w:rFonts w:ascii="Times New Roman" w:cs="Times New Roman" w:eastAsia="Times New Roman" w:hAnsi="Times New Roman"/>
          <w:sz w:val="18"/>
          <w:szCs w:val="18"/>
          <w:color w:val="auto"/>
        </w:rPr>
        <w:t>product slate consists of metals products, including contracts for gold, silver, copper and other base metals.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breadth and diversity of our products and services lines are beneficial to our customers and CME Group's overall performance. Our asset classes contain products designed to address differing risk management needs, and customers are able to manage risks and achieve operational and capital efficiencies by accessing our diverse products through our platforms and our clearing house.</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CME Group products are traded primarily through CME Globex, as well as by open outcry auction markets in Chicago and through privately negotiated transactions. Due to the COVID-19 pandemic, in March 2020 we closed our open outcry trading floor and reopened it in August 2020 for Eurodollar options. Currently, the remainder of the trading floor is closed.</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strive to provide the most flexible and scalable platforms to support the operational and capacity needs of the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privately negotiated markets, we offer brokers and customers the CME Direct platform for arranging, executing, recording and risk-managing trades. CME Direct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includes CME One for mobile access and CME Straight-Through Processing, which enables direct connectivity for trade information directly with customer order management and risk management systems and is designed to reduce errors and improve efficiency.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of execution;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capabilities to facilitate complex and demanding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 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fairness, price transparency and anonymity;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efficiency;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through highly secure, resilient and low-latency network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market data;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including connectivity through high-speed international telecommunications hubs in key financial centers or order routing to our global partner exchanges.</w:t>
      </w:r>
    </w:p>
    <w:p>
      <w:pPr>
        <w:spacing w:after="0" w:line="73"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maintain comprehensive business continuity and disaster recovery plans and facilities designed to provide nearly continuous availability of our markets in the event of a business disruption or disaster. We also maintain incident and crisis management plans that address responses to disruptive events.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trading rights and privileges are exchange-specific. Open outcry trading is conducted exclusively by our members. Membership on one of our 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2020, 83% of our contract volume was from trades by our members.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CME Clearing Business: </w:t>
      </w:r>
      <w:r>
        <w:rPr>
          <w:rFonts w:ascii="Times New Roman" w:cs="Times New Roman" w:eastAsia="Times New Roman" w:hAnsi="Times New Roman"/>
          <w:sz w:val="18"/>
          <w:szCs w:val="18"/>
          <w:color w:val="auto"/>
        </w:rPr>
        <w:t>Through our clearing house, CME Clearing, which is operated by CME, we provide clearing and settlement services for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exchange-traded futures and options on futures contracts and over-the-counter derivatives. Our integrated clearing function is designed to ensure the safety and the soundness of our markets by serving as the counterparty to every trade, becoming the buyer to each seller and the seller to each buyer, and limiting counterparty credit risk. CME Clearing marks open positions to market at least twice a trading day, requiring payments from clearing firms whose positions have lost value and making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bi-lateral trades and swaps.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clearing and transaction fees received from clearing firms represents charges for trades executed and cleared on behalf of their customers. One firm represented at least 10% of our clearing and transaction fees revenue for 2020. In the event a clearing firm were to withdraw, our experience indicates that the customer portion of the firm's trading activity would likely transfer to one or more other clearing firms of the exchange.</w:t>
      </w:r>
    </w:p>
    <w:p>
      <w:pPr>
        <w:spacing w:after="0" w:line="50"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Markets Business: </w:t>
      </w:r>
      <w:r>
        <w:rPr>
          <w:rFonts w:ascii="Times New Roman" w:cs="Times New Roman" w:eastAsia="Times New Roman" w:hAnsi="Times New Roman"/>
          <w:sz w:val="18"/>
          <w:szCs w:val="18"/>
          <w:color w:val="auto"/>
        </w:rPr>
        <w:t>Our cash markets business is comprised of BrokerTec and EBS. Certain BrokerTec and EBS contracts are cleared at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clearing houses. BrokerTec and EBS offer anonymous and disclosed trading venues, offering clients multiple execution and distribution options and the benefit of an established and far-reaching distribution network of liquidity providers and consumers. Our BrokerTec markets were migrated from a third-party platform to our CME Globex electronic platform in the first quarter of 2021 and our EBS market is expected to migrate to the CME Globex platform in the fourth quarter of 2021.</w:t>
      </w:r>
    </w:p>
    <w:p>
      <w:pPr>
        <w:spacing w:after="0" w:line="75" w:lineRule="exact"/>
        <w:rPr>
          <w:sz w:val="20"/>
          <w:szCs w:val="20"/>
          <w:color w:val="auto"/>
        </w:rPr>
      </w:pPr>
    </w:p>
    <w:p>
      <w:pPr>
        <w:ind w:left="660" w:right="30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BrokerTec </w:t>
      </w:r>
      <w:r>
        <w:rPr>
          <w:rFonts w:ascii="Times New Roman" w:cs="Times New Roman" w:eastAsia="Times New Roman" w:hAnsi="Times New Roman"/>
          <w:sz w:val="18"/>
          <w:szCs w:val="18"/>
          <w:color w:val="auto"/>
        </w:rPr>
        <w:t>operates global electronic trading for fixed income products on the CME Globex platform, with a leading position in cash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Treasuries, E.U. and U.S. repo fixed income instruments and European Government Bonds. It facilitates trading principally for banks and non-bank professional trading firms.</w:t>
      </w:r>
    </w:p>
    <w:p>
      <w:pPr>
        <w:spacing w:after="0" w:line="62"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EBS </w:t>
      </w:r>
      <w:r>
        <w:rPr>
          <w:rFonts w:ascii="Times New Roman" w:cs="Times New Roman" w:eastAsia="Times New Roman" w:hAnsi="Times New Roman"/>
          <w:sz w:val="18"/>
          <w:szCs w:val="18"/>
          <w:color w:val="auto"/>
        </w:rPr>
        <w:t>is a global electronic platform for the trading of FX products across major and emerging market currencies.EBS also offers execution of non-deliverable forwards through a Commodity Futures Trading Commission (CFTC) registered Swap Execution Facility (SEF).</w:t>
      </w:r>
    </w:p>
    <w:p>
      <w:pPr>
        <w:spacing w:after="0" w:line="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Optimization Business: </w:t>
      </w:r>
      <w:r>
        <w:rPr>
          <w:rFonts w:ascii="Times New Roman" w:cs="Times New Roman" w:eastAsia="Times New Roman" w:hAnsi="Times New Roman"/>
          <w:sz w:val="18"/>
          <w:szCs w:val="18"/>
          <w:color w:val="auto"/>
        </w:rPr>
        <w:t>Our optimization services, which include Traiana, TriOptima and Reset, deliver transaction lifecycle management services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clients simplify their workflow, optimize their capital and resources, mitigate their risk, increase efficiency, reduce their operational costs and streamline complex processes.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1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Trade and portfolio management </w:t>
      </w:r>
      <w:r>
        <w:rPr>
          <w:rFonts w:ascii="Times New Roman" w:cs="Times New Roman" w:eastAsia="Times New Roman" w:hAnsi="Times New Roman"/>
          <w:sz w:val="18"/>
          <w:szCs w:val="18"/>
          <w:color w:val="auto"/>
        </w:rPr>
        <w:t>comprises portfolio and margin reconciliation, monitoring pre-trade risk and automating post-trade processing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financial transactions.</w:t>
      </w:r>
    </w:p>
    <w:p>
      <w:pPr>
        <w:spacing w:after="0" w:line="46"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resource optimization </w:t>
      </w:r>
      <w:r>
        <w:rPr>
          <w:rFonts w:ascii="Times New Roman" w:cs="Times New Roman" w:eastAsia="Times New Roman" w:hAnsi="Times New Roman"/>
          <w:sz w:val="18"/>
          <w:szCs w:val="18"/>
          <w:color w:val="auto"/>
        </w:rPr>
        <w:t>comprises portfolio compression, basis risk mitigation, portfolio balancing and derivative pricing and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analytics.</w:t>
      </w:r>
    </w:p>
    <w:p>
      <w:pPr>
        <w:spacing w:after="0" w:line="46"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w:t>
      </w:r>
      <w:r>
        <w:rPr>
          <w:rFonts w:ascii="Times New Roman" w:cs="Times New Roman" w:eastAsia="Times New Roman" w:hAnsi="Times New Roman"/>
          <w:sz w:val="18"/>
          <w:szCs w:val="18"/>
          <w:color w:val="auto"/>
        </w:rPr>
        <w:t>comprises trade and position reporting (including licensed MiFID agent reporting to national regulators and the public), end-to-end multi-regime regulatory reporting, data normalization, enrichment, reconciliation, validation and cross-jurisdictional matching. In 2020, we substantially completed the wind-down of our commercial regulatory reporting operations. We have transitioned to self-reporting for our EMEA BrokerTec and EBS businesses and will also continue to serve customer reporting needs in the U.S. (CFTC reporting) and Canada.</w:t>
      </w:r>
    </w:p>
    <w:p>
      <w:pPr>
        <w:spacing w:after="0" w:line="68"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Trade Processing </w:t>
      </w:r>
      <w:r>
        <w:rPr>
          <w:rFonts w:ascii="Times New Roman" w:cs="Times New Roman" w:eastAsia="Times New Roman" w:hAnsi="Times New Roman"/>
          <w:sz w:val="18"/>
          <w:szCs w:val="18"/>
          <w:color w:val="auto"/>
        </w:rPr>
        <w:t>comprises end-to-end automation, from trade execution notification to trade confirmation of post-trade processing, in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reduce operational risks and costs.</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January 2021, we announced an agreement with IHS Markit to combine our post-trade services into a new joint venture. The new company will be structured as a 50/50 joint venture and will include trade processing and risk mitigation operations through incorporation of our optimization businesses – Traiana, TriOptima and Reset – and IHS Markit’s MarkitSERV. We expect the transaction to close in mid-2021, subject to customary antitrust and regulatory approvals and other customary closing conditions.</w:t>
      </w:r>
    </w:p>
    <w:p>
      <w:pPr>
        <w:spacing w:after="0" w:line="6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Market Data Business: </w:t>
      </w:r>
      <w:r>
        <w:rPr>
          <w:rFonts w:ascii="Times New Roman" w:cs="Times New Roman" w:eastAsia="Times New Roman" w:hAnsi="Times New Roman"/>
          <w:sz w:val="17"/>
          <w:szCs w:val="17"/>
          <w:color w:val="auto"/>
        </w:rPr>
        <w:t>We offer a variety of market data services through industry-leading market data platforms and third-party distribution partners,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are designed to meet the risk-management, trading, investment and business needs of our global client base. As such, we provide proprietary real-time and historical market data related to CME Group’s vibrant and deeply liquid exchanges and cash markets businesses. We further offer derived cash markets pricing, third-party and alternative data sets, as well as a wide range of analytic tools. As customers continue to leverage cloud technology to improve and evolve their businesses, CME Group has taken a leading role by becoming the first derivatives marketplace to provide live market data natively in the cloud with the launch of our Smart Stream on Google Cloud Platform capabilities. CME Group is also the distributor of leading benchmark equity and commodity indices on behalf of third parties as well as our own proprietary indices, which include CME Group Volatility Indices (CVOL).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strategic initiatives:</w:t>
      </w:r>
    </w:p>
    <w:p>
      <w:pPr>
        <w:spacing w:after="0" w:line="11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Futures and Options Growth Globally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focus on driving growth and new customer acquisition by expanding, innovating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scaling our core offerings, and increasing participation from non-U.S. customers. We do this by expanding our global sales team, cross-selling our products, expanding the strength of our existing benchmark products, launching new products and services and deepening open interest in our core futures and options offerings. We have further focused on building upon cloud-based data distribution capabilities as a more flexible and potentially cost-effective means of providing data to our clients.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2020, CME Group futures and options had an average daily volume of 19.1 million contracts, with volume records in two of our asset classes - equities and metals for the fifth consecutive year. It was also a year of volume records for multiple products, including: Ultra 10 Year futures, SOFR futures, E-mini Nasdaq-100 futures, Russell 2000 futures, Micro E-Mini Equity Index futures and a record number of contracts executed via Basis Trade at Index Close. We set records in the volume traded for our Micro E-Mini Equity Index futures in total, as well as for each of the Micro E-Mini S&amp;P 500, Nasdaq-100, Russell 2000 and Dow 30 contracts. We also set an overall volume record for the Natural Gas franchise, as well as an individual product record in Silver futures.</w:t>
      </w:r>
    </w:p>
    <w:p>
      <w:pPr>
        <w:spacing w:after="0" w:line="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continue to expand and deepen our customer base worldwide and offer customers around the world the most broad and diversified portfolio of benchmark products. Some of our products introduced over the past two years include:</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3-Year Treasury Note Futures (2020)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Interest Rate (AIR) Total Return Futures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at Cash Open (TACO)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Cash-settled Bitcoin Options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Options (2020) and SOFR OTC Swaps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Gold Futures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Liquefied Natural Gas (LNG) Futures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 E-mini Equity Index Futures (2019) and Options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E-mini S&amp;P 500 ESG Index Futures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Brazilian Soybean Futures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Pork Cutout Futures and Options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Renewable Fuel Futures (2020)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Nasdaq-100 Volatility Index (VOLQ) Futures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Veles California Water Index Futures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Interest Rate Total Return Futures (2020)</w:t>
      </w:r>
    </w:p>
    <w:p>
      <w:pPr>
        <w:spacing w:after="0" w:line="9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to the individual product launches noted above, we have completed many product extensions across our asset classes, including short-dated options products, monthly FX futures, additional grades in our crude oil complex and expansion of our metals complex with additional base metals products.</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continue to expand and deepen our customer base worldwide and offer customers around the world with the most broad and diversified portfolio of benchmark products. We believe we have a significant opportunity to expand the participation of our non-U.S. customer base in our markets. Our penetration of these markets lags our development in the U.S., and we believe that there is room for significant growth and development of these financial markets. In 2020, approximately 28% of our electronic futures and options volume was from transactions reported as outside the U.S. and approximately 55% of our market data revenue was derived from outside the U.S. We also achieved 20% growth in trading volume during Asian trading hours and 6% growth during European trading hours in 2020 compared to 2019.</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2020, we launched four proprietary tools to enable customers to link and compare opportunities across OTC, cash and futures markets: FX Swap Rate Monitor, FX Options Vol Converter, TreasuryWatch Tool and FX Market Profile Tool.</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CME Liquidity Tool enables market participants to analyze liquidity across CME Group products during U.S., London or Singapore trading hours. To further our commitment to our international customers, in 2020 we introduced a TreasuryWatch Tool and additional tools to help customers and prospective customers identify key marketplace developments and potential risk management and trading opportunities (e.g., SOFR-LIBOR spread). Also in 2020, we began daily publication of a suite of new implied volatility benchmark indexes based on our innovative and proprietary CME Group Volatility Index (CVOL) methodology, starting with 10-Year Treasuries and FX currency pairs. We have increased our customer base and continue to target cross-asset sales across client segments, driving international sales and generating new client participation across all regions. We have a long history of providing customer value and responsiveness and believe our products and services position us to help our customers adapt and comply with new regulations, while enabling them to efficiently manage their risks. We have a broad distribution network comprised of a combination of internal and external channels and proprietary front-end capabilities.</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Diversify our Business and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acquisition of NEX strengthened our role in global financial markets infrastructure and information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adding complementary cash and OTC businesses and scale to our listed interest rate and FX products, while enabling new efficiencies for the derivatives marketplace. We are positioned to take direct advantage of growth in treasury issuance, liquid treasury holdings and the trading of treasury instruments, as well as growing repo activity in the U.S. and Europe. The transaction expanded CME Group’s position in the large, highly competitive and highly fragmented global FX marketplace, offering both order book trading and relationship-based trading solutions for customers. The acquisition added strength in underlying customer marketplaces, especially around regional bank customers and other market participants outside of North America and expanded our post-trade and trade-processing services and market data solutions beyond futures and options into cash and OTC offerings.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joint venture with S&amp;P Global, Inc., S&amp;P/DJI Indices LLC, combines the world class capabilities of the S&amp;P and Dow Jones Indices, and is a</w:t>
      </w:r>
    </w:p>
    <w:p>
      <w:pPr>
        <w:spacing w:after="0" w:line="5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Unparalleled Customer Efficiencies and Operational Excellence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changing regulatory capital requirements for many of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additional margin requirements on uncleared trades, and the need for greater efficiencies, we have added tools to enable customers to manage trading and clearing positions in our markets in an efficient manner. With the ongoing implementation of regulatory reform in the U.S. and in Europe, along with global implementation of Basel III capital requirements on financial institutions, we expect capital efficiencies and centralized clearing to continue to be important for our global client base.</w:t>
      </w:r>
    </w:p>
    <w:p>
      <w:pPr>
        <w:spacing w:after="0" w:line="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provide a comprehensive multi-asset class clearing solution to market participants 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which represents the majority of our open interest and collateral held against these positions. We also offer clearing services for OTC interest rate swaps, FX forwards and commodity swaps. The addition of our enhanced Standard Portfolio Analysis of Risk (SPAN) margin framework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CME SPAN 2, will provide enhanced risk management capabilities in a single, unified interface by maintaining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SPAN's current calculations and functions while incorporating several new modeling, reporting and margin replication enhancements. CME SPAN 2 will be launched in a phased multi-year approach, starting in 2021 with certain futures and options on energy products. Over the next few years, as SPAN 2 is expanded to other asset classes, margins for diversified portfolios will consist of products using the enhanced CME SPAN 2 framework in addition to the existing SPAN framework, ensuring appropriate levels of offsets will continue to be provided across products subject to the SPAN and SPAN 2 frameworks.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provides various tools and services to assist customers with capital and operational efficiencies, including:</w:t>
      </w:r>
    </w:p>
    <w:p>
      <w:pPr>
        <w:spacing w:after="0" w:line="117" w:lineRule="exact"/>
        <w:rPr>
          <w:sz w:val="20"/>
          <w:szCs w:val="20"/>
          <w:color w:val="auto"/>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Clearing provides compression via coupon blending as well as CME CORE, an interactive margin calculator that enables clients to optimize their capital by providing insights on margin requirements prior to trading.</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triReduce provides multilateral portfolio compression, which reduces notional outstanding exposure and line items in order to reduce operational resources and risks, minimize regulatory capital costs, and manage counterparty exposures.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triResolve provides the global trading community with tools for portfolio reconciliation and collateral management, including compliance with initial margin and uncleared margin rules (UMR).</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Traiana provides various operational efficiencies and risk mitigation solutions to clients through bilateral and tri-party pre- and post-trade processing and credit risk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Reset provides risk mitigation services to clients looking to hedge short-term interest rate and options expiry exposure.</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newly announced agreement with IHS Markit, the joint venture will incorporate our optimization businesses – Traiana, TriOptima and Reset – and IHS Markit’s MarkitSERV. We expect the transaction to close in mid-2021, subject to customary antitrust and regulatory approvals and other customary closing conditions.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offer equity index futures and options on key benchmarks, including S&amp;P, Nasdaq, Dow Jones and the FTSE Russell indexes. These products are listed by us subject to license agreements with the applicable owners of the indexes, some of which are exclusive. In connection with our joint venture with S&amp;P Global, Inc., we have a license agreement (S&amp;P License Agreement), which superseded our prior licensing arrangements and was assigned to the joint venture. CME’s license for the S&amp;P 500 Index will be exclusive for futures and options until one year prior to the termination of the S&amp;P License Agreement, and non-exclusive for the last year. The license for the other S&amp;P stock indexes is generally exclusive for futures and options. The term of the S&amp;P License Agreement will continue until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may terminate the agreement. We also have an exclusive license agreement for certain Nasdaq indexes through 2029. In 2015, we entered into an exclusive license agreement with FTSE Russell and launched the E-mini Russell 2000 futures in 2017. We pay the applicable third-party, per-trade fees based on contract volume under the terms of these licensing agreements. A copy of the S&amp;P License Agreement has been filed as a material contract. We also have a multi-year non-exclusive licensing arrangement with ICE Benchmark Administration for the use of LIBOR to settle several of our interest rate products, including our Eurodollar contracts.</w:t>
      </w:r>
    </w:p>
    <w:p>
      <w:pPr>
        <w:spacing w:after="0" w:line="8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cannot guarantee that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guarantee that others will not succeed in creating stock index futures based on information similar to that which we have obtained by license, or that market participants will not increasingly use other instruments, including securities and options based on the S&amp;P, Dow Jones, Nasdaq or FTSE Russell indexes, to manage or speculate on U.S. stock risks. Parties also may succeed in offering indexed products that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375" w:lineRule="auto"/>
        <w:rPr>
          <w:sz w:val="20"/>
          <w:szCs w:val="20"/>
          <w:color w:val="auto"/>
        </w:rPr>
      </w:pPr>
      <w:r>
        <w:rPr>
          <w:rFonts w:ascii="Times New Roman" w:cs="Times New Roman" w:eastAsia="Times New Roman" w:hAnsi="Times New Roman"/>
          <w:sz w:val="18"/>
          <w:szCs w:val="18"/>
          <w:color w:val="auto"/>
        </w:rPr>
        <w:t xml:space="preserve">are similar to our licensed products without being required to obtain a license, or in countries that are beyond our and/or our licensors' jurisdictional reach. </w:t>
      </w:r>
      <w:r>
        <w:rPr>
          <w:rFonts w:ascii="Times New Roman" w:cs="Times New Roman" w:eastAsia="Times New Roman" w:hAnsi="Times New Roman"/>
          <w:sz w:val="18"/>
          <w:szCs w:val="18"/>
          <w:b w:val="1"/>
          <w:bCs w:val="1"/>
          <w:color w:val="auto"/>
        </w:rPr>
        <w:t>Competition</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highly competitive,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2.2, Markets in Financial Instruments Directive II (MiFID II), Capital Requirements Directive IV, Market Abuse Regulation, Benchmarks Regulation, Basel III, and various other laws and regulations.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refer to the discussion below and in the “Risk Factors” section beginning on page 15 for a description of competitive risks and uncertainties.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Derivatives Exchange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competition in the derivatives business is based on a number of factors, including, among others:</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secure settlement, clearing and support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liquidity of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product offerings and frequency and quality of new product development and innovative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position and expand upon existing products to address changing market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seamless customer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reliability, anonymity and security in transaction processing;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accessibility, flexibility in execution methods, and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capability and innovation;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transaction costs.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we compete favorably with respect to these factors. Our deep, liquid markets; diverse and complementary product offerings; frequency and quality of new product development, and efficient, secure settlement, clearing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compete in a large and expanding financial services trading, clearing and settlement marketplace globally. Our competitors include, among other entities, exchanges such as Intercontinental Exchange, Inc. (ICE), the Hong Kong Exchanges and Clearing Limited, and Deutsche Börse AG.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CME Clearing Business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past few years, there has been increased competition in the provision of clearing services and we expect competition to continue to increase in connection with compliance with Dodd-Frank, EMIR 2.2, Basel III, MiFID II and other various laws and regulations.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competitors in the clearing services space include, among others, companies such as ICE, LCH Group, the Options Clearing Corporation, Depository Trust &amp; Clearing Corporation, Hong Kong Exchanges and Clearing, Japan Securities Clearing Corporation, LME Clearing and Deutsche Börse AG. In light of the implementation of new regulatory requirements and other reforms of the financial services industry, we believe that other exchanges and infrastructure providers also may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undertake to provide clearing and other related post-trade services, such as Nodel and ERIS in the U.S., as CFTC regulated designated clearing organizations.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Cash Markets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cash markets businesses face substantial competition across a wide array of venues. In the FX space, the marketplace is highly fragmented, and there is competition from other electronic communication networks, single dealer platforms, bank-owned multi-participant platforms, streaming and request for quote services, trading venues tied to data platforms, voice brokers, other broker enabled platforms and other venues. There is a growing array of platforms and technologies, and they are often owned by many well-capitalized financial institutions and intermediaries that are also driving internalization of client FX trade flows. In the fixed income space, there are also multiple providers of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 and exchange-enabled platforms.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Optimization Services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optimization services business faces substantial competition across each of the segments in which CME Group operates. There are multiple providers of compression services, reconciliation services, trade processing, analytics, and regulatory reporting services. In addition, there is considerable innovation occurring in this business, with new entrants and new technologies being developed to serve customers and differentiate offerings. Competition also comes from other clearing houses and exchange groups, who are today internalizing or have plans to internalize various services, as well as existing back office service providers, who may embed these services in their offerings.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Market Data Business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businesses are regulated and serve a customer-base that includes regulated institutions or individuals. Developments in the regulatory environment have the potential to significantly affect our businesses. As such, we are subject to extensive regulation primarily in the U.S. and Europe.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January 31, 2020, the United Kingdom (U.K.) formally withdrew from the European Union (E.U.) after a majority of voters in the U.K. approved an exit from the E.U., commonly referred to as Brexit. As a result of Brexit, we have established certain businesses in Amsterdam, an E.U. jurisdiction, which will allow us to continue to provide services to E.U. clients. We have also entered into agreements to work with E.U.-based clearing venues to clear E.U. based repo traded products. Additionally, amendments to EMIR 2.2 became effective during 2020, which resulted in changes to the E.U. equivalence and recognition regime for non-E.U. clearing houses, including CME Clearing. The European Commission adopted several implementing and delegated acts relating to central counterparties established in third countries under the EMIR 2.2 revisions to the European Market Infrastructure Regulation.</w:t>
      </w:r>
    </w:p>
    <w:p>
      <w:pPr>
        <w:spacing w:after="0" w:line="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Please also refer to the discussion below and in the “Risk Factors” section beginning on page 15 for a description of regulatory and legislative risks and uncertainties.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Derivatives Business, CME Clearing and our SEF</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 of U.S. futures exchanges, CME Clearing and our SEF is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definition of an agricultural commodity and certain provisions of the rules applicable to designated contract markets, swap execution facilities and swap data repositories.</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CFTC and the Federal Reserve Board.</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the U.K. Financial Conduct Authority (FCA) and Bank of England and the Netherlands Authority for the Financial Markets (AFM).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Cash Markets Business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operation of our BrokerTec platform subjects us to regulation by the Financial Industry Regulatory Authority (FINRA) and the U.S. Securities and Exchange Commission (SEC) as a broker-dealer and alternative trading system operator. It also subjects us to regulation by authorities in the E.U. as a multilateral trading facility and regulated market and by the applicable regulators in Singapore and Canada. Our EBS business holds various permissions, approvals and exemptions globally, including those that subject certain of its activities to CFTC, FCA, AFM and Hong Kong Monetary Authority (HKMA) oversight.</w:t>
      </w:r>
    </w:p>
    <w:p>
      <w:pPr>
        <w:spacing w:after="0" w:line="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settlement of matched principal and exchange-traded businesses requires access to clearing houses either directly or through third-party providers of clearing and settlement services. BrokerTec Americas is a member of the Fixed Income Clearing Corp. (FICC) through which it clears U.S. Treasury and repo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Optimization Services Business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areas of our optimization services, which enable clients to mitigate their risk, reduce operational costs, optimize their capital, and fulfill trade reporting obligations, are subject to regulatory oversight in those jurisdictions in which we conduct business, including the Swedish Financial Supervisory Authority, the FCA, CFTC, the National Futures Association, ESMA, the Australian Securities and Investments Commission and HKMA.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Market Data Business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portion of our market data business, offered by CME Group Benchmark Administration, is subject to regulation by the E.U. Benchmarks Regulation, which regulates our RepoFunds Rate suite of daily Euro repo indices.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Areas of Focus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actively monitor and participate in the domestic and international rulemaking processes for our industry, including providing government testimony, commenting on proposed rulemaking and educating our regulators on potential impacts to the marketplace. We are also focused on the new U.S. Presidential administration and any anticipated changes that may result.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areas of focus in the regulatory environment are:</w:t>
      </w:r>
    </w:p>
    <w:p>
      <w:pPr>
        <w:spacing w:after="0" w:line="117" w:lineRule="exact"/>
        <w:rPr>
          <w:sz w:val="20"/>
          <w:szCs w:val="20"/>
          <w:color w:val="auto"/>
        </w:rPr>
      </w:pPr>
    </w:p>
    <w:p>
      <w:pPr>
        <w:ind w:left="660" w:right="320" w:hanging="328"/>
        <w:spacing w:after="0" w:line="289"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of the adoption of EMIR 2.2 allowing for the direct regulation by the E.U. of non-E.U. clearing houses, like ours, and resulting changes to the E.U. equivalence and recognition regime on non-E.U. clearing houses and exchanges with customers based in Europe. EMIR 2.2 became effective on January 1, 2020, and as of December 31, 2020, we do not anticipate a significant impact to our business.</w:t>
      </w:r>
    </w:p>
    <w:p>
      <w:pPr>
        <w:spacing w:after="0" w:line="49" w:lineRule="exact"/>
        <w:rPr>
          <w:rFonts w:ascii="Times New Roman" w:cs="Times New Roman" w:eastAsia="Times New Roman" w:hAnsi="Times New Roman"/>
          <w:sz w:val="17"/>
          <w:szCs w:val="17"/>
          <w:color w:val="auto"/>
        </w:rPr>
      </w:pPr>
    </w:p>
    <w:p>
      <w:pPr>
        <w:jc w:val="both"/>
        <w:ind w:left="660" w:right="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respecting capital charges under Basel III with respect to clearing members of central counterparties may have negative implications for the cleared derivatives markets. Additional risks could arise through inconsistent adoption of the Basel III capital charges globally, potentially leading to disparate impacts on our customers.</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further regulation stemming from industry performance disruptions and residual concerns around electronic trading activity and, in particular, "high frequency trading."</w:t>
      </w:r>
    </w:p>
    <w:p>
      <w:pPr>
        <w:spacing w:after="0" w:line="53"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elimination of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6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transaction tax or user fee in the U.S., U.K. or E.U., or in the States of Illinois or New Jersey, which could discourage institutions and individuals from using our markets or products or encourage them to trade in another less costly jurisdiction. Legislation to impose a financial transaction tax has been proposed in the U.S. Congress, Illinois General Assembly and State of New Jersey Legislature in the last legislative sessions and could be proposed again in the current legislative sessions. Additionally, from time to time, the proposed U.S. Presidential budget request has included a proposal to impose a user fee to fund all or a portion of the budget of the CFTC.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12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relation to the E.U. Regulations on Benchmarks came into effect on January 1, 2018, and prices and data provided by CME Group for use by E.U. supervised entities and use of those benchmarks may be impacted. On November 30, 2020, the European Commission, European Parliament and the Council agreed to postpone application of the rules on third country benchmarks until December 31, 2023. As a result, all prices and data provided by CME Group are available for use by E.U. supervised entities throughout the transition period until January 1, 2023, subject to entering into appropriate licensing arrangements where relevant. The implementation of legislation in the E.U. impacting how benchmark index prices are formed, including new requirements for price submitters, price aggregators and markets that list contracts that reference index prices.</w:t>
      </w:r>
    </w:p>
    <w:p>
      <w:pPr>
        <w:spacing w:after="0" w:line="8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European legislators will prohibit or restrict exclusive licenses for benchmark indexes, which might impact the profitability of several of our most popular contracts.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has indicated that it will no longer require banks to participate in the LIBOR panel after December 31, 2021. The possibility exists that the FCA may find LIBOR to not be representative of the underlying short-term interest rate pricing or unfit for such purpose, and thus may unfavorably impact our ability to list our existing suite of Eurodollar futures and options products.</w:t>
      </w:r>
    </w:p>
    <w:p>
      <w:pPr>
        <w:spacing w:after="0" w:line="67"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31" w:lineRule="exact"/>
        <w:rPr>
          <w:rFonts w:ascii="Times New Roman" w:cs="Times New Roman" w:eastAsia="Times New Roman" w:hAnsi="Times New Roman"/>
          <w:sz w:val="17"/>
          <w:szCs w:val="17"/>
          <w:color w:val="auto"/>
        </w:rPr>
      </w:pPr>
    </w:p>
    <w:p>
      <w:pPr>
        <w:ind w:left="660" w:right="6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final phases of uncleared margin rules (UMR Phase 5 &amp; 6) across jurisdictions and implications for customers' management of exposures.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see "Item 1A - "Risk Factors" beginning on page 15 for additional information on our areas of regulatory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At CME Group, we rely on our highly skilled and experienced global workforce to meet our business objectives. As of December 31, 2020, our global employee population consisted of approximately 4,370 staff, with 58% (approximately 2,550) of these employees working in the U.S. and the remaining 42% (approximately 1,820) working in our various non U.S. locations (Australia, Brazil, Canada, China, France, Germany, Hong Kong, India, Israel, Japan, Netherlands, Philippines, Singapore, South Korea, Sweden, Switzerland and the U.K.).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fostering a diverse and inclusive global culture is critical to our business success. We provide our workforce with a compelling employee experience that allows us to attract, retain and develop industry-leading talent. We are continually seeking new ways to challenge, develop and support our employees. Select highlights of our employee experience include the following:</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wide range of benefits designed to support our employees’ health and well-being, retirement needs, and work/life balance.</w:t>
      </w:r>
    </w:p>
    <w:p>
      <w:pPr>
        <w:spacing w:after="0" w:line="117"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variety of avenues for employees to grow their expertise, including tuition assistance for continuing education, onsite professional development training courses, access to external seminars and technical skills training, as well as an integrated series of leadership development programs to prepare employees for each stage of their careers.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compensation programs align employee rewards with shareholder interests and emphasize our pay-for-performance philosophy.</w:t>
      </w:r>
    </w:p>
    <w:p>
      <w:pPr>
        <w:spacing w:after="0" w:line="11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Network Groups (ENGs) are essential to fostering an inclusive culture grounded in mutual respect. All employees are eligible to join our ENGs and employees are encouraged to form new ENGs that align with our shared mission and values, creating communities around professional and personal interests.</w:t>
      </w:r>
    </w:p>
    <w:p>
      <w:pPr>
        <w:spacing w:after="0" w:line="54"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8"/>
          <w:szCs w:val="18"/>
          <w:color w:val="auto"/>
        </w:rPr>
        <w:t>We conduct regular employee engagement surveys and we monitor our performance against specific voluntary turnover, open role placement and internal promotion metrics to understand where further workforce investments may be necessary. During fiscal year 2020, our performance against these metrics was:</w:t>
      </w:r>
    </w:p>
    <w:p>
      <w:pPr>
        <w:spacing w:after="0" w:line="7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voluntary turnover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open roles filled with internal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of employees promoted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CME Group, we embrace an exchange of ideas driven by the rich diversity of our people, cultures and experiences. We know that when our employees bring their authentic selves to work each day, it makes our business and our culture that much stronger. Leveraging the collective mix of perspectives and insights that our individual backgrounds bring, we can continually provide our global clients with innovative products and solutions, strengthen our competitive advantage and best serve the communities in which we live and work.</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anchored our commitment to diversity and inclusion by incorporating it into our corporate goals and our Chief Human Resources Officer provides our senior management and Board with regular updates. Our Diversity and Inclusion (D&amp;I) Council is responsible for driving our corporate D&amp;I strategy. Members of our management team and employees from across our global workforce serve on the council, representing a wide variety of backgrounds and perspectives.</w:t>
      </w:r>
    </w:p>
    <w:p>
      <w:pPr>
        <w:spacing w:after="0" w:line="7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please refer to our current Corporate Citizenship &amp; Sustainability Report, which is available on our website at </w:t>
      </w:r>
      <w:r>
        <w:rPr>
          <w:rFonts w:ascii="Times New Roman" w:cs="Times New Roman" w:eastAsia="Times New Roman" w:hAnsi="Times New Roman"/>
          <w:sz w:val="18"/>
          <w:szCs w:val="18"/>
          <w:i w:val="1"/>
          <w:iCs w:val="1"/>
          <w:color w:val="auto"/>
        </w:rPr>
        <w:t>www.cmegroup.com</w:t>
      </w:r>
      <w:r>
        <w:rPr>
          <w:rFonts w:ascii="Times New Roman" w:cs="Times New Roman" w:eastAsia="Times New Roman" w:hAnsi="Times New Roman"/>
          <w:sz w:val="18"/>
          <w:szCs w:val="18"/>
          <w:color w:val="auto"/>
        </w:rPr>
        <w:t xml:space="preserve"> under the "Corporate Citizenship" link.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CME Group's executive officers. Ages are as of February 10, 2021.</w:t>
      </w:r>
    </w:p>
    <w:p>
      <w:pPr>
        <w:spacing w:after="0" w:line="11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Terrence A. Duffy, 62. </w:t>
      </w:r>
      <w:r>
        <w:rPr>
          <w:rFonts w:ascii="Times New Roman" w:cs="Times New Roman" w:eastAsia="Times New Roman" w:hAnsi="Times New Roman"/>
          <w:sz w:val="18"/>
          <w:szCs w:val="18"/>
          <w:color w:val="auto"/>
        </w:rPr>
        <w:t>Mr. Duffy has served as our Chairman and Chief Executive Officer since 2016. Mr. Duffy previously served as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 Cronin, 57. </w:t>
      </w:r>
      <w:r>
        <w:rPr>
          <w:rFonts w:ascii="Times New Roman" w:cs="Times New Roman" w:eastAsia="Times New Roman" w:hAnsi="Times New Roman"/>
          <w:sz w:val="18"/>
          <w:szCs w:val="18"/>
          <w:color w:val="auto"/>
        </w:rPr>
        <w:t>Ms. Cronin has served as our Senior Managing Director, General Counsel and Corporate Secretary since 2003. Prior to joining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Cronin was a corporate attorney at Skadden, Arps, Slate, Meagher &amp; Flom LLP from 1989 through 1995 and from 1997 through 2002. Ms. Cronin also serves as a director of Kemper Corporation.</w:t>
      </w:r>
    </w:p>
    <w:p>
      <w:pPr>
        <w:spacing w:after="0" w:line="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Sunil Cutinho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49. </w:t>
      </w:r>
      <w:r>
        <w:rPr>
          <w:rFonts w:ascii="Times New Roman" w:cs="Times New Roman" w:eastAsia="Times New Roman" w:hAnsi="Times New Roman"/>
          <w:sz w:val="18"/>
          <w:szCs w:val="18"/>
          <w:color w:val="auto"/>
        </w:rPr>
        <w:t>Mr. Cutinho has served as President of CME Clearing since 2014. He joined CME Group in 2002 and since then has held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of increasing responsibility within the organization and, most recently served as Managing Director, Deputy Head of CME Clearing from April 2014 through September 2014.</w:t>
      </w:r>
    </w:p>
    <w:p>
      <w:pPr>
        <w:spacing w:after="0" w:line="6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Julie Holzrichter, 52. </w:t>
      </w:r>
      <w:r>
        <w:rPr>
          <w:rFonts w:ascii="Times New Roman" w:cs="Times New Roman" w:eastAsia="Times New Roman" w:hAnsi="Times New Roman"/>
          <w:sz w:val="17"/>
          <w:szCs w:val="17"/>
          <w:color w:val="auto"/>
        </w:rPr>
        <w:t>Ms. Holzrichter has served as our Senior Managing Director, Chief Operating Officer since 2014. She previously served as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Kometer, 56. </w:t>
      </w:r>
      <w:r>
        <w:rPr>
          <w:rFonts w:ascii="Times New Roman" w:cs="Times New Roman" w:eastAsia="Times New Roman" w:hAnsi="Times New Roman"/>
          <w:sz w:val="18"/>
          <w:szCs w:val="18"/>
          <w:color w:val="auto"/>
        </w:rPr>
        <w:t>Mr. Kometer has served as Senior Managing Director and Chief Information Officer since 2008. He previously served as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6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Hilda Harris Piell, 53. </w:t>
      </w:r>
      <w:r>
        <w:rPr>
          <w:rFonts w:ascii="Times New Roman" w:cs="Times New Roman" w:eastAsia="Times New Roman" w:hAnsi="Times New Roman"/>
          <w:sz w:val="18"/>
          <w:szCs w:val="18"/>
          <w:color w:val="auto"/>
        </w:rPr>
        <w:t>Ms. Piell has served as Senior Managing Director and Chief Human Resources Officer since 2007. Previously she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and Senior Associate General Counsel, as Director and Associate General Counsel and as Associate Director and Assistant General Counsel since joining us in 2000.</w:t>
      </w:r>
    </w:p>
    <w:p>
      <w:pPr>
        <w:spacing w:after="0" w:line="6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W. Pietrowicz, 56. </w:t>
      </w:r>
      <w:r>
        <w:rPr>
          <w:rFonts w:ascii="Times New Roman" w:cs="Times New Roman" w:eastAsia="Times New Roman" w:hAnsi="Times New Roman"/>
          <w:sz w:val="18"/>
          <w:szCs w:val="18"/>
          <w:color w:val="auto"/>
        </w:rPr>
        <w:t>Mr. Pietrowicz has served as our Chief Financial Officer since 2014. Previously, Mr. Pietrowicz served as our Senior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S&amp;P/Dow Jones Indices LLC.</w:t>
      </w:r>
    </w:p>
    <w:p>
      <w:pPr>
        <w:spacing w:after="0" w:line="6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Derek Sammann, 52. </w:t>
      </w:r>
      <w:r>
        <w:rPr>
          <w:rFonts w:ascii="Times New Roman" w:cs="Times New Roman" w:eastAsia="Times New Roman" w:hAnsi="Times New Roman"/>
          <w:sz w:val="18"/>
          <w:szCs w:val="18"/>
          <w:color w:val="auto"/>
        </w:rPr>
        <w:t>Mr. Sammann has served as our Senior Managing Director, Commodities and Options Products since 2014. 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Tobin, 57. </w:t>
      </w:r>
      <w:r>
        <w:rPr>
          <w:rFonts w:ascii="Times New Roman" w:cs="Times New Roman" w:eastAsia="Times New Roman" w:hAnsi="Times New Roman"/>
          <w:sz w:val="18"/>
          <w:szCs w:val="18"/>
          <w:color w:val="auto"/>
        </w:rPr>
        <w:t>Mr. Tobin has served as our Chief Accounting Officer since 2015. Mr. Tobin most recently served as our Managing Director,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6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Tully, 57. </w:t>
      </w:r>
      <w:r>
        <w:rPr>
          <w:rFonts w:ascii="Times New Roman" w:cs="Times New Roman" w:eastAsia="Times New Roman" w:hAnsi="Times New Roman"/>
          <w:sz w:val="18"/>
          <w:szCs w:val="18"/>
          <w:color w:val="auto"/>
        </w:rPr>
        <w:t>Mr. Tully has served as Senior Managing Director, Financial and OTC Products of CME Group since 2014. He previously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Interest Rates and OTC Products during 2014. Previously, he served as Managing Director, Interest Rate and OTC Products since 2013 and as our Managing Director, Interest Rate Products since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joining us in 2011. Before joining the company, Mr. Tully most recently served as Managing Director, Global Head of Fixed Income Trading at WestLB in London.</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Kendal Vroman, 49. </w:t>
      </w:r>
      <w:r>
        <w:rPr>
          <w:rFonts w:ascii="Times New Roman" w:cs="Times New Roman" w:eastAsia="Times New Roman" w:hAnsi="Times New Roman"/>
          <w:sz w:val="18"/>
          <w:szCs w:val="18"/>
          <w:color w:val="auto"/>
        </w:rPr>
        <w:t>Mr. Vroman has served as our Senior Managing Director, International and Optimization Services since February 2020. He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Managing Director, Cash Markets and Optimization Services. Since joining the company in 2001, he has held a variety of senior leadership roles including Managing Director, Planning and Execution, Global Head, Commodity Products and OTC Solutions and Managing Director and Chief Corporate Development Officer. Prior to joining us, Mr. Vroman most recently served as Vice President, Corporate Operations/Chief of Staff to the Chief Executive Officer for marchFirst Inc.</w:t>
      </w:r>
    </w:p>
    <w:p>
      <w:pPr>
        <w:spacing w:after="0" w:line="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Winkler, 46. </w:t>
      </w:r>
      <w:r>
        <w:rPr>
          <w:rFonts w:ascii="Times New Roman" w:cs="Times New Roman" w:eastAsia="Times New Roman" w:hAnsi="Times New Roman"/>
          <w:sz w:val="18"/>
          <w:szCs w:val="18"/>
          <w:color w:val="auto"/>
        </w:rPr>
        <w:t>Ms. Winkler has served as our Senior Managing Director, Chief Commercial Officer since 2016. She previously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www.cmegroup.com</w:t>
      </w:r>
      <w:r>
        <w:rPr>
          <w:rFonts w:ascii="Times New Roman" w:cs="Times New Roman" w:eastAsia="Times New Roman" w:hAnsi="Times New Roman"/>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geopolitical market conditions;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any direct or indirect restrictions on or increased costs associated with trading in our markets or our clearing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the industry and financial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trading volumes and volatility in the derivatives, cash and OTC markets and in their underlying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or supply in commodities underlying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policies, including central bank decisions related to quantitative easing and the U.S. Federal Reserve and other international banks' forecasted commitment to zero or near-zero interest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to our market participants and their appetite for risk-taking;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assets under our customers'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patterns, droughts, natural disasters and other catastrophes;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affecting our customer base or our ability to operate our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expansion in our customer base and within our industry.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We believe that our interest rate product line will continue to be negatively impacted by the current state of the economy and a zero-interest rate policy.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1A - Risk Factors - Risks Relating To Our Business" beginning on page 19 for additional information.</w:t>
      </w:r>
    </w:p>
    <w:p>
      <w:pPr>
        <w:spacing w:after="0" w:line="1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primarily subject to the jurisdiction of the regulatory agencies in the U.S., U.K. and Europe. As a result of our global operations, we are also subject to the rules and regulations of other local jurisdictions in which we conduct business and offer our products and services, as appropriate.</w:t>
      </w:r>
    </w:p>
    <w:p>
      <w:pPr>
        <w:spacing w:after="0" w:line="5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Due to the global financial crisis that began in 2008, the U.S. and numerous other jurisdictions have undertaken reviews of the legal framework governing financial markets and have either enacted new laws, rules and regulations, or are in the process of enacting new laws, rules and regulations that could impact our business. We have incurred and expect to continue to incur significant costs to comply with the extensive regulations that apply to our business.</w:t>
      </w:r>
    </w:p>
    <w:p>
      <w:pPr>
        <w:spacing w:after="0" w:line="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 new laws or regulations or changes in enforcement practices applicable to our businesses or those of our clients could be imposed in the U.S. or other jurisdictions, which could change, or require us to change, our business practices or the structure of our business, including its current governance structure, or impose significant costs on us by, for example, requiring more of our funds to be set aside for the guaranty fund.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is less beneficial for us or our customers, our business, financial condition and operating results could be negatively affected.</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Legislation may be proposed, both domestically and internationally, that could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swap data repository or broker-dealer or other regulatory penalties.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broker-dealer and multilateral trading facility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disciplinary action against the firm and individuals, monetary penalties, and restrictions on future activities.</w:t>
      </w:r>
    </w:p>
    <w:p>
      <w:pPr>
        <w:spacing w:after="0" w:line="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1 - Business - Regulatory Matters" beginning on page 11 for additional information on our areas of regulatory focus.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5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 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revenues and profits could be adversely affected.</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we expect competition to continue to intensify.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may:</w:t>
      </w:r>
    </w:p>
    <w:p>
      <w:pPr>
        <w:spacing w:after="0" w:line="117"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are preferred by our customers compared to those offered by CME Group;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risk transfer products that compete with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their products and services more competitively;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their network infrastructure and service offerings more efficiently;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better, more user-friendly or more reliable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greater advantage of acquisitions, alliances and other opportunities that provide a competitive advantage;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effectively market, promote and sell their products and services;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leverage existing relationships with customers and alliance partners or exploit better recognized brand names to market and sell their services; or</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 regulatory disparities between traditional, regulated exchanges and alternative markets that benefit from a reduced regulatory burden and lower-cost business model.</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our products, markets and services are not competitive, our business, financial condition and operating results could be adversely affected. A decline in our fees or loss of customers could lower our revenues, which would adversely affect our profitability.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see "Item 1 - Business - Competition" beginning on page 10 for additional information on the competitive environment and its potential impact on our business.</w:t>
      </w:r>
    </w:p>
    <w:p>
      <w:pPr>
        <w:spacing w:after="0" w:line="5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pre-and post-trade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services and clearing facilities. Our success also depends on our ability to offer competitive prices and services in an increasingly price-sensitive business. For example, some of our competitors have engaged in aggressive pricing strategies in the 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places us at greater risk than other public companies for a cyber attack and other cyber security risks. Our technology, our people and those of our third-party service providers may be vulnerable to cyber security threats, which could result in wrongful use of our data or our customers’ data or cause interruptions in our operations that cause us to lose customers and trading volume and result in substantial liabilities. We also could be required to incur significant expense to protect our systems and/or investigate any alleged attack.</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regard the secure storage and transmission of data and the ability to continuously transact and clear on our electronic trading platforms as critical elements of our operations. Our technology, our people and those of our third-party service providers and our customers may be vulnerable to targeted attacks, such as "phishing" attacks, unauthorized access, fraud, computer viruses, denial of service attacks, terrorism, "ransom" attacks, firewall or encryption failures or other security risks. Criminal groups, political activist groups and nation-state actors have targeted the financial services industry in general, and our role in the global marketplace places us at greater risk than other public companies for a cyber attack and other information security threats. While we have not experienced cyber incidents that are individually, or in the aggregate, material, we have experienced cyber attacks of varying degrees in the past. Our usage of mobile and cloud technologies may increase our risk for a cyber attack. Our security defenses may also be impacted or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As the regulatory environment related to information security, data collection and use, and privacy becomes increasingly rigorous and complex, any failure to comply may carry significant penalties and reputational damage.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designed our cyber defense program to mitigate such attacks and security risks through administrative, physical and technical safeguards. As part of our global information security and privacy programs, we employ resources to prevent, detect and respond to cyber-attacks and security risks that could impact our people, processes, and technology infrastructure, including the rapid response to zero-day vulnerabilities. However, our security measures or those of our third-party providers, including any cloud-based technologies,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Though we have insurance against some cyber and privacy risks and attacks, we may be subject to litigation and financial losses that exceed our policy limits or are not covered under any of our current insurance policies.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financial services provider, we are subject to significant litigation risk and regulatory liability and penalties.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which poses physical security risks and cyber-security risks, than other companies.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the closure of our facilities or render our backup data and recovery systems inoperable.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333333"/>
        </w:rPr>
        <w:t>The COVID-19 pandemic has negatively affected the global economy, including the U.S. economy and the global financial markets, and has disrupted our business and that of our clients’ businesses. The ultimate impact from COVID-19, including duration, is unknown and could have an adverse effect on our business, financial condition and results of operations.</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ongoing COVID-19 health emergency has caused significant disruption in the international and U.S. economies and financial markets. The spread of COVID-19 has caused illness, quarantines, cancellation of events and travel, business and school shutdowns, reduction in business activity and financial transactions, labor shortages, supply chain interruptions and overall economic and financial market instability in the U.S. Similar impacts also have been experienced throughout the world, including in every country in which we do business. Given the unique and unpredictable nature of this event, future impacts to our business are unknown and could be material. Those impacts may include, among others, the following:</w:t>
      </w:r>
    </w:p>
    <w:p>
      <w:pPr>
        <w:spacing w:after="0" w:line="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disruption to our business and operations;</w:t>
      </w:r>
    </w:p>
    <w:p>
      <w:pPr>
        <w:spacing w:after="0" w:line="90"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members of senior management or a significant number of our employees unable to work as a result of contracting COVID-19 or related illnesses;</w:t>
      </w:r>
    </w:p>
    <w:p>
      <w:pPr>
        <w:spacing w:after="0" w:line="54"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and operating effectiveness as a result of our employees working remotely and impacts on our clients encountering similar circumstances;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our third-party suppliers and their ability to fulfill their obligations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trading volume and unprecedented market stresses in global financial markets;</w:t>
      </w:r>
    </w:p>
    <w:p>
      <w:pPr>
        <w:spacing w:after="0" w:line="90"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 based upon fiscal, monetary and trade policies adopted in response to the economic impact of the pandemic;</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generally could cause businesses to have less need to hedge in our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expansion, investment and strategic initiatives and system integrations;</w:t>
      </w:r>
    </w:p>
    <w:p>
      <w:pPr>
        <w:spacing w:after="0" w:line="90"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ability to expand our client base, grow our business and generate new revenue due to the inability to hold in-person meetings, events and conferences and other impacts from social distancing;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our brand and reputation due to negative investor sentiment in the overall financial markets;</w:t>
      </w:r>
    </w:p>
    <w:p>
      <w:pPr>
        <w:spacing w:after="0" w:line="90"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and operational stress experienced by our clearing firm members due to unprecedented volatility, including significant losses that may result in a reduction of business or a default;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access or trading limitations imposed by governmental authorities;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technology and cyber-security risks, social engineering and phishing campaigns.</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potential impacts may exist for a significant period of time and may adversely affect our business, financial condition and results of operations even after the COVID-19 pandemic has subsided.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past year, we have experienced an overall decrease in trading volume, which we believe is in part a result of effects of the COVID-19 pandemic. Additionally, the spread of COVID-19 has caused us to modify our business practices, including restricting employee travel and continuing work-from-home protocols, and we may take further actions as may be required by government authorities or as we determine to be in the best interests of our employees and clients. We also closed our open outcry trading floor and trading is now conducted almost entirely through our electronic trading system. In August 2020, the Eurodollar options pit was reopened after being reconfigured to meet social distancing standards with additional safety standards in place. There is no certainty that such measures will be sufficient to mitigate the risks posed by the virus or will otherwise be satisfactory to government authorities.</w:t>
      </w:r>
    </w:p>
    <w:p>
      <w:pPr>
        <w:spacing w:after="0" w:line="8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extent to which the COVID-19 pandemic further impacts our business, results of operations or financial condition will depend on future developments, which are highly uncertain and difficult to predict, but may include, among others, the duration and spread of the pandemic, its severity, the actions taken by governments and other third parties to contain the virus or treat its impact, such as vaccination, and the effect of such actions on our business practices (including ending work-from-home protocols), the impact of existing and any future federal stimulus measures, and the pace at which, and the extent to which, normal economic and operating conditions resume, or even if they resume, whether such economic and operating conditions can be sustained.</w:t>
      </w:r>
    </w:p>
    <w:p>
      <w:pPr>
        <w:spacing w:after="0" w:line="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many of the other risk factors described herein could be heightened by the effects of the COVID-19 pandemic and related economic conditions, which could result in a material impact on our results of operations, financial condition and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Maintaining our reputation and brand is critical to attracting and retaining customers and investors and to maintaining our relationships with our regulators. Negative publicity regarding our company or actual, alleged or perceived issues regarding our products or services, including social and environmental concerns relating to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failures to meet our regulatory obligations, failures of a clearing firm or other counterparty, issues relating to our third-party suppliers, alleged or actual fraud or misconduct or manipulative activity, or ineffective risk management.</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markets depends on our ability to complete development of, successfully implement and maintain the electronic trading and clearing systems that have the functionality, performance, availability, capacity, security and speed required by our customers.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create interactive electronic marketplaces, for a wide range of products, that have the required functionality, performance, availability, capacity, security and speed to attract and retain customers. In 2020, 94% of our overall contract volume was generated through electronic trading on our CME Globex electronic platform and we generated $352.5 million in revenue attributable to the BrokerTec and EBS trading platforms.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6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reliable and cost-effective services to our customers;</w:t>
      </w:r>
    </w:p>
    <w:p>
      <w:pPr>
        <w:spacing w:after="0" w:line="11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a timely manner, the required functionality to support electronic trading in a manner that is competitive with the functionality supported by other electronic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competitiveness of our fee structure;</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independent software vendors to write front-end software that will effectively access our electronic trading systems and automated order routing system;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developments or service offerings by competitors;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justify the substantial capital investment we have made and will continue to make to enhance our electronic trading platforms and other technology offerings.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do not successfully enhance our electronic trading systems and technology offerings, if we are unable to develop them to include other products and markets, or if they do not have the required functionality, performance, availability, capacity, security and speed desired by our customers, our ability to successfully compete and our revenues and profits will be adversely affected. Although we are focused on the technology and customer experience as part of the migration of the BrokerTec platform to CME Globex in the first quarter of 2021 and the expected migration of the EBS platform to CME Globex in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fourth quarter of 2021, we cannot guarantee that we will not experience any client attrition and to the extent any such client attrition is significant, it could have an impact on our revenues.</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75" w:lineRule="exact"/>
        <w:rPr>
          <w:sz w:val="20"/>
          <w:szCs w:val="20"/>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disruptions in service to our customers;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and delays in our customers' trade execution and processing;</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settlement of trades;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inaccurate accounting, recording or processing of trades;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customer claims;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sanctions.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experience systems failures from power or telecommunications failures, acts of God, war or terrorism, human error on our part or on the part of our vendors,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of transactions and to execute our business strategy, our ability to maintain or expand our businesses could be adversely affected.</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depend on a number of suppliers, such as banking, clearing and settlement organizations, telephone companies, internet service providers, data processors, cloud hosting providers, data center providers, and software and hardware vendors, for elements of our trading, clearing and other systems, as well as communications and networking equipment, computer hardware and software and related support and maintenance.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any of our service providers or the organizations that provide services to our customers in connection with their trading activities cease to provide these services or provide these services in an efficient, cost-effective manner or fail to adequately expand their services to meet our needs and the needs of our customers, we could experience decreased trading volume, lower revenues and higher costs.</w:t>
      </w:r>
    </w:p>
    <w:p>
      <w:pPr>
        <w:spacing w:after="0" w:line="6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5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clearing firm becomes insolvent.</w:t>
      </w:r>
    </w:p>
    <w:p>
      <w:pPr>
        <w:spacing w:after="0" w:line="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Three-Month Eurodollar futures contracts are based on the three-month U.S. Dollar London Interbank Offered Rate (LIBOR) underlying rate. To the extent trading in Eurodollar contracts decreases or is discontinued and our alternative contracts are not successful, our revenues would be negatively impacted. Certain of our other businesses could also be negatively affected by changes to LIBOR.</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Eurodollar futures contract is based on the three-month U.S. Dollar ICE LIBOR underlying rate. In 2020, average trading volume in our Eurodollar contracts was 3.1 million contracts and open interest was 32.4 million contracts. LIBOR is the subject of national and international proposals for reform which advocate for the transition of survey based interbank offered rates to alternative transaction-based reference rates. A transition from the widespread use of LIBOR to alternative benchmark rates is likely to occur over the next several years. The U.K. FCA, which regulates LIBOR, has announced the desire to phase out the use of LIBOR by the end of 2021. The U.S. Federal Reserve, in conjunction with the Alternative Reference Rates Committee, a steering committee comprised of large U.S. financial institutions, has recommended replacing U.S. Dollar LIBOR with other benchmark alternatives, such as SOFR. It is unknown whether these alternative reference rates will attain market acceptance as replacements for LIBOR. In October 2020, central banking counterparties revised the discounting and price alignment interest (PAI) of U.S.-dollar cleared interest rate swaps to use SOFR. This event affected interest rate swaps, including auctions of newly created SOFR basis swaps, and increased liquidity for SOFR and the resulting orderly auctions.</w:t>
      </w:r>
    </w:p>
    <w:p>
      <w:pPr>
        <w:spacing w:after="0" w:line="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November 30, 2020, ICE Benchmark Administration (IBA) announced a consultation on its intention to cease the publication of certain LIBOR rates, including its intention to cease the publication of the three-month U.S. Dollar LIBOR on June 30, 2023. The U.K. FCA also announced its proposed approach to ensure an orderly wind-down of LIBOR and has supported publication of three-month U.S. Dollar LIBOR tenor in a representative manner through June 30, 2023. The U.S. Federal Reserve, Office of Comptroller of the Currency and the Federal Deposit Insurance Company also issued a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encouraging banks to cease entering into new contracts that use U.S. Dollar LIBOR as a reference rate as soon as practicable and in any event by December 31, 2021.</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transition away from LIBOR to alternative reference rates is complex and could have a material adverse effect on our business, financial condition and results of operations. We have closely engaged with the industry, regulators and market participants to launch products using alternative reference rates, including our SOFR and Sterling Overnight Index Average (SONIA) futures contracts. While these actions have resulted in an increase in market acceptance of SOFR, there is no guarantee that this transition will be successful or replace the revenue we derive from our Eurodollar contracts if trading volume were to decline or discontinue altogether.</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a wide range of data services designed to support the trading, risk management, investment and business needs of our global customer base. Revenues from our market data and information services represented 11% of our total revenues during the years ended December 31, 2020 and December 31, 2019, respectively. Factors that may affect our performance and demand for our data include, but are not limited to:</w:t>
      </w:r>
    </w:p>
    <w:p>
      <w:pPr>
        <w:spacing w:after="0" w:line="6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utilizing our data and to attract new customers with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overall trading volume, which may lead to a decreased demand for our market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challenging business environment for our customers, which may require them to reduce their usage of our market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new regulations, laws, rules or other government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that customers are appropriately licensed and are paying fees for the data 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intellectual property rights and identification of misappropriation and/or misuses of CME Group market data;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developments and client preferences.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executing our growth strategy and maintaining our growth effectively.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continue to focus on strategic initiatives to grow our business, including our efforts to serve the OTC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Our acquisition of NEX is subject to many of these risks, including the potential we may not achieve the expected cost savings, synergies and other strategic benefits from the transaction within the anticipated time frames and the integration of NEX with our operations may not be successful or may be delayed or more costly than expected, or that we may experience customer attrition.</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expanded global operations, we face certain risks inherent in doing business internationally. These risks include:</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extensive and complex regulations and oversight;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associated costs in managing multiple international locations;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Brexit transition period between the U.K. and E.U. ended in December 2020 and the E.U.-U.K. Trade and Cooperation Agreement provisionally entered into force on January 1, 2021. As a result of Brexit, we have established certain CME Group businesses in Amsterdam, an E.U. jurisdiction, which allows these businesses to continue offering products and services to customers in the E.U.; however, this has resulted in, and may continue to result in, increased legal, compliance and operational costs.</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and compliance programs might not be effective and may result in outcomes that could adversely affect our reputation, financial condition and operating results.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discuss matters with our regulators including during regulatory examinations, and we are subject to their inquiry and oversight. Our regulators have broad enforcement and supervisory powers, including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w:t>
      </w:r>
    </w:p>
    <w:p>
      <w:pPr>
        <w:spacing w:after="0" w:line="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maintain risk management and compliance policies, procedures and programs which are designed to prevent, detect, deter, monitor and manage our risks, but such policies, procedures and programs may not be fully effective. Some of our risk management processes depend upon evaluation of information regarding markets, customers, employees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number of transactions and events. We cannot guarantee that our policies and procedures will always be effective or that we will always be successful in monitoring or evaluating the risks to which we are or may be exposed.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harmed by misconduct or errors that are difficult to detect and deter.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have been a number of highly publicized cases involving fraud or other misconduct or manipulative activity by employees of financial services firms and other market participants in the past.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the company, or improper use or unauthorized disclosure of data or confidential information of the company or its customers.</w:t>
      </w:r>
    </w:p>
    <w:p>
      <w:pPr>
        <w:spacing w:after="0" w:line="7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It is not always possible to deter misconduct, and the precautions we take to prevent and detect this activity may not be effective in all cases. If we were found to have not met our regulatory oversight and compliance obligations, we could be subject to regulatory sanctions, financial penalties, restrictions on our activities for failure to properly identify, monitor and respond to potentially problematic activity and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could affect our brand and reputation and reduce the number of participants trading in our markets. If that should occur, we could face a corresponding decline in trading volume and revenue.</w:t>
      </w:r>
    </w:p>
    <w:p>
      <w:pPr>
        <w:spacing w:after="0" w:line="6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significantly dependent on the contract volume of products which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dependent on proprietary technology and other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trademarks, copyright, database rights, trade secrets, restrictions on disclosure and other methods. Notwithstanding the precautions we take to protect our proprietary technology and intellectual property rights, it is possible that third parties may copy, misappropriate or otherwise obtain and use our proprietary technology without authorization or otherwise infringe on our rights. For example, one of our former employees pleaded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against.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CLASS A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2020, we had approximately $3.4 billion of total indebtedness and we had excess borrowing capacity for general corporate purposes under our existing facilities of approximately $2.4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 our indebtedness may:</w:t>
      </w:r>
    </w:p>
    <w:p>
      <w:pPr>
        <w:spacing w:after="0" w:line="117" w:lineRule="exact"/>
        <w:rPr>
          <w:sz w:val="20"/>
          <w:szCs w:val="20"/>
          <w:color w:val="auto"/>
        </w:rPr>
      </w:pPr>
    </w:p>
    <w:p>
      <w:pPr>
        <w:ind w:left="660" w:right="3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or challenges relating to our business and industry;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against any less leveraged competitors.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swap execution facility and clearing house also are required to maintain minimum capital levels as defined by the CFTC, and BrokerTec Americas is required to meet minimum capital requirements set by the SEC.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 could increase the cost of our funding from the capital markets.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including in connection with the global pandemic,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Eleven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substantial influence over the operation of our business.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Eleven of our directors own or are officers or directors of firms that own trading rights on our exchanges. We are dependent on the revenues from the trading and clearing activities of our exchange members. In 2020, 83% of our derivatives contract volume was derived from our members. This dependence may give them substantial influence over how we operate our business.</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In 2018, we held a special meeting of shareholders to eliminate all or some of these director election rights. While the proposal received majority support, it failed to achieve the required support under Delaware law from a majority of the outstanding owners of the Class B common stock.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20 South Wacker Drive, Chicago, IL, where we lease approximately 540,000 square feet of general office space. This lease expires in 2032. Our European headquarters are located at the London Fruit &amp; Wool Exchange at 1 Duval Square, London, where we lease approximately 125,000 square feet of general office space. This lease expires in 2038.</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trading floor is located at 333 S. LaSalle Street, Chicago, IL, which we own. The building is approximately 300,000 square feet, of which the trading floor occupies a portion of such space.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our largest data center from CyrusOne in Aurora, IL. This lease expires in 2031.</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6. Property and note 12. Leases and Other Commitments to the Consolidated Financial Statements for more information.</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13. Contingencies to the Consolidated Financial Statements beginning on page 78 for CME Group’s legal proceedings disclosure,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840" w:right="20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Nasdaq under the ticker symbol "CME." As of February 10, 2021, there were approximately 6,170 holders of record of our Class A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February 10, 2021, there were approximately 1,565 holders of record of our Class B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31, 2015 and its relative performance is tracked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91440</wp:posOffset>
            </wp:positionV>
            <wp:extent cx="4543425" cy="3994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4342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Group Inc.</w:t>
            </w:r>
          </w:p>
        </w:tc>
        <w:tc>
          <w:tcPr>
            <w:tcW w:w="20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133.93</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177.23</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234.16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256.81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0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2"/>
              </w:rPr>
              <w:t>111.96</w:t>
            </w:r>
          </w:p>
        </w:tc>
        <w:tc>
          <w:tcPr>
            <w:tcW w:w="9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136.40</w:t>
            </w:r>
          </w:p>
        </w:tc>
        <w:tc>
          <w:tcPr>
            <w:tcW w:w="9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130.42</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171.49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w:t>
            </w: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104.28</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141.75</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145.74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204.15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00" w:type="dxa"/>
            <w:vAlign w:val="bottom"/>
          </w:tcPr>
          <w:p>
            <w:pPr>
              <w:spacing w:after="0"/>
              <w:rPr>
                <w:sz w:val="13"/>
                <w:szCs w:val="13"/>
                <w:color w:val="auto"/>
              </w:rPr>
            </w:pPr>
          </w:p>
        </w:tc>
        <w:tc>
          <w:tcPr>
            <w:tcW w:w="25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8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0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1"/>
                <w:szCs w:val="11"/>
                <w:color w:val="auto"/>
              </w:rPr>
            </w:pPr>
          </w:p>
        </w:tc>
        <w:tc>
          <w:tcPr>
            <w:tcW w:w="14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8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35"/>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in 2020</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240" w:type="dxa"/>
            <w:vAlign w:val="bottom"/>
          </w:tcPr>
          <w:p>
            <w:pPr>
              <w:spacing w:after="0"/>
              <w:rPr>
                <w:sz w:val="11"/>
                <w:szCs w:val="11"/>
                <w:color w:val="auto"/>
              </w:rPr>
            </w:pPr>
          </w:p>
        </w:tc>
        <w:tc>
          <w:tcPr>
            <w:tcW w:w="146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580" w:type="dxa"/>
            <w:vAlign w:val="bottom"/>
          </w:tcPr>
          <w:p>
            <w:pPr>
              <w:jc w:val="center"/>
              <w:ind w:left="248"/>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58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Plans or Programs (in millions)</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159.47</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182.02</w:t>
            </w: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60" w:hanging="652"/>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an aggregate of 24,924 shares of Class A common stock surrendered to satisfy employee tax obligations upon the vesting of restricted stock.</w:t>
      </w: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2, 2018, CME Group completed its acquisition of NEX. The following data includes the financial results of NEX beginning November 3,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or At December 31</w:t>
            </w: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6"/>
                <w:szCs w:val="16"/>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4,883.6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4,868.0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3,644.7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2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2,637.4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2,587.8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2,310.6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20" w:type="dxa"/>
            <w:vAlign w:val="bottom"/>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215.7</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2,722.1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2,526.3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2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2,105.2</w:t>
            </w:r>
          </w:p>
        </w:tc>
        <w:tc>
          <w:tcPr>
            <w:tcW w:w="3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2,116.5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4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4,063.4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20" w:type="dxa"/>
            <w:vAlign w:val="bottom"/>
          </w:tcPr>
          <w:p>
            <w:pPr>
              <w:spacing w:after="0"/>
              <w:rPr>
                <w:sz w:val="19"/>
                <w:szCs w:val="19"/>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CME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124,659.6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75,215.3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77,475.7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75,791.2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69,369.4</w:t>
            </w:r>
          </w:p>
        </w:tc>
        <w:tc>
          <w:tcPr>
            <w:tcW w:w="20" w:type="dxa"/>
            <w:vAlign w:val="bottom"/>
          </w:tcPr>
          <w:p>
            <w:pPr>
              <w:spacing w:after="0"/>
              <w:rPr>
                <w:sz w:val="19"/>
                <w:szCs w:val="19"/>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3,443.8</w:t>
            </w:r>
          </w:p>
        </w:tc>
        <w:tc>
          <w:tcPr>
            <w:tcW w:w="3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3,743.2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w:t>
            </w:r>
          </w:p>
        </w:tc>
        <w:tc>
          <w:tcPr>
            <w:tcW w:w="4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2,233.1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2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Group shareholders’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26,319.9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26,128.9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22,411.8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20" w:type="dxa"/>
            <w:vAlign w:val="bottom"/>
          </w:tcPr>
          <w:p>
            <w:pPr>
              <w:spacing w:after="0"/>
              <w:rPr>
                <w:sz w:val="19"/>
                <w:szCs w:val="19"/>
                <w:color w:val="auto"/>
              </w:rPr>
            </w:pPr>
          </w:p>
        </w:tc>
      </w:tr>
      <w:tr>
        <w:trPr>
          <w:trHeight w:val="878"/>
        </w:trPr>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key statistical information on the volume of contracts traded, expressed in round turn trades. All amounts exclude our interest rate swaps and credit default swaps contracts as well as volume data for our cash markets business.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Year Ended or At December 31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Lines: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indexes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Energy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Metals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Average Daily Volume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Method of Trade:</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CME Globex</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Open outcry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Privately negotiated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Average Daily Volume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Data:</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 Volume (round turn trades)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4,820,590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4,830,043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4,089,175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Interest at Year End (contracts)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Includes an overview of our business; current economic, competitive and regulatory trends relevant to our business;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business strategy; and our primary sources of operating and non-operating revenues and expenses.</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Provides an explanation of accounting policies which may have a significant impact on our financial results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assumptions and risks associated with those policies.</w:t>
      </w:r>
    </w:p>
    <w:p>
      <w:pPr>
        <w:spacing w:after="0" w:line="19" w:lineRule="exact"/>
        <w:rPr>
          <w:rFonts w:ascii="Times New Roman" w:cs="Times New Roman" w:eastAsia="Times New Roman" w:hAnsi="Times New Roman"/>
          <w:sz w:val="18"/>
          <w:szCs w:val="18"/>
          <w:color w:val="auto"/>
        </w:rPr>
      </w:pPr>
    </w:p>
    <w:p>
      <w:pPr>
        <w:ind w:left="660" w:right="5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Includes an evaluation of recent accounting pronouncements and the potential impact of their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on our financial results.</w:t>
      </w:r>
    </w:p>
    <w:p>
      <w:pPr>
        <w:spacing w:after="0" w:line="33"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Includes an analysis of our 2020 financial results and a discussion of any known events or trends which are likely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future results.</w:t>
      </w:r>
    </w:p>
    <w:p>
      <w:pPr>
        <w:spacing w:after="0" w:line="33"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Includes a discussion of our future cash requirements, capital resources, significant planned expenditures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arrangements.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our customers the opportunity to trade futures contracts and options contracts on a range of products including those based on interest rates, equity indexes, foreign exchange, agricultural commodities, energy and metals.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also provide optimization services that deliver transaction lifecycle management and information services to help our customers optimize their capital, mitigate their risk and reduce operational costs. Optimization services includes Traiana, TriOptima and Reset.</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and EBS contracts are cleared at third-party clearing houses.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Our customers continue to use our markets as an effective and transparent means to manage risk and meet their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Trading activity in our centralized markets has fluctuated due to the ongoing uncertainty in the financial markets,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Our industry is competitive and we continue to encounter competition in all aspects of our business. We expect competition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intensify, especially in light of ongoing regulatory reform in the financial services industry. Competition is influenced by our brand and reputation; the efficiency and security of our settlement, clearing and support services; depth and liquidity of our markets;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 The competitive environment to which we are subject is discussed in "Item 1. Business" on page 10.</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Environment. </w:t>
      </w:r>
      <w:r>
        <w:rPr>
          <w:rFonts w:ascii="Times New Roman" w:cs="Times New Roman" w:eastAsia="Times New Roman" w:hAnsi="Times New Roman"/>
          <w:sz w:val="18"/>
          <w:szCs w:val="18"/>
          <w:color w:val="auto"/>
        </w:rPr>
        <w:t>Exchange-traded derivatives have historically been subject to extensive regulation. Developments in the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Business" on page 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08" w:lineRule="exact"/>
        <w:rPr>
          <w:sz w:val="20"/>
          <w:szCs w:val="20"/>
          <w:color w:val="auto"/>
        </w:rPr>
      </w:pPr>
    </w:p>
    <w:p>
      <w:pPr>
        <w:jc w:val="both"/>
        <w:ind w:right="360"/>
        <w:spacing w:after="0" w:line="289" w:lineRule="auto"/>
        <w:rPr>
          <w:sz w:val="20"/>
          <w:szCs w:val="20"/>
          <w:color w:val="auto"/>
        </w:rPr>
      </w:pPr>
      <w:r>
        <w:rPr>
          <w:rFonts w:ascii="Times New Roman" w:cs="Times New Roman" w:eastAsia="Times New Roman" w:hAnsi="Times New Roman"/>
          <w:sz w:val="17"/>
          <w:szCs w:val="17"/>
          <w:color w:val="auto"/>
        </w:rPr>
        <w:t>Our strategy focuses on maximizing futures and options growth globally, diversifying our business and revenues, and delivering unparalleled customer efficiencies and operational excellence. This strategy allows us to continue to develop into a more broadly diversified financial exchange that provides trading and clearing solutions across a wide range of products and asset classes. Our strategic initiatives are discussed in "Item 1. Business" on page 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Clearing and transaction fees. </w:t>
      </w:r>
      <w:r>
        <w:rPr>
          <w:rFonts w:ascii="Times New Roman" w:cs="Times New Roman" w:eastAsia="Times New Roman" w:hAnsi="Times New Roman"/>
          <w:sz w:val="18"/>
          <w:szCs w:val="18"/>
          <w:color w:val="auto"/>
        </w:rPr>
        <w:t>A majority of our revenue is derived from clearing and transaction fees, which include electronic trading fees, surcharges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privately negotiated transactions and other volume-related charges for exchange-traded and over-the-counter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While volume has the most significant impact on our clearing and transaction fees revenue, there are four other factors that also influence this source of revenue:</w:t>
      </w:r>
    </w:p>
    <w:p>
      <w:pPr>
        <w:spacing w:after="0" w:line="54"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structure;</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trades executed by customers who are members compared with non-member customers.</w:t>
      </w:r>
    </w:p>
    <w:p>
      <w:pPr>
        <w:spacing w:after="0" w:line="115" w:lineRule="exact"/>
        <w:rPr>
          <w:sz w:val="20"/>
          <w:szCs w:val="20"/>
          <w:color w:val="auto"/>
        </w:rPr>
      </w:pPr>
    </w:p>
    <w:p>
      <w:pPr>
        <w:ind w:left="34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Rate structure. </w:t>
      </w:r>
      <w:r>
        <w:rPr>
          <w:rFonts w:ascii="Times New Roman" w:cs="Times New Roman" w:eastAsia="Times New Roman" w:hAnsi="Times New Roman"/>
          <w:sz w:val="18"/>
          <w:szCs w:val="18"/>
          <w:color w:val="auto"/>
        </w:rPr>
        <w:t>Customers benefit from volume discounts and limits on fees as part of our effort to increase liquidity in certain products. 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65" w:lineRule="exact"/>
        <w:rPr>
          <w:sz w:val="20"/>
          <w:szCs w:val="20"/>
          <w:color w:val="auto"/>
        </w:rPr>
      </w:pPr>
    </w:p>
    <w:p>
      <w:pPr>
        <w:ind w:left="34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We offer exchange-traded futures and options contracts as well as cleared-only interest rate swap contracts. Through our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 we also offer foreign exchange spot and forward contracts and fixed income products.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Rates are varied by product in order to optimize revenue on existing products and to encourage contract volume upon introduction of new products.</w:t>
      </w:r>
    </w:p>
    <w:p>
      <w:pPr>
        <w:spacing w:after="0" w:line="11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Venue. </w:t>
      </w:r>
      <w:r>
        <w:rPr>
          <w:rFonts w:ascii="Times New Roman" w:cs="Times New Roman" w:eastAsia="Times New Roman" w:hAnsi="Times New Roman"/>
          <w:sz w:val="18"/>
          <w:szCs w:val="18"/>
          <w:color w:val="auto"/>
        </w:rPr>
        <w:t>Our exchange and platforms are an international marketplace that brings together buyers and sellers mainly through our electronic trading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through open 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74"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66" w:lineRule="exact"/>
        <w:rPr>
          <w:sz w:val="20"/>
          <w:szCs w:val="20"/>
          <w:color w:val="auto"/>
        </w:rPr>
      </w:pPr>
    </w:p>
    <w:p>
      <w:pPr>
        <w:ind w:left="340" w:right="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Member/non-member mix. </w:t>
      </w:r>
      <w:r>
        <w:rPr>
          <w:rFonts w:ascii="Times New Roman" w:cs="Times New Roman" w:eastAsia="Times New Roman" w:hAnsi="Times New Roman"/>
          <w:sz w:val="17"/>
          <w:szCs w:val="17"/>
          <w:color w:val="auto"/>
        </w:rPr>
        <w:t>Generally, member customers are charged lower fees than our non-member customers. Holding all other factors constant,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decreases if the percentage of trades executed by members increases, and increases if the percentage of non-member trades increases.</w:t>
      </w:r>
    </w:p>
    <w:p>
      <w:pPr>
        <w:spacing w:after="0" w:line="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Clearing and transaction fees for cash markets business</w:t>
      </w:r>
      <w:r>
        <w:rPr>
          <w:rFonts w:ascii="Times New Roman" w:cs="Times New Roman" w:eastAsia="Times New Roman" w:hAnsi="Times New Roman"/>
          <w:sz w:val="18"/>
          <w:szCs w:val="18"/>
          <w:color w:val="auto"/>
        </w:rPr>
        <w:t>. Our cash markets business provides matching services whereby we match a buyer and seller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The cash markets business also includes BrokerTec Americas, which generates revenue from a matched principal business. This business serves as a fully matched counterparty to offsetting positions entered into by clients on its electronic trading platform to facilitate anonymity and access to clearing and settlement. Revenue is generated from this business generally on a transaction fee basis.</w:t>
      </w:r>
    </w:p>
    <w:p>
      <w:pPr>
        <w:spacing w:after="0" w:line="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Revenue is also derived from other sources including market data and information services and other various services related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We receive market data and information services revenue from the dissemination of our market data to subscribers.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can obtain access to our market data services either directly or through third-party distributors.</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7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 includes access and communication fees. Access and communication fees are connectivity fees charged to members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revenues include revenues from our optimization services, which include fees for risk management and information services for the over-the-counter markets, including portfolio reconciliation and post-trade processing. Revenue earned from these services is typically generated through subscriptions or transaction fees.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revenues also include fees for post-trade services, fees for collateral management, equity subscription fees and fees for trade order routing through agreements from various strategic relationships as well as other services to members and clearing firms.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5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Compensation and benefits expense is our most significant expense and includes employee wages, bonuses,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workforce.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associated with our bonus and stock-based compensation plans can also have a significant impact on this expense category.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6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fees and outside services. </w:t>
      </w:r>
      <w:r>
        <w:rPr>
          <w:rFonts w:ascii="Times New Roman" w:cs="Times New Roman" w:eastAsia="Times New Roman" w:hAnsi="Times New Roman"/>
          <w:sz w:val="18"/>
          <w:szCs w:val="18"/>
          <w:color w:val="auto"/>
        </w:rPr>
        <w:t>This expense includes fees for consulting services received on strategic and technology initiatives;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long-lived assets such as buildings,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furniture, fixtures and equipment. This expense also includes the amortization of purchased and internally developed software.</w:t>
      </w:r>
    </w:p>
    <w:p>
      <w:pPr>
        <w:spacing w:after="0" w:line="4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amortization of intangible assets obtained in our acquisitions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We incur additional ongoing expenses for communications, technology support services and various other activities necessary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w:t>
      </w:r>
    </w:p>
    <w:p>
      <w:pPr>
        <w:spacing w:after="0" w:line="51" w:lineRule="exact"/>
        <w:rPr>
          <w:sz w:val="20"/>
          <w:szCs w:val="20"/>
          <w:color w:val="auto"/>
        </w:rPr>
      </w:pPr>
    </w:p>
    <w:p>
      <w:pPr>
        <w:ind w:left="66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3"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occupancy and building operations expenses including rent, maintenance, real estate taxes, utilities and other related costs related to leased property in Chicago, New York, the U.K.,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and expenses incurred through activities outside of our core operations are considered non-operating. These activities include non-core investing and financing activities.</w:t>
      </w:r>
    </w:p>
    <w:p>
      <w:pPr>
        <w:spacing w:after="0" w:line="54" w:lineRule="exact"/>
        <w:rPr>
          <w:sz w:val="20"/>
          <w:szCs w:val="20"/>
          <w:color w:val="auto"/>
        </w:rPr>
      </w:pPr>
    </w:p>
    <w:p>
      <w:pPr>
        <w:ind w:left="660" w:right="14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as well as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6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borrowing costs expense includes charges associated with various short-term and long-term funding facilities, including commitment fees on lines of credit agreements.</w:t>
      </w:r>
    </w:p>
    <w:p>
      <w:pPr>
        <w:spacing w:after="0" w:line="26"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in net earnings (losses) of unconsolidated subsidiaries includes income and losses from our investments in S&amp;P/Dow Jones Indices LLC (S&amp;P/DJI), Shanghai CFETS-NEX International Money Broking Co., Ltd. and Dubai Mercantile Exchange.</w:t>
      </w:r>
    </w:p>
    <w:p>
      <w:pPr>
        <w:spacing w:after="0" w:line="40"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expenses related to the distribution of a portion of interest earned on performance bond collateral reinvestment to the clearing firms, gains and losses on derivative contracts as well as other various income and expenses outside our core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to our consolidated financial statements include disclosure of our significant accounting policies. In establishing these policies within the framework of accounting principles generally accepted in the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67" w:lineRule="exact"/>
        <w:rPr>
          <w:sz w:val="20"/>
          <w:szCs w:val="20"/>
          <w:color w:val="auto"/>
        </w:rPr>
      </w:pPr>
    </w:p>
    <w:p>
      <w:pPr>
        <w:ind w:left="660" w:right="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regarding the fair value of financial assets and liabilities, see note 2 of the notes to the consolidated financial statements.</w:t>
      </w:r>
    </w:p>
    <w:p>
      <w:pPr>
        <w:spacing w:after="0" w:line="11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We review goodwill for impairment on a quarterly basis and whenever events or circumstances indicate that its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 on a periodic basis.</w:t>
      </w:r>
    </w:p>
    <w:p>
      <w:pPr>
        <w:spacing w:after="0" w:line="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 is derived from the clearing and transaction fees we assess on each contract executed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 reserve is established for estimated fee adjustments to reflect corrections to customer exchange trading privileges. This reserve has historically been immaterial. The reserve is based on the historical pattern of adjustments processed as well as management's estimate of future adjustment activity.</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Calculation of the income tax provision includes an estimate of the income taxes that will be paid for the current year as well as an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 party expertise where appropriate.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8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costs. </w:t>
      </w:r>
      <w:r>
        <w:rPr>
          <w:rFonts w:ascii="Times New Roman" w:cs="Times New Roman" w:eastAsia="Times New Roman" w:hAnsi="Times New Roman"/>
          <w:sz w:val="18"/>
          <w:szCs w:val="18"/>
          <w:color w:val="auto"/>
        </w:rPr>
        <w:t>Certain internal and external costs that are incurred in connection with developing or obtaining software for internal use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We also enter into software hosting arrangements for software projects maintained in the cloud. Software development costs incurred during the planning or maintenance stages of a software project are expensed as incurred, while costs incurred during the application development stage are capitalized and are amortized over the estimated useful life of the software, which is generally two to four years, but up to eight years for certain trading and clearing applications, depending upon expected useful lives.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in our notes to the consolidated financial statements for information on newly adopted accounting pronouncements that are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years presented. For a comparison of our results of operations for the fiscal years ended December 31, 2019, see "Part II, Item 7. Management's Discussion and Analysis of Financial Condition and Results of Operations" of our Annual Report on Form 10-K for the fiscal year ended December 31, 2019 filed with the SEC on February 28,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r>
      <w:tr>
        <w:trPr>
          <w:trHeight w:val="18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4,883.6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rate</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2,105.2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CME Group</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2,715.6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2,672.8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r>
      <w:tr>
        <w:trPr>
          <w:trHeight w:val="427"/>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8"/>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18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w:t>
      </w:r>
    </w:p>
    <w:p>
      <w:pPr>
        <w:spacing w:after="0" w:line="1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209"/>
        </w:trPr>
        <w:tc>
          <w:tcPr>
            <w:tcW w:w="4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4,820.6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4,830.0</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3,384.6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3,396.3</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0.702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0.703</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estimate the following decreases in clearing and transaction fees based on a change in total contract volume and a change in average rate per contract during 2020 compared with 2019.</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due to change in total contract volume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clearing and transaction fees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Year-over-</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2020-2019</w:t>
      </w:r>
    </w:p>
    <w:p>
      <w:pPr>
        <w:spacing w:after="0" w:line="48" w:lineRule="exact"/>
        <w:rPr>
          <w:sz w:val="20"/>
          <w:szCs w:val="20"/>
          <w:color w:val="auto"/>
        </w:rPr>
      </w:pPr>
    </w:p>
    <w:p>
      <w:pPr>
        <w:ind w:left="1040" w:hanging="1040"/>
        <w:spacing w:after="0"/>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w:t>
      </w:r>
    </w:p>
    <w:p>
      <w:pPr>
        <w:spacing w:after="0" w:line="38"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p>
    <w:p>
      <w:pPr>
        <w:spacing w:after="0" w:line="43" w:lineRule="exact"/>
        <w:rPr>
          <w:sz w:val="20"/>
          <w:szCs w:val="20"/>
          <w:color w:val="auto"/>
        </w:rPr>
      </w:pPr>
    </w:p>
    <w:p>
      <w:pPr>
        <w:ind w:left="960" w:hanging="960"/>
        <w:spacing w:after="0"/>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9080" w:space="720"/>
            <w:col w:w="14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Volume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56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6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6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6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4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6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2020 when compared with 2019, overall market volatility declined following a period of very high volatility in the first quarter of 2020. During the first quarter of 2020, the Federal Reserve made the unexpected decision to lower the federal funds rate due to economic concerns from the COVID-19 pandemic, which resulted in significant volatility within the financial and equity markets. However, interest rate volatility subsided following indication by the Federal Reserve that it did not intend to raise interest rates in the foreseeable future. Equity market volatility remained high throughout 2020 as a result of the governmental and business response to the COVID-19 pandemic, as well as political uncertainty surrounding the U.S. Presidential and Congressional elections in November. In addition, heightened producer price competition within the oil markets combined with lower energy demands during the COVID-19 pandemic resulted in significant market volatility within the energy market during the first quarter of 2020. However, this volatility subsided as oil prices stabilized and demand for crude oil remained low for the remainder of 2020. We believe these factors led to the changes in volume in 2020 when compared with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5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3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Front 8 futures</w:t>
            </w:r>
          </w:p>
        </w:tc>
        <w:tc>
          <w:tcPr>
            <w:tcW w:w="3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1,311</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 32 futures</w:t>
            </w:r>
          </w:p>
        </w:tc>
        <w:tc>
          <w:tcPr>
            <w:tcW w:w="35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633</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1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3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1,058</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1,685</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3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3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2,026</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2,324</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35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1,081</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1,358</w:t>
            </w:r>
          </w:p>
        </w:tc>
        <w:tc>
          <w:tcPr>
            <w:tcW w:w="1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3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517</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749</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35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484</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3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207</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2020 when compared with 2019, overall interest rate contract volume decreased. We believe this was due to the Federal Reserve's decision to cut interest rates to near zero in early 2020 and its indication that it would not raise interest rates in the foreseeable future in response to the economic impact of the COVID-19 pandemic.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 Volume below for the year ended 2019 includes Micro-E-mini contract volumes for each index beginning on May 6, 2019, which was the date the contracts were launched.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3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3,555</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2,338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3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1,302</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592</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302</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168</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2020 when compared with 2019, equity index contract volume increased due to higher overall volatility in the equity market in 2020, particularly in the first and fourth quarters. We believe the increase in volatility was attributable to uncertainty surrounding the economic impact of governmental and business actions to combat the COVID-19 pandemic, as well as political uncertainty surrounding the U.S. presidential and congressional elections. Average daily contract volume in 2020 also included Micro-E-mini equity index contract volume of approximately 1.8 million per day compared to approximately 0.3 million per day in 2019. Micro-E-mini equity index contracts have a notional size of one-tenth of the traditional E-mini contracts.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18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123</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116</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2020 when compared with 2019, overall foreign exchange contract volume was flat, which we believe resulted from lower overall volatility. In 2020, market volatility subsided in the second half of the year following very high foreign exchange volatility in the first quarter caused by significant uncertainty surrounding the economic impacts of governmental and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actions to combat the COVID-19 pandemic. In addition, we believe foreign exchange trading declined slightly due to operational strains from stay at home orders and risk aversion by market participants during the COVID-19 pandemic.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agricultural commodity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444</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4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307</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263</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215</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Overall commodity contract volume was relatively flat in 2020 when compared with 2019. Corn contract volume decreased due to lower price volatility, which we believe was caused by large stock piles and lower demand. We believe the increase in soybean contract volume was due to an increase in demand for commodities from China.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energy products.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18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1,255</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1,329</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639</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529</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366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381</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Overall energy contract volume was relatively flat in 2020 when compared with 2019, which we believe was due to periods of high volatility in early 2020 followed by periods of low volatility as a result of governmental and business actions to combat the COVID-19 pandemic. The increase in natural gas volume is the result of significant price declines in early 2020 followed by price increases in the second half of 2020 as a result of higher demand during the winter months. This was partially offset by a decrease in crude oil volume due to a reduction in demand caused by the COVID-19 pandemic.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456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123</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w:t>
            </w: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Overall metal contract volume increased in 2020 when compared with 2019 due to an increase in metals price volatility caused by investors using gold and other precious metals as safe-haven alternative investments due to significant uncertainty within other markets caused by the COVID-19 pandemic.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Rate per Contract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average rate per contract was substantially the same in 2020 when compared with 2019. There was an increase in the average rate per contract due to a change in product mix. Interest rate contract volume decreased by 12 percentage points as a percent of total volume, while all other products collectively increased by 12 percentage points. In general, interest rate products have a lower rate per contract compared with the remaining contracts. The increase in the average rate per contract was offset by the introduction of the micro-E-mini equity index contracts in mid-2019, which have a lower average rate per contract compared with a standard E-mini contract. Micro-E-mini equity index contracts have a notional size of one-tenth of the traditional E-mini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clearing and transaction fees revenue in 2020 includes $447.4 million of transaction fees attributable to the cash markets business acquired from NEX compared with $483.0 million in 2019. This revenue primarily includes BrokerTecs's fixed income volume and EBS foreign exchange volume.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0" w:type="dxa"/>
            <w:vAlign w:val="bottom"/>
          </w:tcPr>
          <w:p>
            <w:pPr>
              <w:spacing w:after="0"/>
              <w:rPr>
                <w:sz w:val="1"/>
                <w:szCs w:val="1"/>
                <w:color w:val="auto"/>
              </w:rPr>
            </w:pPr>
          </w:p>
        </w:tc>
      </w:tr>
      <w:tr>
        <w:trPr>
          <w:trHeight w:val="33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173.2</w:t>
            </w:r>
          </w:p>
        </w:tc>
        <w:tc>
          <w:tcPr>
            <w:tcW w:w="4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191.5</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08"/>
        </w:trPr>
        <w:tc>
          <w:tcPr>
            <w:tcW w:w="4800" w:type="dxa"/>
            <w:vAlign w:val="bottom"/>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160" w:type="dxa"/>
            <w:vAlign w:val="bottom"/>
          </w:tcPr>
          <w:p>
            <w:pPr>
              <w:spacing w:after="0"/>
              <w:rPr>
                <w:sz w:val="24"/>
                <w:szCs w:val="24"/>
                <w:color w:val="auto"/>
              </w:rPr>
            </w:pP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179.3</w:t>
            </w:r>
          </w:p>
        </w:tc>
        <w:tc>
          <w:tcPr>
            <w:tcW w:w="420" w:type="dxa"/>
            <w:vAlign w:val="bottom"/>
          </w:tcPr>
          <w:p>
            <w:pPr>
              <w:spacing w:after="0"/>
              <w:rPr>
                <w:sz w:val="24"/>
                <w:szCs w:val="24"/>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191.8</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years ended 2020 and 2019 for key cash markets products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billions)</w:t>
            </w: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164.8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7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264.4</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269.6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71.5</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75.1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Overall average daily notional value for the cash markets business decreased in 2020 when compared with 2019 due to expectations of potentially low interest rates for an extended period of time and economic uncertainty surrounding the COVID-19 pandemic.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One clearing firm represented approximately 10% of our clearing and transaction fees in 2020.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In 2020 when compared with 2019, the increase in market data and information services revenue was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an increase in certain device fees, an increase in subscriber device counts and higher demand for CME Group data.</w:t>
      </w:r>
    </w:p>
    <w:p>
      <w:pPr>
        <w:spacing w:after="0" w:line="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in aggregate, approximately 35% of our market data and information services revenue in 2020.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The increase in other revenues in 2020 when compared with 2019 is largely attributable to an increase in custody fees due to a new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put in place in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2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Compared With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decreased by $34.0 million in 2020 when compared with 2019. The following table shows the estimated impact of key factors resulting in the net decrease in operating expenses.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35"/>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over-Year</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 Expenses</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fixed asset impairments</w:t>
            </w:r>
          </w:p>
        </w:tc>
        <w:tc>
          <w:tcPr>
            <w:tcW w:w="260" w:type="dxa"/>
            <w:vAlign w:val="bottom"/>
          </w:tcPr>
          <w:p>
            <w:pPr>
              <w:spacing w:after="0"/>
              <w:rPr>
                <w:sz w:val="19"/>
                <w:szCs w:val="19"/>
                <w:color w:val="auto"/>
              </w:rPr>
            </w:pPr>
          </w:p>
        </w:tc>
        <w:tc>
          <w:tcPr>
            <w:tcW w:w="116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60" w:type="dxa"/>
            <w:vAlign w:val="bottom"/>
          </w:tcPr>
          <w:p>
            <w:pPr>
              <w:spacing w:after="0"/>
              <w:rPr>
                <w:sz w:val="19"/>
                <w:szCs w:val="19"/>
                <w:color w:val="auto"/>
              </w:rPr>
            </w:pPr>
          </w:p>
        </w:tc>
        <w:tc>
          <w:tcPr>
            <w:tcW w:w="116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5"/>
              </w:rPr>
              <w:t>11.1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tcPr>
          <w:p>
            <w:pPr>
              <w:spacing w:after="0"/>
              <w:rPr>
                <w:sz w:val="19"/>
                <w:szCs w:val="19"/>
                <w:color w:val="auto"/>
              </w:rPr>
            </w:pPr>
          </w:p>
        </w:tc>
        <w:tc>
          <w:tcPr>
            <w:tcW w:w="11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5"/>
              </w:rPr>
              <w:t>17.2</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5"/>
              </w:rPr>
              <w:t>72.7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5"/>
              </w:rPr>
              <w:t>15.0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decreased in 2020 when compared with 2019 due to the following reasons:</w:t>
      </w:r>
    </w:p>
    <w:p>
      <w:pPr>
        <w:spacing w:after="0" w:line="117" w:lineRule="exact"/>
        <w:rPr>
          <w:sz w:val="20"/>
          <w:szCs w:val="20"/>
          <w:color w:val="auto"/>
        </w:rPr>
      </w:pPr>
    </w:p>
    <w:p>
      <w:pPr>
        <w:ind w:left="660" w:right="3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expenses decreased in 2020 largely due to a reduction in headcount with legacy NEX businesses in conjunction with our planned integration, as well as performance relative to our 2020 cash earnings target when compared with 2019 performance relative to our 2019 cash earnings target.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2019, we recognized higher impairment charges on certain intangibles and fixed assets due to the disposal of various businesses.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expenses decreased as a result of the company's response to the COVID-19 pandemic, with the vast majority of staff working remotely during 2020.</w:t>
      </w:r>
    </w:p>
    <w:p>
      <w:pPr>
        <w:spacing w:after="0" w:line="53" w:lineRule="exact"/>
        <w:rPr>
          <w:rFonts w:ascii="Times New Roman" w:cs="Times New Roman" w:eastAsia="Times New Roman" w:hAnsi="Times New Roman"/>
          <w:sz w:val="18"/>
          <w:szCs w:val="18"/>
          <w:color w:val="auto"/>
        </w:rPr>
      </w:pPr>
    </w:p>
    <w:p>
      <w:pPr>
        <w:ind w:right="200" w:firstLine="332"/>
        <w:spacing w:after="0" w:line="375"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expenses decreased compared with 2019 due to a reduction in planned advertising, media campaigns and special promotional events. Increases in operating expenses in 2020 when compared with 2019 were as follows:</w:t>
      </w:r>
    </w:p>
    <w:p>
      <w:pPr>
        <w:spacing w:after="0" w:line="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expenses increased during 2020 due to higher fees related to revenue sharing agreements for certain equity contracts, which resulted from an increase in volume and an increase in license rates for certain products.</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and outside services expenses increased due to higher legal fees compared to 2019, as well as professional and legal fees incurred in 2020 in connection with to our recently announced joint venture with IHS Markit.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increased due to acceleration of certain grants and the impact related to our September 2019 and 2020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637.9</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w w:val="98"/>
              </w:rPr>
              <w:t>(178.0)</w:t>
            </w:r>
          </w:p>
        </w:tc>
        <w:tc>
          <w:tcPr>
            <w:tcW w:w="2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176.8</w:t>
            </w:r>
          </w:p>
        </w:tc>
        <w:tc>
          <w:tcPr>
            <w:tcW w:w="2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8"/>
              </w:rPr>
              <w:t>(534.9)</w:t>
            </w:r>
          </w:p>
        </w:tc>
        <w:tc>
          <w:tcPr>
            <w:tcW w:w="230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101.8</w:t>
            </w:r>
          </w:p>
        </w:tc>
        <w:tc>
          <w:tcPr>
            <w:tcW w:w="2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Investment income. </w:t>
      </w:r>
      <w:r>
        <w:rPr>
          <w:rFonts w:ascii="Times New Roman" w:cs="Times New Roman" w:eastAsia="Times New Roman" w:hAnsi="Times New Roman"/>
          <w:sz w:val="17"/>
          <w:szCs w:val="17"/>
          <w:color w:val="auto"/>
        </w:rPr>
        <w:t>The decrease in investment income in 2020 when compared with 2019 was largely due to a decline in earnings from cash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bond and guaranty fund contributions that are reinvested. The decrease in earnings resulted primarily from lower rates of interest earned in the cash account at the Federal Reserve Bank of Chicago following significant interest rate cuts in early 2020 despite an increase in our average reinvestment amount.</w:t>
      </w:r>
    </w:p>
    <w:p>
      <w:pPr>
        <w:spacing w:after="0" w:line="4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and other borrowing costs. </w:t>
      </w:r>
      <w:r>
        <w:rPr>
          <w:rFonts w:ascii="Times New Roman" w:cs="Times New Roman" w:eastAsia="Times New Roman" w:hAnsi="Times New Roman"/>
          <w:sz w:val="18"/>
          <w:szCs w:val="18"/>
          <w:color w:val="auto"/>
        </w:rPr>
        <w:t>Interest and other borrowing costs were lower in 2020 when compared with 2019, primarily due to lower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on commercial paper issuances, as there were higher average balances of commercial paper outstanding during 2019 when compared with 2020. Interest and other borrowing costs were also lower during 2020 due to interest expense recognized on the €350.0 million fixed rate notes and the ¥19.1 billion term loan assumed as part of the NEX acquisition in 2018 and subsequently paid off during the first quarter of 2019.</w:t>
      </w:r>
    </w:p>
    <w:p>
      <w:pPr>
        <w:spacing w:after="0" w:line="7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S&amp;P/DJI business venture contributed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 net earnings (losses) of unconsolidated subsidiaries in 2020 when compared with 2019.</w:t>
      </w:r>
    </w:p>
    <w:p>
      <w:pPr>
        <w:spacing w:after="0" w:line="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2020 when compared with 2019, we recognized lower expense related to a reduction in the distribution of interest earned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bond collateral reinvestments to the clearing firms due to lower interest income earned on our reinvestment. In addition, a gain of $1.5 million was recognized on derivative contracts in 2020 compared with a net loss of $17.7 million in 2019.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r>
      <w:tr>
        <w:trPr>
          <w:trHeight w:val="198"/>
        </w:trPr>
        <w:tc>
          <w:tcPr>
            <w:tcW w:w="7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8"/>
        </w:trPr>
        <w:tc>
          <w:tcPr>
            <w:tcW w:w="7340" w:type="dxa"/>
            <w:vAlign w:val="bottom"/>
            <w:shd w:val="clear" w:color="auto" w:fill="CCEEFF"/>
          </w:tcPr>
          <w:p>
            <w:pPr>
              <w:jc w:val="right"/>
              <w:ind w:right="5419"/>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22.6 %</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21.3 %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2020 when compared with 2019, the effective tax rate was higher due to the recognition of additional benefits from the Internal Revenue Code Section 250 deduction in 2019. Proposed FDII Deduction regulations were released in 2019 and as a result, we revised our income tax calculations to reflect the proposed guidance. The benefit recognized in 2019 includes estimates for the deduction for 2018 and 2019, whereas the benefit recognized in 2020 only includes the deduction for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historically met our funding requirements with cash generated by our ongoing operations. However, as part of the funding for the NEX acquisition, we utilized our commercial paper program in late 2018 and through the beginning of the second quarter of 2020 for short-term funding requirements.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8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7"/>
          <w:szCs w:val="17"/>
          <w:color w:val="auto"/>
        </w:rPr>
        <w:t>Future capital expenditures for technology are anticipated as we continue to support our growth through increased system capacity, performance improvements, integration of acquired platforms as well as improvements to some of our office spaces. Each year, capital expenditures are incurred for improvements to and modification of our offices, remote data centers, telecommunications network and other operating equipment. In 2021, we expect capital expenditures to total approximately $180.0 million to $190.0 million, net of any leasehold improvement allowances and any one-time costs associated with the NEX integration. We continue to monitor our capital needs and may revise our forecasted expenditures as necessary in the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also limit our ability to declare and pay dividends. On February 3, 2021 the board of directors declared a regular quarterly dividend of $0.90 per share. The dividend will be payable on March 25, 2021 to shareholders of record on March 10, 2021. Assuming no changes in the number of shares outstanding, the first quarter dividend payment will total approximately $322.0 million. The board of directors also declared an additional, annual variable dividend of $2.50 per share on December 10, 2020 paid on January 13, 2021 to the shareholders of record on December 28, 2020. In general, the amount of the annual variable dividend will be determined by the end of each year,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from operating, investing and financing activities.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8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2020-2019</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2,715.6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2,672.8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(152.6)</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(2,340.8)</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relatively flat in 2020 compared with 2019.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in 2020 compared with 2019 was largely due to a decrease in cash proceeds received on sales of certain privately-held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higher in 2020 when compared with 2019 due to an increase in the amount of cash dividends paid. The increase in cash used in financing activities was partially offset by a reduction in the amount of outstanding debt repayments in 2020 compared with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outstanding as of 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28"/>
        </w:trPr>
        <w:tc>
          <w:tcPr>
            <w:tcW w:w="7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Fixed rate notes due September 2022, stated rate of 3.00%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May 2023, stated rate of 4.30%</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(2)</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(3)</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40" w:hanging="328"/>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on the notes effectively became fixed at a rate of 3.32%.</w:t>
      </w:r>
    </w:p>
    <w:p>
      <w:pPr>
        <w:spacing w:after="0" w:line="56" w:lineRule="exact"/>
        <w:rPr>
          <w:rFonts w:ascii="Times New Roman" w:cs="Times New Roman" w:eastAsia="Times New Roman" w:hAnsi="Times New Roman"/>
          <w:sz w:val="16"/>
          <w:szCs w:val="16"/>
          <w:color w:val="auto"/>
        </w:rPr>
      </w:pPr>
    </w:p>
    <w:p>
      <w:pPr>
        <w:ind w:left="660" w:right="140" w:hanging="328"/>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56" w:lineRule="exact"/>
        <w:rPr>
          <w:rFonts w:ascii="Times New Roman" w:cs="Times New Roman" w:eastAsia="Times New Roman" w:hAnsi="Times New Roman"/>
          <w:sz w:val="16"/>
          <w:szCs w:val="16"/>
          <w:color w:val="auto"/>
        </w:rPr>
      </w:pPr>
    </w:p>
    <w:p>
      <w:pPr>
        <w:ind w:left="660" w:right="580" w:hanging="328"/>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our discretion and, if necessary, for maturities of commercial paper. As long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the outstanding commercial paper balance is backstopped against this facility.</w:t>
      </w:r>
    </w:p>
    <w:p>
      <w:pPr>
        <w:spacing w:after="0" w:line="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a clearing firm fails to promptly discharge an obligation to CME Clearing, in the event of a liquidity constraint or default by a depository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December 31, 2020, guaranty fund contributions available to collateralize the facility totaled $8.0 billion. We have the option to request an increase in the line from $7.0 billion to $10.0 billion. Our 364-day facility contains a requirement that CME remains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73"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$2.4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2020, we have excess borrowing capacity for general corporate purposes of approximately $2.4 billion under our multi-currency revolving senior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CME-owned U.S. Treasury securities or U.S. dollars in lieu of, or in combination with, irrevocable letters of credit. At December 31, 2020, we had pledged letters of credit totaling $310.0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68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Times New Roman" w:cs="Times New Roman" w:eastAsia="Times New Roman" w:hAnsi="Times New Roman"/>
                <w:sz w:val="18"/>
                <w:szCs w:val="18"/>
                <w:color w:val="auto"/>
                <w:w w:val="99"/>
              </w:rPr>
              <w:t>A1+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680" w:type="dxa"/>
            <w:vAlign w:val="bottom"/>
          </w:tcPr>
          <w:p>
            <w:pPr>
              <w:jc w:val="center"/>
              <w:ind w:left="2079"/>
              <w:spacing w:after="0"/>
              <w:rPr>
                <w:sz w:val="20"/>
                <w:szCs w:val="20"/>
                <w:color w:val="auto"/>
              </w:rPr>
            </w:pPr>
            <w:r>
              <w:rPr>
                <w:rFonts w:ascii="Times New Roman" w:cs="Times New Roman" w:eastAsia="Times New Roman" w:hAnsi="Times New Roman"/>
                <w:sz w:val="18"/>
                <w:szCs w:val="18"/>
                <w:color w:val="auto"/>
              </w:rPr>
              <w:t>P1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Management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and cash equivalents totaled $1.6 billion at December 31, 2020 and December 31, 2019.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on the consolidated balance sheets.</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an additional contribution may be necessary in 2021 to meet our funding goal. However, the amount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actual contribution is contingent on various factors, including the actual rate of return on our plan assets during 2021 and the December 31, 2021 discount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CME is regulated by the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broker-dealer in November 2017 following notification to FINRA and the SEC. A company operating under the (k)(2)(i) exemption is not required to lock up customer funds as would otherwise be required under Rule 15c3-3 of the Exchange Act.</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Debt outstanding at December 31, 2020 consisted of fixed-rate borrowings of $3.4 billion (in U.S. dollar equivalent). Changes in interest rates impact the fair values of fixed-rate debt, but do not impact earnings or cash flows. We did not have any variable-rate borrowings at December 31,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CME Clearing House</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clearing house acts as the counterparty to all trades consummated on our exchanges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8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two separate financial safeguard packages:</w:t>
      </w:r>
    </w:p>
    <w:p>
      <w:pPr>
        <w:spacing w:after="0" w:line="117" w:lineRule="exact"/>
        <w:rPr>
          <w:sz w:val="20"/>
          <w:szCs w:val="20"/>
          <w:color w:val="auto"/>
        </w:rPr>
      </w:pPr>
    </w:p>
    <w:p>
      <w:pPr>
        <w:ind w:left="660" w:right="40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all futures, options and over-the-counter swap contracts other than cleared interest rate swap contracts (base package);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interest rate swap contracts.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$2.4 billion multi-currency revolving senior credit facility to provide liquidity for our clearing house in the unlikely event of default.</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December 31, 2020, aggregate performance bond deposits for clearing firms for both financial safeguard packages was $211.9 billion including cash performance bond deposits, non-cash deposits, Interest Earnings Facility funds and letters of credit. A defaulting firm's performance bond deposits can be used in the event of default of that clearing firm.</w:t>
      </w:r>
    </w:p>
    <w:p>
      <w:pPr>
        <w:spacing w:after="0" w:line="68"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color w:val="auto"/>
        </w:rPr>
        <w:t>The following shows the available assets at December 31, 2020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7"/>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7" w:lineRule="exact"/>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89"/>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Designated corporate contributions for futures and options</w:t>
            </w:r>
            <w:r>
              <w:rPr>
                <w:rFonts w:ascii="Times New Roman" w:cs="Times New Roman" w:eastAsia="Times New Roman" w:hAnsi="Times New Roman"/>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660" w:right="20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2" w:lineRule="exact"/>
        <w:rPr>
          <w:rFonts w:ascii="Times New Roman" w:cs="Times New Roman" w:eastAsia="Times New Roman" w:hAnsi="Times New Roman"/>
          <w:sz w:val="16"/>
          <w:szCs w:val="16"/>
          <w:color w:val="auto"/>
        </w:rPr>
      </w:pPr>
    </w:p>
    <w:p>
      <w:pPr>
        <w:ind w:left="660" w:right="14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 w:lineRule="exact"/>
        <w:rPr>
          <w:rFonts w:ascii="Times New Roman" w:cs="Times New Roman" w:eastAsia="Times New Roman" w:hAnsi="Times New Roman"/>
          <w:sz w:val="16"/>
          <w:szCs w:val="16"/>
          <w:color w:val="auto"/>
        </w:rPr>
      </w:pPr>
    </w:p>
    <w:p>
      <w:pPr>
        <w:ind w:left="660" w:right="100" w:hanging="652"/>
        <w:spacing w:after="0" w:line="253"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interest rate swap financial safeguard package at December 31, 2020 in the event of a payment default by a clearing firm that clears interest rate swap contracts, after first utilizing the defaulting firm's available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tcPr>
          <w:p>
            <w:pPr>
              <w:spacing w:after="0"/>
              <w:rPr>
                <w:sz w:val="13"/>
                <w:szCs w:val="13"/>
                <w:color w:val="auto"/>
              </w:rPr>
            </w:pP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Designated corporate contributions for interest rate swap contracts</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80" w:hanging="652"/>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for interest rate swap contracts include guaranty fund contributions required of those clearing firms.</w:t>
      </w:r>
    </w:p>
    <w:p>
      <w:pPr>
        <w:spacing w:after="0" w:line="59" w:lineRule="exact"/>
        <w:rPr>
          <w:rFonts w:ascii="Times New Roman" w:cs="Times New Roman" w:eastAsia="Times New Roman" w:hAnsi="Times New Roman"/>
          <w:sz w:val="16"/>
          <w:szCs w:val="16"/>
          <w:color w:val="auto"/>
        </w:rPr>
      </w:pPr>
    </w:p>
    <w:p>
      <w:pPr>
        <w:ind w:left="660" w:right="40" w:hanging="652"/>
        <w:spacing w:after="0" w:line="258"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 Assessment powers are calculated to reflected the potential obligation that each clearing member could be called for based on potential failure of the third and fourth largest clearing.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BrokerTec Americas Matched Principal Business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2020, the balance of the collateral at FICC was $100.1 million, which was included in other current assets on the consolidated balance sheet.</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 counterparty fails to meet its obligations. If that were to occur, BrokerTec Americas would have the right to cover or liquidate the open position but could incur a loss as a result of market movements.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Risk</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Aggregate transaction losses for 2020, 2019 and 2018 were $9.3 million, $7.2 million and $73.6 million, respectively. We expect the foreign currency gain/loss to continue to fluctuate as long as we continue to hold monetary assets and liabilities at those subsidiaries. Brexit continues to generate economic and political uncertainty throughout the world, particularly throughout the U.K. and the E.U. This uncertainty could potentially lead to significant volatility with foreign currency exchange rates, which could result in additional foreign currency gain/loss.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Risk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foreign currency translation risk related to the translation of our foreign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2020, 2019 and 2018 were $134.3 million, $(0.6) million and $(2.5)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 Related to Customer Collateral</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$5.4 and $3.4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(includes $4.7 and $4.3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(includes $0.6 and $0.9 in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124,659.6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75,215.3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37,075.8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49,056.0</w:t>
            </w:r>
          </w:p>
        </w:tc>
        <w:tc>
          <w:tcPr>
            <w:tcW w:w="0" w:type="dxa"/>
            <w:vAlign w:val="bottom"/>
          </w:tcPr>
          <w:p>
            <w:pPr>
              <w:spacing w:after="0"/>
              <w:rPr>
                <w:sz w:val="1"/>
                <w:szCs w:val="1"/>
                <w:color w:val="auto"/>
              </w:rPr>
            </w:pPr>
          </w:p>
        </w:tc>
      </w:tr>
      <w:tr>
        <w:trPr>
          <w:trHeight w:val="129"/>
        </w:trPr>
        <w:tc>
          <w:tcPr>
            <w:tcW w:w="8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10,000 shares authorized as of December 31, 2020 and 2019; none issued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as of December 31, 2020 and 2019,</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358,110 and 357,469 shares issued and outstanding as of December 31, 2020 and 2019, respectively</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December 31,</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 and 2019</w:t>
            </w: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26,159.3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75,215.3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4,309.4</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r>
      <w:tr>
        <w:trPr>
          <w:trHeight w:val="108"/>
        </w:trPr>
        <w:tc>
          <w:tcPr>
            <w:tcW w:w="6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CME Group: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342,344</w:t>
            </w:r>
          </w:p>
        </w:tc>
      </w:tr>
      <w:tr>
        <w:trPr>
          <w:trHeight w:val="234"/>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343,737</w:t>
            </w:r>
          </w:p>
        </w:tc>
      </w:tr>
    </w:tbl>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and prior service costs included in compensation</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benefits expense</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75"/>
        </w:trPr>
        <w:tc>
          <w:tcPr>
            <w:tcW w:w="72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 included in</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loss included in other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CME Group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2" w:name="page53"/>
    <w:bookmarkEnd w:id="52"/>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1"/>
                <w:szCs w:val="11"/>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 stock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per share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adoption of standards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update on tax effects related to</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and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recognition</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to</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 the acquisition of NEX</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Non-controlling interest resulting</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the acquisition of NEX</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issued restricted Class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common stock</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to Board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356,824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06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06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Pr>
          <w:p>
            <w:pPr>
              <w:spacing w:after="0"/>
              <w:rPr>
                <w:sz w:val="11"/>
                <w:szCs w:val="11"/>
                <w:color w:val="auto"/>
              </w:rPr>
            </w:pPr>
          </w:p>
        </w:tc>
        <w:tc>
          <w:tcPr>
            <w:tcW w:w="92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1"/>
                <w:szCs w:val="11"/>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25,918.5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2,116.5</w:t>
            </w:r>
          </w:p>
        </w:tc>
        <w:tc>
          <w:tcPr>
            <w:tcW w:w="20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 stock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per share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adoption of standards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on leasing</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non-controlling</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due to measurement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adjustments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issued restricted Class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common stock</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to Board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357,469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26,128.9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26,159.3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CME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1"/>
                <w:szCs w:val="11"/>
                <w:color w:val="auto"/>
              </w:rPr>
            </w:pP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26,159.3</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 stock of</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(2,117.7)</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 per share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adoption of</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accounting standards</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on credit losses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issued restricted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to Board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on assets held for sale and impaired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(Gain)/Loss on derivative contracts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and unrealized (gains)/losses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Undistributed earnings, net of losses, of unconsolidated subsidiaries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w:t>
            </w:r>
          </w:p>
        </w:tc>
      </w:tr>
      <w:tr>
        <w:trPr>
          <w:trHeight w:val="88"/>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acquire NEX, net of cash received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issuance of commercial paper,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other borrowings,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settlement of (premium payment for) derivative contract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Common stock issued for the acquisition of NEX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Declaration of annual variable dividend, payable in January 2021, January 2020 and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January 2019</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CME Group Inc. (CME Group) exchanges offer the widest range of global benchmark products across all major asset classes based on interest rates, equity indexes, foreign exchange (FX), agricultural, energy and metal commodities. We offer futures and options trading across asset classes through the CME Globex platform, cash and repo fixed income trading via BrokerTec, and cash and OTC FX trading via EBS. In addition, it operates one of the world’s leading central counterparty clearing houses. CME Group offers clearing, settlement and guarantees for all products cleared through the clearing house.</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Effective November 2, 2018, CME Group completed its acquisition of NEX Group plc (NEX). NEX offers electronic trade execution platforms for the foreign exchange and fixed income over-the-counter markets as well as other services across the transaction lifecycle, including trade and portfolio management and portfolio compression. The financial statements and accompanying notes presented in this report include the financial results of NEX and its subsidiaries beginning on November 3,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consolidated financial statements are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and include the accounts of the company and its subsidiaries. All intercompany transactions and balances have been eliminated.</w:t>
      </w:r>
    </w:p>
    <w:p>
      <w:pPr>
        <w:spacing w:after="0" w:line="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and highly liquid investments with a maturity of three months or less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w:t>
      </w:r>
    </w:p>
    <w:p>
      <w:pPr>
        <w:spacing w:after="0" w:line="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Investments. </w:t>
      </w:r>
      <w:r>
        <w:rPr>
          <w:rFonts w:ascii="Times New Roman" w:cs="Times New Roman" w:eastAsia="Times New Roman" w:hAnsi="Times New Roman"/>
          <w:sz w:val="18"/>
          <w:szCs w:val="18"/>
          <w:color w:val="auto"/>
        </w:rPr>
        <w:t>The company maintains short-term and long-term investments, classified as equity method investments,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available-for-sale debt securities,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and equity securities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Also, the company maintains long-term investments accounted for under the equity method, which requires that the company recognize its share of net income (loss) in the investee as an adjustment to the carrying amount of the investment each reporting period.</w:t>
      </w:r>
    </w:p>
    <w:p>
      <w:pPr>
        <w:spacing w:after="0" w:line="8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at least quarterly as well as whenever facts or circumstances exist which indicate that the carrying value of the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securities that are deemed to be other-than-temporary are charged to earnings as a realized loss.</w:t>
      </w:r>
    </w:p>
    <w:p>
      <w:pPr>
        <w:spacing w:after="0" w:line="6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uses a three-level classification hierarchy of fair value measurements that establishes the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Derivative Investments. </w:t>
      </w:r>
      <w:r>
        <w:rPr>
          <w:rFonts w:ascii="Times New Roman" w:cs="Times New Roman" w:eastAsia="Times New Roman" w:hAnsi="Times New Roman"/>
          <w:sz w:val="18"/>
          <w:szCs w:val="18"/>
          <w:color w:val="auto"/>
        </w:rPr>
        <w:t>The company occasionally uses derivative instruments to limit exposure to changes in interest rates and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Derivatives are recorded at fair value on the consolidated balance sheets. For those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derivatives that meet the criteria for hedge accounting and are classified as effective cash flow hedges, changes in the fair value of the hedges are deferred in accumulated other comprehensive income. Any realized gains and losses from effective hedges are classified within the same financial statement line item on the consolidated statements of income as the hedge risk. For any hedges no longer deemed effective or for which hedge accounting is not applied, changes in fair value of the derivative instruments are recognized in earnings immediately within other non-operating income (expense). There were no outstanding derivative instruments at December 31, 2020.</w:t>
      </w: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comprised of trade receivables and unbilled revenue. All accounts receivable are stated at net realizable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Bonds and Guaranty Fund Contributions. </w:t>
      </w:r>
      <w:r>
        <w:rPr>
          <w:rFonts w:ascii="Times New Roman" w:cs="Times New Roman" w:eastAsia="Times New Roman" w:hAnsi="Times New Roman"/>
          <w:sz w:val="18"/>
          <w:szCs w:val="18"/>
          <w:color w:val="auto"/>
        </w:rPr>
        <w:t>Performance bonds and guaranty fund contributions held for clearing firms may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securities or other non-cash deposits.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CME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Property is stated at cost, less accumulated depreciation and amortization. Depreciation and amortization are calculated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 but up to eight years for certain trading and clearing applications, depending upon expected useful lives.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accounts for our leases of office space as operating leases. Landlord allowances are recorded as a direct reduction to the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asset, which is reported in other assets and amortized to rent expense over the term of the lease. 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the net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reviews goodwill and indefinite-lived intangible assets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accounts for business combinations using the acquisition method. The method requires the acquirer to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The company recognizes the funded status of defined benefit postretirement plans on its consolidated balance sheets.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6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Foreign currency denominated assets and liabilities are re-measured into the functional currency using period-end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Gains and losses from foreign currency transactions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recognition policies for specific sources of revenue are discussed below.</w:t>
      </w:r>
    </w:p>
    <w:p>
      <w:pPr>
        <w:spacing w:after="0" w:line="119"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execution, clearing, trading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when a buy and sell order are matched.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80"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earned for the dissemination of market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72" w:lineRule="exact"/>
        <w:rPr>
          <w:sz w:val="20"/>
          <w:szCs w:val="20"/>
          <w:color w:val="auto"/>
        </w:rPr>
      </w:pPr>
    </w:p>
    <w:p>
      <w:pPr>
        <w:jc w:val="both"/>
        <w:ind w:left="4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include access and communication fees, fees for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as well as other services to customers. Revenue is recognized as services are provided.</w:t>
      </w:r>
    </w:p>
    <w:p>
      <w:pPr>
        <w:spacing w:after="0" w:line="65"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Revenue. </w:t>
      </w:r>
      <w:r>
        <w:rPr>
          <w:rFonts w:ascii="Times New Roman" w:cs="Times New Roman" w:eastAsia="Times New Roman" w:hAnsi="Times New Roman"/>
          <w:sz w:val="18"/>
          <w:szCs w:val="18"/>
          <w:color w:val="auto"/>
        </w:rPr>
        <w:t>One clearing firm represented at least 10% of the company's clearing and transaction fee revenue in 2020. No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 represented at least 10% of our clearing and transaction fees in 2019. One clearing firm represented 10% of the company's clearing and transaction fee revenue in 2018.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The two largest resellers of market data represented approximately 35% of market data and information services revenue in 2020, 37% in 2019, and 41% in 2018.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The company accounts for share-based payments at fair value, which is based on the grant date price of the equity awards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Marketing Costs. </w:t>
      </w:r>
      <w:r>
        <w:rPr>
          <w:rFonts w:ascii="Times New Roman" w:cs="Times New Roman" w:eastAsia="Times New Roman" w:hAnsi="Times New Roman"/>
          <w:sz w:val="18"/>
          <w:szCs w:val="18"/>
          <w:color w:val="auto"/>
        </w:rPr>
        <w:t>Marketing costs are incurred for the production and communication of advertising as well as other marketing activities. These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expensed when incurred, except for costs related to the production of broadcast advertising, which are expensed when the first broadcast occurs.</w:t>
      </w:r>
    </w:p>
    <w:p>
      <w:pPr>
        <w:spacing w:after="0" w:line="4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arise from temporary differences between the tax basis and book basis of assets and liabilities. A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6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The company reports the results of its operations as one operating segment primarily comprised of the businesses of CME, CBOT,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NYMEX, COMEX and NEX. The individual operations of the company do not meet the thresholds for reporting separate segment information.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Newly Adopted Accounting Policies. </w:t>
      </w:r>
      <w:r>
        <w:rPr>
          <w:rFonts w:ascii="Times New Roman" w:cs="Times New Roman" w:eastAsia="Times New Roman" w:hAnsi="Times New Roman"/>
          <w:sz w:val="18"/>
          <w:szCs w:val="18"/>
          <w:color w:val="auto"/>
        </w:rPr>
        <w:t>The company adopted the following accounting policies during 2020:</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In June 2016, the FASB issued guidance that changes how credit losses are measured for most financial assets measured at amortized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company implemented this standard on January 1, 2020 by recognizing an immaterial cumulative-effect adjustment to the beginning balance of retained earnings.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not experienced significant levels of underpayment or nonpayment by customers and does not expect changes to this trend over the payment terms of our receivables. Exposure to losses on receivables for clearing and transaction fees and other amounts owed by clearing and trading firms is dependent on each firm's financial condition. With respect to clearing firms, the company's credit loss exposure is mitigated by the memberships that collateralize fees owed to the company. The allowance for credit losses on accounts receivable is calculated by evaluating the aging of the company's billings by revenue stream: clearing and transaction, market data, and other. This aging assessment, as well as contemplation of current and anticipated economic factors, including the interest rate environment and pricing levels are the primary considerations that most significantly impact the collectability of accounts receivable. The allowance for accounts receivable is $5.4 million at December 31, 2020.</w:t>
      </w:r>
    </w:p>
    <w:p>
      <w:pPr>
        <w:spacing w:after="0" w:line="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Defined Pension and Other Postretirement Plans. </w:t>
      </w:r>
      <w:r>
        <w:rPr>
          <w:rFonts w:ascii="Times New Roman" w:cs="Times New Roman" w:eastAsia="Times New Roman" w:hAnsi="Times New Roman"/>
          <w:sz w:val="18"/>
          <w:szCs w:val="18"/>
          <w:color w:val="auto"/>
        </w:rPr>
        <w:t>In August 2018, the FASB issued a standards update that modifies the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employers that sponsor defined pension or other postretirement plans. The guidance clarifies certain existing disclosures and expands the requirements for others. Disclosures that are not considered cost beneficial are removed by the update. Also, there is a new disclosure requirement to include an explanation of the reasons for significant gains and losses related to changes in the benefit obligation for the period. This guidance is effective for reporting periods ending after December 15, 2020. Adoption of this guidance in December 2020 did not have a material financial statement impact as the changes are disclosure-related only. The company has amended its employee benefit plan disclosures to incorporate the new guidance in footnote 11 of this report.</w:t>
      </w:r>
    </w:p>
    <w:p>
      <w:pPr>
        <w:spacing w:after="0" w:line="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2019, the FASB issued an accounting update that is intended to reduce cost and complexity related to accounting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The update removes specific exceptions to the general principles for accounting for income taxes. Specifically, it eliminates the need for an entity to analyze whether the following exceptions apply in a given period: incremental approach for intraperiod tax allocation, accounting basis differences when there are ownership changes in foreign investments, and interim period income tax accounting for year-to-date losses that exceed anticipated losses. The update also simplifies the accounting for the following: franchise taxes that are partially based on income, transactions with a government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that result in a step up in the tax basis of goodwill, separate financial statements of legal entities that are not subject to tax, and enacted changes in tax laws in interim periods. This update is effective for reporting periods beginning after December 15, 2020. The company early adopted this standard on January 1, 2020. The impact of adoption of this standard was immaterial to the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 has equity securities, available-for-sale debt securities and mutual funds classified as marketable securities on our consolidated balance sheets. The amortized cost and fair value of equity securities and available-for-sale debt securities at December 31, 2020 and 2019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center"/>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1"/>
                <w:szCs w:val="11"/>
                <w:color w:val="auto"/>
              </w:rPr>
            </w:pPr>
          </w:p>
        </w:tc>
        <w:tc>
          <w:tcPr>
            <w:tcW w:w="1100" w:type="dxa"/>
            <w:vAlign w:val="bottom"/>
          </w:tcPr>
          <w:p>
            <w:pPr>
              <w:jc w:val="right"/>
              <w:ind w:right="496"/>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Corporate debt securities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security</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corporate debt securities are maintained for a non-qualified retirement and benefit plan under the COMEX Members' Recognition and Retention Plan (MRRP) (note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p>
    <w:p>
      <w:pPr>
        <w:spacing w:after="0" w:line="9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Net unrealized gains (losses) on marketable debt securities classified as available-for-sale are reported as a component of other comprehensive income (loss) and included on the accompanying consolidated statements of comprehensive income and consolidated statements of equity. Changes in the fair value of equity securities are recognized within investment income on the consolidated statements of income.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and gross unrealized losses of our asset-backed security was $0.3 million and $0.2 million, respectively, at December 31, 2020. The asset-backed security was in an unrealized loss position at December 31, 2020 and was deemed not to be other-than-temporarily impaired. The company does not intend to sell and is not required to sell these securities prior to maturity.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corporate debt securities and asset-backed security at December 31, 2020, by contractual maturity,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one year or less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 between one and five years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between five and ten years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Maturity greater than ten years</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additional investments in a diverse portfolio of mutual funds related to its non-qualified deferred compensation plans (note 11). These securities are classified as trading securities. The fair value of these securities was $82.6 million and $66.1 million at December 31, 2020 and 2019,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electronic trading fees and brokerage commissions, surcharges for privately-negotiated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We also have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2020, 2019 and 2018:</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and credit default swap</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markets business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3,561.5</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Upfront customer payments are recognized as revenue over time as the obligations under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contracts are satisfied. Changes in the contract liability balances during 2020 were not materially impacted by any other factors. Contract liabilities are presented within other current liabilities. The balance of contract liabilities was $37.3 million and $42.6 million as of December 31, 2020 and 2019,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PERFORMANCE BONDS AND GUARANTY FUND CONTRIBUTIONS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positions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clearing firm is required to deposit and maintain balances in the form of cash, U.S. government securities, certain foreign government securities, bank letters of credit or other approved collateral investments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collateral investment choices available to clearing firms and changes in the amount of contributions required.</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clearing house marks-to-market open positions at least once a day (twice a day for futures and options contracts), and requires payment from clearing firms whose positions have lost value and make payments to clearing firms whose positions have gained value. The clearing house has the capability to mark-to-market more frequently as market conditions warrant.</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Under the extremely unlikely scenario of simultaneous default by every clearing firm who has open positions with unrealized losses, the maximum exposure at the time of default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The clearing firms' collateral requirements are sized to cover at least one day of anticipated price movements. During 2020, the clearing house transferred an average of approximately $4.7 billion a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day of anticipated price movements. For cleared swap products, the clearing firms' collateral requirements are sized to cover at least five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2020.</w:t>
      </w:r>
    </w:p>
    <w:p>
      <w:pPr>
        <w:spacing w:after="0" w:line="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2020 and 2019, performance bond and guaranty fund contribution assets on the consolidated balance sheets included cash as well as U.S. government agency securities with maturity dates of 90 days or less. U.S. government agency securities are purchased by the clearing house, at its discretion, using cash collateral. The benefits, including interest earned, and risks of ownership accrue to the clearing house. Interest earned is included in investment income on the consolidated statements of income. The U.S. government agency securities held at December 31, 2019 matured during the first quarter of 2020. These securities are marked to fair value on the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these securities at December 31, 2020 and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tcPr>
          <w:p>
            <w:pPr>
              <w:spacing w:after="0"/>
              <w:rPr>
                <w:sz w:val="16"/>
                <w:szCs w:val="16"/>
                <w:color w:val="auto"/>
              </w:rPr>
            </w:pPr>
          </w:p>
        </w:tc>
      </w:tr>
      <w:tr>
        <w:trPr>
          <w:trHeight w:val="18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898.2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r>
    </w:tbl>
    <w:p>
      <w:pPr>
        <w:spacing w:after="0" w:line="19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by the Financial Stability Oversight Council and is authorized to maintain cash accounts at the Federal Reserve Bank of Chicago. At December 31, 2020 and 2019, the clearing house maintained $76.3 billion and $22.9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the clearing house would make a demand for payment pursuant to any applicable guarantee, if any, provided to it by the parent company of the clearing firm.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the clearing house would make a demand for payment pursuant to any applicable guarantee, if any, provided to it by the parent company of the clearing firm.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2020, guaranty fund contributions available for clearing firms were $8.0 billion. CME has the option to request an increase in the line from $7.0 billion to $10.0 billion, subject to the approval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participating banks. In addition to the 364-day fully secured, committed multi-currency line of credit, the company also has the option to use the $2.4 billion multi-currency revolving senior credit facility to provide liquidity for the clearing house in the unlikely event of default.</w:t>
      </w:r>
    </w:p>
    <w:p>
      <w:pPr>
        <w:spacing w:after="0" w:line="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clearing house is required under the Commodity Exchange Act in the U.S. to segregate cash and securities deposited by clearing firms from its customers. In addition, the clearing house requires segregation of all funds deposited by its clearing firms from operating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non-cash deposits held as performance bonds and guaranty fund contributions at fair value at December 31, 2020 and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Non-Cash</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58"/>
              <w:spacing w:after="0" w:line="134" w:lineRule="exact"/>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116,462.7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Cross-margin arrangements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bond collateral for delivery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124,156.6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IEF funds include customer-directed investments in IEF funds that are not included on the consolidated balance sheets.</w:t>
      </w:r>
    </w:p>
    <w:p>
      <w:pPr>
        <w:spacing w:after="0" w:line="10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Cross-margin arrangements include collateral for the cross-margin accounts with OCC and FICC.</w:t>
      </w:r>
    </w:p>
    <w:p>
      <w:pPr>
        <w:spacing w:after="0" w:line="1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performance bonds may include intraday settlement, if any, that is owed to the clearing firms and paid the following business day. The balance of intraday settlements was $134.7 million and $133.8 million at December 31, 2020 and 2019, respectively. Intraday settlements may be invested on an overnight basis and are offset by an equal liability owed to clearing firms.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cash, securities and other non-cash deposits, irrevocable letters of credit may be used as performance bond deposits for clearing firms. At December 31, 2020 and 2019 these letters of credit, which are not included in the accompanying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cash, securities and letters of credit posted as performance bonds are only available to meet the financial obligations of that clearing firm to the clearing house.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property accounts at December 31, 2020 and 2019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6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60" w:type="dxa"/>
            <w:vAlign w:val="bottom"/>
            <w:shd w:val="clear" w:color="auto" w:fill="CCEEFF"/>
          </w:tcPr>
          <w:p>
            <w:pPr>
              <w:jc w:val="center"/>
              <w:ind w:left="33"/>
              <w:spacing w:after="0" w:line="228" w:lineRule="exact"/>
              <w:rPr>
                <w:sz w:val="20"/>
                <w:szCs w:val="20"/>
                <w:color w:val="auto"/>
              </w:rPr>
            </w:pPr>
            <w:r>
              <w:rPr>
                <w:rFonts w:ascii="Times New Roman" w:cs="Times New Roman" w:eastAsia="Times New Roman" w:hAnsi="Times New Roman"/>
                <w:sz w:val="18"/>
                <w:szCs w:val="18"/>
                <w:color w:val="auto"/>
                <w:w w:val="94"/>
              </w:rPr>
              <w:t xml:space="preserve">10 - 20 years </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6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3 - 39 years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6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3 - 19 years</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6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2 - 7 years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6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2 - 4 years</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Estimated useful life applies only to land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2020 and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4"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20" w:type="dxa"/>
            <w:vAlign w:val="bottom"/>
          </w:tcPr>
          <w:p>
            <w:pPr>
              <w:jc w:val="right"/>
              <w:ind w:right="174"/>
              <w:spacing w:after="0" w:line="134"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30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4,225.5</w:t>
            </w:r>
          </w:p>
        </w:tc>
        <w:tc>
          <w:tcPr>
            <w:tcW w:w="4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3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Assets—Other, Net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1"/>
        </w:trPr>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0" w:hanging="652"/>
        <w:spacing w:after="0" w:line="254"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originally assigned useful lives for the amortizable intangible assets as of December 31, 2020 are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5 - 9 years</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3 - 24.5 years</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$311.2 million, $314.7 million and $130.0 million for the years ended December 31, 2020, 2019 and 2018, respectively. As of December 31, 2020, the future estimated amortization expense related to amortizable intangible assets is expected to be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9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w:t>
            </w: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years ended December 31, 2020 and 2019</w:t>
      </w:r>
      <w:r>
        <w:rPr>
          <w:rFonts w:ascii="Times New Roman" w:cs="Times New Roman" w:eastAsia="Times New Roman" w:hAnsi="Times New Roman"/>
          <w:sz w:val="16"/>
          <w:szCs w:val="16"/>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vMerge w:val="restart"/>
          </w:tcPr>
          <w:p>
            <w:pPr>
              <w:jc w:val="right"/>
              <w:ind w:right="317"/>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56"/>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520" w:type="dxa"/>
            <w:vAlign w:val="bottom"/>
            <w:tcBorders>
              <w:top w:val="single" w:sz="8" w:color="auto"/>
            </w:tcBorders>
            <w:vMerge w:val="restart"/>
          </w:tcPr>
          <w:p>
            <w:pPr>
              <w:jc w:val="right"/>
              <w:ind w:right="317"/>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56"/>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5"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activity includes currency translation adjustments and measurement period adjustments, including adjustments to intangible assets, fixed assets, other assets and</w:t>
      </w:r>
    </w:p>
    <w:p>
      <w:pPr>
        <w:spacing w:after="0" w:line="23" w:lineRule="exact"/>
        <w:rPr>
          <w:rFonts w:ascii="Times New Roman" w:cs="Times New Roman" w:eastAsia="Times New Roman" w:hAnsi="Times New Roman"/>
          <w:sz w:val="16"/>
          <w:szCs w:val="16"/>
          <w:color w:val="auto"/>
        </w:rPr>
      </w:pPr>
    </w:p>
    <w:p>
      <w:pPr>
        <w:ind w:right="10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liabilities, as well as goodwill associated with assets sold and held for sale. The company finalized its purchase price allocation of net tangible and intangible assets associated with NEX in the fourth quarter of 2019.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various long-term investments as described below. The investments are recorded in other assets on the consolidated balance sheets.</w:t>
      </w:r>
    </w:p>
    <w:p>
      <w:pPr>
        <w:spacing w:after="0" w:line="11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DME Holdings Limited. </w:t>
      </w:r>
      <w:r>
        <w:rPr>
          <w:rFonts w:ascii="Times New Roman" w:cs="Times New Roman" w:eastAsia="Times New Roman" w:hAnsi="Times New Roman"/>
          <w:sz w:val="18"/>
          <w:szCs w:val="18"/>
          <w:color w:val="auto"/>
        </w:rPr>
        <w:t>The company owns an approximately 50% interest in DME Holdings Limited (DME Holdings), and accounts for its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DME Holdings using the equity method of accounting. The company's investment in DME Holdings was $14.6 million at December 31, 2020. The company and DME Holdings maintain an agreement for Dubai Mercantile Exchange futures contracts to be exclusively traded on the CME Globex platform.</w:t>
      </w:r>
    </w:p>
    <w:p>
      <w:pPr>
        <w:spacing w:after="0" w:line="6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S&amp;P/DJI Indices LLC. </w:t>
      </w:r>
      <w:r>
        <w:rPr>
          <w:rFonts w:ascii="Times New Roman" w:cs="Times New Roman" w:eastAsia="Times New Roman" w:hAnsi="Times New Roman"/>
          <w:sz w:val="18"/>
          <w:szCs w:val="18"/>
          <w:color w:val="auto"/>
        </w:rPr>
        <w:t>The company owns a 27% interest in S&amp;P/Dow Jones Indices LLC (S&amp;P/DJI) and accounts for its investment in S&amp;P/DJI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equity method of accounting. The company's investment in S&amp;P/DJI was $971.5 million at December 31, 2020. The company has long-term exclusive licensing agreements with S&amp;P/DJI to list products based on the Standard &amp; Poor's Indices and Dow Jones Indices.</w:t>
      </w:r>
    </w:p>
    <w:p>
      <w:pPr>
        <w:spacing w:after="0" w:line="6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Shanghai CFETS-NEX International Money Broking Co., Ltd. </w:t>
      </w:r>
      <w:r>
        <w:rPr>
          <w:rFonts w:ascii="Times New Roman" w:cs="Times New Roman" w:eastAsia="Times New Roman" w:hAnsi="Times New Roman"/>
          <w:sz w:val="18"/>
          <w:szCs w:val="18"/>
          <w:color w:val="auto"/>
        </w:rPr>
        <w:t>The company owns a 33% interest in Shanghai CFETS-NEX International Money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Broking Co., Ltd. (CFETS) and accounts for its investment in CFETS using the equity method of accounting. The company's investment in CFETS was $35.7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outstanding consisted of the following at December 31, 2020 and 2019 (in U.S. dollar equivalents):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9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$750.0 million fixed rate notes due September 2022, stated rate of 3.00% </w:t>
      </w:r>
      <w:r>
        <w:rPr>
          <w:rFonts w:ascii="Times New Roman" w:cs="Times New Roman" w:eastAsia="Times New Roman" w:hAnsi="Times New Roman"/>
          <w:sz w:val="22"/>
          <w:szCs w:val="22"/>
          <w:color w:val="auto"/>
          <w:vertAlign w:val="superscript"/>
        </w:rPr>
        <w:t>(1)</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€15.0 million fixed rate notes due May 2023, stated rate of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$750.0 million fixed rate notes due September 2043, stated rate of 5.30% </w:t>
      </w:r>
      <w:r>
        <w:rPr>
          <w:rFonts w:ascii="Times New Roman" w:cs="Times New Roman" w:eastAsia="Times New Roman" w:hAnsi="Times New Roman"/>
          <w:sz w:val="22"/>
          <w:szCs w:val="22"/>
          <w:color w:val="auto"/>
          <w:vertAlign w:val="superscript"/>
        </w:rPr>
        <w:t>(3)</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920" w:val="left"/>
          <w:tab w:leader="none" w:pos="152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748.6</w:t>
        <w:tab/>
        <w:t>$</w:t>
      </w:r>
      <w:r>
        <w:rPr>
          <w:sz w:val="20"/>
          <w:szCs w:val="20"/>
          <w:color w:val="auto"/>
        </w:rPr>
        <w:tab/>
      </w:r>
      <w:r>
        <w:rPr>
          <w:rFonts w:ascii="Times New Roman" w:cs="Times New Roman" w:eastAsia="Times New Roman" w:hAnsi="Times New Roman"/>
          <w:sz w:val="17"/>
          <w:szCs w:val="17"/>
          <w:color w:val="auto"/>
        </w:rPr>
        <w:t>747.7</w:t>
      </w:r>
    </w:p>
    <w:p>
      <w:pPr>
        <w:spacing w:after="0" w:line="198" w:lineRule="exact"/>
        <w:rPr>
          <w:sz w:val="20"/>
          <w:szCs w:val="20"/>
          <w:color w:val="auto"/>
        </w:rPr>
      </w:pPr>
    </w:p>
    <w:p>
      <w:pPr>
        <w:ind w:left="1020"/>
        <w:spacing w:after="0"/>
        <w:tabs>
          <w:tab w:leader="none" w:pos="25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16.4</w:t>
      </w:r>
    </w:p>
    <w:p>
      <w:pPr>
        <w:spacing w:after="0" w:line="198" w:lineRule="exact"/>
        <w:rPr>
          <w:sz w:val="20"/>
          <w:szCs w:val="20"/>
          <w:color w:val="auto"/>
        </w:rPr>
      </w:pPr>
    </w:p>
    <w:p>
      <w:pPr>
        <w:jc w:val="right"/>
        <w:ind w:right="100"/>
        <w:spacing w:after="0"/>
        <w:tabs>
          <w:tab w:leader="none" w:pos="380" w:val="left"/>
        </w:tabs>
        <w:rPr>
          <w:sz w:val="20"/>
          <w:szCs w:val="20"/>
          <w:color w:val="auto"/>
        </w:rPr>
      </w:pPr>
      <w:r>
        <w:rPr>
          <w:rFonts w:ascii="Times New Roman" w:cs="Times New Roman" w:eastAsia="Times New Roman" w:hAnsi="Times New Roman"/>
          <w:sz w:val="18"/>
          <w:szCs w:val="18"/>
          <w:color w:val="auto"/>
        </w:rPr>
        <w:t>747.0</w:t>
      </w:r>
      <w:r>
        <w:rPr>
          <w:sz w:val="20"/>
          <w:szCs w:val="20"/>
          <w:color w:val="auto"/>
        </w:rPr>
        <w:tab/>
      </w:r>
      <w:r>
        <w:rPr>
          <w:rFonts w:ascii="Times New Roman" w:cs="Times New Roman" w:eastAsia="Times New Roman" w:hAnsi="Times New Roman"/>
          <w:sz w:val="17"/>
          <w:szCs w:val="17"/>
          <w:color w:val="auto"/>
        </w:rPr>
        <w:t>746.3</w:t>
      </w:r>
    </w:p>
    <w:p>
      <w:pPr>
        <w:spacing w:after="0" w:line="198" w:lineRule="exact"/>
        <w:rPr>
          <w:sz w:val="20"/>
          <w:szCs w:val="20"/>
          <w:color w:val="auto"/>
        </w:rPr>
      </w:pPr>
    </w:p>
    <w:p>
      <w:pPr>
        <w:jc w:val="right"/>
        <w:ind w:right="100"/>
        <w:spacing w:after="0"/>
        <w:tabs>
          <w:tab w:leader="none" w:pos="380" w:val="left"/>
        </w:tabs>
        <w:rPr>
          <w:sz w:val="20"/>
          <w:szCs w:val="20"/>
          <w:color w:val="auto"/>
        </w:rPr>
      </w:pPr>
      <w:r>
        <w:rPr>
          <w:rFonts w:ascii="Times New Roman" w:cs="Times New Roman" w:eastAsia="Times New Roman" w:hAnsi="Times New Roman"/>
          <w:sz w:val="18"/>
          <w:szCs w:val="18"/>
          <w:color w:val="auto"/>
        </w:rPr>
        <w:t>496.8</w:t>
      </w:r>
      <w:r>
        <w:rPr>
          <w:sz w:val="20"/>
          <w:szCs w:val="20"/>
          <w:color w:val="auto"/>
        </w:rPr>
        <w:tab/>
      </w:r>
      <w:r>
        <w:rPr>
          <w:rFonts w:ascii="Times New Roman" w:cs="Times New Roman" w:eastAsia="Times New Roman" w:hAnsi="Times New Roman"/>
          <w:sz w:val="17"/>
          <w:szCs w:val="17"/>
          <w:color w:val="auto"/>
        </w:rPr>
        <w:t>496.4</w:t>
      </w:r>
    </w:p>
    <w:p>
      <w:pPr>
        <w:spacing w:after="0" w:line="198" w:lineRule="exact"/>
        <w:rPr>
          <w:sz w:val="20"/>
          <w:szCs w:val="20"/>
          <w:color w:val="auto"/>
        </w:rPr>
      </w:pPr>
    </w:p>
    <w:p>
      <w:pPr>
        <w:jc w:val="right"/>
        <w:ind w:right="100"/>
        <w:spacing w:after="0"/>
        <w:tabs>
          <w:tab w:leader="none" w:pos="380" w:val="left"/>
        </w:tabs>
        <w:rPr>
          <w:sz w:val="20"/>
          <w:szCs w:val="20"/>
          <w:color w:val="auto"/>
        </w:rPr>
      </w:pPr>
      <w:r>
        <w:rPr>
          <w:rFonts w:ascii="Times New Roman" w:cs="Times New Roman" w:eastAsia="Times New Roman" w:hAnsi="Times New Roman"/>
          <w:sz w:val="18"/>
          <w:szCs w:val="18"/>
          <w:color w:val="auto"/>
        </w:rPr>
        <w:t>743.1</w:t>
      </w:r>
      <w:r>
        <w:rPr>
          <w:sz w:val="20"/>
          <w:szCs w:val="20"/>
          <w:color w:val="auto"/>
        </w:rPr>
        <w:tab/>
      </w:r>
      <w:r>
        <w:rPr>
          <w:rFonts w:ascii="Times New Roman" w:cs="Times New Roman" w:eastAsia="Times New Roman" w:hAnsi="Times New Roman"/>
          <w:sz w:val="17"/>
          <w:szCs w:val="17"/>
          <w:color w:val="auto"/>
        </w:rPr>
        <w:t>742.8</w:t>
      </w:r>
    </w:p>
    <w:p>
      <w:pPr>
        <w:spacing w:after="0" w:line="198" w:lineRule="exact"/>
        <w:rPr>
          <w:sz w:val="20"/>
          <w:szCs w:val="20"/>
          <w:color w:val="auto"/>
        </w:rPr>
      </w:pPr>
    </w:p>
    <w:p>
      <w:pPr>
        <w:jc w:val="right"/>
        <w:ind w:right="100"/>
        <w:spacing w:after="0"/>
        <w:tabs>
          <w:tab w:leader="none" w:pos="380" w:val="left"/>
        </w:tabs>
        <w:rPr>
          <w:sz w:val="20"/>
          <w:szCs w:val="20"/>
          <w:color w:val="auto"/>
        </w:rPr>
      </w:pPr>
      <w:r>
        <w:rPr>
          <w:rFonts w:ascii="Times New Roman" w:cs="Times New Roman" w:eastAsia="Times New Roman" w:hAnsi="Times New Roman"/>
          <w:sz w:val="18"/>
          <w:szCs w:val="18"/>
          <w:color w:val="auto"/>
        </w:rPr>
        <w:t>690.2</w:t>
      </w:r>
      <w:r>
        <w:rPr>
          <w:sz w:val="20"/>
          <w:szCs w:val="20"/>
          <w:color w:val="auto"/>
        </w:rPr>
        <w:tab/>
      </w:r>
      <w:r>
        <w:rPr>
          <w:rFonts w:ascii="Times New Roman" w:cs="Times New Roman" w:eastAsia="Times New Roman" w:hAnsi="Times New Roman"/>
          <w:sz w:val="17"/>
          <w:szCs w:val="17"/>
          <w:color w:val="auto"/>
        </w:rPr>
        <w:t>689.8</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885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 w:lineRule="exact"/>
        <w:rPr>
          <w:sz w:val="20"/>
          <w:szCs w:val="20"/>
          <w:color w:val="auto"/>
        </w:rPr>
      </w:pPr>
    </w:p>
    <w:p>
      <w:pPr>
        <w:spacing w:after="0"/>
        <w:tabs>
          <w:tab w:leader="none" w:pos="780" w:val="left"/>
          <w:tab w:leader="none" w:pos="1520" w:val="left"/>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3,443.8</w:t>
        <w:tab/>
        <w:t>$</w:t>
      </w:r>
      <w:r>
        <w:rPr>
          <w:sz w:val="20"/>
          <w:szCs w:val="20"/>
          <w:color w:val="auto"/>
        </w:rPr>
        <w:tab/>
      </w:r>
      <w:r>
        <w:rPr>
          <w:rFonts w:ascii="Times New Roman" w:cs="Times New Roman" w:eastAsia="Times New Roman" w:hAnsi="Times New Roman"/>
          <w:sz w:val="18"/>
          <w:szCs w:val="18"/>
          <w:color w:val="auto"/>
        </w:rPr>
        <w:t>3,743.2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8859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0" cy="342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7540" w:space="720"/>
            <w:col w:w="2980"/>
          </w:cols>
          <w:pgMar w:left="320" w:top="118" w:right="339" w:bottom="1440" w:gutter="0" w:footer="0" w:header="0"/>
          <w:type w:val="continuous"/>
        </w:sectPr>
      </w:pPr>
    </w:p>
    <w:p>
      <w:pPr>
        <w:ind w:left="660" w:right="460" w:hanging="652"/>
        <w:spacing w:after="0" w:line="280"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56" w:lineRule="exact"/>
        <w:rPr>
          <w:rFonts w:ascii="Times New Roman" w:cs="Times New Roman" w:eastAsia="Times New Roman" w:hAnsi="Times New Roman"/>
          <w:sz w:val="16"/>
          <w:szCs w:val="16"/>
          <w:color w:val="auto"/>
        </w:rPr>
      </w:pPr>
    </w:p>
    <w:p>
      <w:pPr>
        <w:ind w:left="660" w:right="460" w:hanging="652"/>
        <w:spacing w:after="0" w:line="280"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6" w:lineRule="exact"/>
        <w:rPr>
          <w:rFonts w:ascii="Times New Roman" w:cs="Times New Roman" w:eastAsia="Times New Roman" w:hAnsi="Times New Roman"/>
          <w:sz w:val="16"/>
          <w:szCs w:val="16"/>
          <w:color w:val="auto"/>
        </w:rPr>
      </w:pPr>
    </w:p>
    <w:p>
      <w:pPr>
        <w:ind w:left="660" w:right="460" w:hanging="652"/>
        <w:spacing w:after="0" w:line="280"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5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paper is backed by the five-year multi-currency revolving credit facility.</w:t>
      </w:r>
    </w:p>
    <w:p>
      <w:pPr>
        <w:spacing w:after="0" w:line="1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Commercial paper with an aggregate par value of $1.3 billion and maturities ranging from 1 to 18 days was issued during 2020. The weighted average balance of commercial paper outstanding during the year was $46.5 million. There was no outstanding commercial paper balance as of December 31, 2020.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(in U.S. dollar equivalents), were as follows as of 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28"/>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0" w:type="dxa"/>
            <w:vAlign w:val="bottom"/>
          </w:tcPr>
          <w:p>
            <w:pPr>
              <w:spacing w:after="0"/>
              <w:rPr>
                <w:sz w:val="20"/>
                <w:szCs w:val="20"/>
                <w:color w:val="auto"/>
              </w:rPr>
            </w:pPr>
          </w:p>
        </w:tc>
      </w:tr>
      <w:tr>
        <w:trPr>
          <w:trHeight w:val="873"/>
        </w:trPr>
        <w:tc>
          <w:tcPr>
            <w:tcW w:w="3160" w:type="dxa"/>
            <w:vAlign w:val="bottom"/>
          </w:tcPr>
          <w:p>
            <w:pPr>
              <w:spacing w:after="0"/>
              <w:rPr>
                <w:sz w:val="24"/>
                <w:szCs w:val="24"/>
                <w:color w:val="auto"/>
              </w:rPr>
            </w:pPr>
          </w:p>
        </w:tc>
        <w:tc>
          <w:tcPr>
            <w:tcW w:w="688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69</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2020, 2019 and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2,640.7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2,722.1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Reconciliation of the U.S. federal income tax rate (statutory tax rate) to the effective tax rate is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revised state and local apportionment estimates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2017 Tax Act</w:t>
            </w:r>
          </w:p>
        </w:tc>
        <w:tc>
          <w:tcPr>
            <w:tcW w:w="22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2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64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(Benefit) Rate</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2020, the effective tax rate was higher than the statutory tax rate. The increase to the effective tax rate for the state taxes was partially offset by the foreign-derived intangible income deduction (FDII).</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2019, the effective tax rate was slightly higher than the statutory tax rate. The increase to the effective tax rate for the state taxes was partially offset by the FDII deduction. Proposed FDII deduction regulations were released in 2019 and as a result, management revised the income tax calculations to reflect the proposed guidance. The benefit recognized in 2019 includes estimates for the deduction for 2018 and 2019.</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the effective tax rate was higher than the statutory tax rate primarily due to the NEX acquisition impact on state tax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and 2019, deferred income tax assets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compensation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Reported 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2020 and 2019, the company had domestic and foreign income tax loss carry forwards of $190.2 million and $202.1 million, respectively. These amounts primarily related to losses from the acquisition of NEX Group plc, the acquisitions of Swapstream Limited and its affiliates, the acquisition of Pivot, Inc., losses incurred in the operation of various foreign entities and capital losses from the sales of securities. At December 31, 2020 and 2019, the company determined that it was not more-likely-than-not that certain foreign deferred income tax assets will be fully realized.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valuation allowances of $11.3 million and $10.0 million were recorded at December 31, 2020 and 2019,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unrecognized tax benefits at December 31,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388.5</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tax impacts in other jurisdictions</w:t>
            </w:r>
          </w:p>
        </w:tc>
        <w:tc>
          <w:tcPr>
            <w:tcW w:w="9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302.4</w:t>
            </w:r>
          </w:p>
        </w:tc>
        <w:tc>
          <w:tcPr>
            <w:tcW w:w="4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359.6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interest and penalties related to uncertain tax positions</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recognized on the consolidated statements of income</w:t>
            </w:r>
          </w:p>
        </w:tc>
        <w:tc>
          <w:tcPr>
            <w:tcW w:w="98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within the next twelve months, unrecognized tax benefits will change by a significant amount.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Unrecognized tax benefits acquired at date of acquisition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resulting from the lapse of statutes of limitations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taxes in Illinois and multiple other state, local and foreign jurisdictions. As of December 31, 2020, substantially all federal and state income tax matters had been concluded through 2007 and 2006,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Plans. </w:t>
      </w:r>
      <w:r>
        <w:rPr>
          <w:rFonts w:ascii="Times New Roman" w:cs="Times New Roman" w:eastAsia="Times New Roman" w:hAnsi="Times New Roman"/>
          <w:sz w:val="18"/>
          <w:szCs w:val="18"/>
          <w:color w:val="auto"/>
        </w:rPr>
        <w:t>CME maintains a non-contributory defined benefit cash balance pension plan for eligible employees. CME's plan provides for a pay-based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projected benefit obligation: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actuarial losses recognized as of December 31, 2020 and 2019 are the result of a reduction in the discount rate used to determine the projected benefit obligation as of each year end.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accumulated benefit obligation was $350.3 million and $293.1 million at December 31, 2020 and 2019,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fair value of plan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348.0</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315.8</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major category of plan assets as of December 31, 2020 and 2019 is indicated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December 31, 2020 and 2019, the fair value of pension plan assets exceeded the projected benefit obligation by $7.9 million and $32.7 million, respectively, and the excess was recorded as a non-current pension asset in other assets.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CME's funding goal is to have its pension plan 100% funded at each year-end on a projected benefit obligation basis, while also satisfying any minimum required contribution and obtaining the maximum tax deduction. Year-end 2020 assumptions have been used to project the assets and liabilities from December 31, 2020 to December 31, 2021. The company anticipates based on this projection that an additional contribution of $6.0 million in 2021 will be necessary for it to meet its funding goal. However, the amount of the actual contribution is contingent on various factors, including the actual rate of return on the plan assets during 2021 and the December 31, 2021 discount rate.</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components of net pension expense and the assumptions used to determine the end-of-year projected benefit obligation and net pension expense in aggregate at December 31, 2020, 2019 and 2018 are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Assumptions Used to Determine End-of-Year Benefit Obligation: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crediting rate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2020 and 2019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60" w:type="dxa"/>
            <w:vAlign w:val="bottom"/>
            <w:tcBorders>
              <w:bottom w:val="single" w:sz="8" w:color="auto"/>
            </w:tcBorders>
          </w:tcPr>
          <w:p>
            <w:pPr>
              <w:ind w:left="86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36.1 %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38.5</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33.9</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equity</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21.8</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19.9</w:t>
            </w:r>
          </w:p>
        </w:tc>
      </w:tr>
    </w:tbl>
    <w:p>
      <w:pPr>
        <w:spacing w:after="0" w:line="19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2021, management expects the fixed income asset class to remain at approximately 50% of the portfolio. The target allocation for the U.S. equity asset class is expected to range from 15% to 45% of the portfolio and the target allocation for the foreign equity asset class is expected to range from approximately 10% to 30% of the portfolio.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times, the company may determine that it is necessary to place some assets in cash equivalent investments in order to pay expected plan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this, the actual asset allocation for the plan may not fall within the target allocation ranges from time to time.</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balance and activity of actuarial losses for the pension plan, which are included in other comprehensive income (loss), for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0"/>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2020,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2026-2030</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Savings Plans. </w:t>
      </w:r>
      <w:r>
        <w:rPr>
          <w:rFonts w:ascii="Times New Roman" w:cs="Times New Roman" w:eastAsia="Times New Roman" w:hAnsi="Times New Roman"/>
          <w:sz w:val="18"/>
          <w:szCs w:val="18"/>
          <w:color w:val="auto"/>
        </w:rPr>
        <w:t>CME maintains a defined contribution savings plan pursuant to Section 401(k) of the Internal Revenue Code, whereby all U.S.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participants and have the option to contribute to this plan. CME matches employee contributions up to 3% of the employee's base salary and may make additional discretionary contributions.</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the plan for U.S. employees, the company maintains defined contribution savings plans for employees in international locations, including employees for NEX beginning on November 3, 2018.</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Aggregate expense for all of the defined contribution savings plans amounted to $27.7 million, $23.6 million and $13.8 million in 2020, 2019 and 2018, respectively.</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CME Non-Qualified Plans. </w:t>
      </w:r>
      <w:r>
        <w:rPr>
          <w:rFonts w:ascii="Times New Roman" w:cs="Times New Roman" w:eastAsia="Times New Roman" w:hAnsi="Times New Roman"/>
          <w:sz w:val="18"/>
          <w:szCs w:val="18"/>
          <w:color w:val="auto"/>
        </w:rPr>
        <w:t>CME maintains non-qualified plans, under which participants may make assumed investment choices with respect to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their behalf. Although not required to do so, CME invests such contributions in assets that mirror the assumed investment choices. The balances in these plans are subject to the claims of general creditors of the company and totaled $82.6 million and $66.1 million at December 31, 2020 and 2019 respectively. Although the value of the plans is recorded as an asset in marketable securities on the consolidated balance sheets, there is an equal and offsetting</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5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Savings Plan. </w:t>
      </w:r>
      <w:r>
        <w:rPr>
          <w:rFonts w:ascii="Times New Roman" w:cs="Times New Roman" w:eastAsia="Times New Roman" w:hAnsi="Times New Roman"/>
          <w:sz w:val="18"/>
          <w:szCs w:val="18"/>
          <w:color w:val="auto"/>
        </w:rPr>
        <w:t>CME maintains a supplemental plan to provide benefits for employees who have been impacted by statutory limits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qualified pension and savings plan. Employees in this plan are subject to the vesting requirements of the underlying qualified plans.</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A deferred compensation plan is maintained by CME, under which eligible employees and members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contribute a percentage of their compensation and defer income taxes thereon until the time of distribution.</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COMEX Members' Retirement Plan and Benefits. </w:t>
      </w:r>
      <w:r>
        <w:rPr>
          <w:rFonts w:ascii="Times New Roman" w:cs="Times New Roman" w:eastAsia="Times New Roman" w:hAnsi="Times New Roman"/>
          <w:sz w:val="18"/>
          <w:szCs w:val="18"/>
          <w:color w:val="auto"/>
        </w:rPr>
        <w:t>COMEX maintains a non-qualified retirement and benefit plan under the COMEX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 and Benefits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2020, 2019 and 2018. At December 31, 2020 and 2019, the obligation for the MRRP totaled $15.7 million and $16.5 million, respectively. Assets with a fair value of $19.0 million and $19.3 million have been allocated to this plan at December 31, 2020 and 2019, respectively, and are included in marketable securities and cash and cash equivalents on the consolidated balance sheets. The balances in this plan are subject to the claims of general creditors of COMEX.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AND OTHER COMMITMENTS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leases for datacenters and corporate offices. The operating leases have remaining lease terms of up to 17 years,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associated with leases with terms of 12 months or less from the commencement date.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for the years ended December 31, 2020 and 2019:</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6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lease expense included in other expense</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4"/>
        </w:trPr>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23"/>
        </w:trPr>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800"/>
          </w:cols>
          <w:pgMar w:left="320" w:top="118" w:right="339" w:bottom="1440" w:gutter="0" w:footer="0" w:header="0"/>
          <w:type w:val="continuous"/>
        </w:sectPr>
      </w:pPr>
    </w:p>
    <w:p>
      <w:pPr>
        <w:spacing w:after="0" w:line="38" w:lineRule="exact"/>
        <w:rPr>
          <w:sz w:val="20"/>
          <w:szCs w:val="20"/>
          <w:color w:val="auto"/>
        </w:rPr>
      </w:pPr>
    </w:p>
    <w:p>
      <w:pPr>
        <w:ind w:left="20"/>
        <w:spacing w:after="0"/>
        <w:tabs>
          <w:tab w:leader="none" w:pos="7440" w:val="left"/>
          <w:tab w:leader="none" w:pos="8840" w:val="left"/>
          <w:tab w:leader="none" w:pos="9420" w:val="left"/>
          <w:tab w:leader="none" w:pos="10840" w:val="left"/>
        </w:tabs>
        <w:rPr>
          <w:sz w:val="20"/>
          <w:szCs w:val="20"/>
          <w:color w:val="auto"/>
        </w:rPr>
      </w:pPr>
      <w:r>
        <w:rPr>
          <w:rFonts w:ascii="Times New Roman" w:cs="Times New Roman" w:eastAsia="Times New Roman" w:hAnsi="Times New Roman"/>
          <w:sz w:val="18"/>
          <w:szCs w:val="18"/>
          <w:color w:val="auto"/>
        </w:rPr>
        <w:t>Sublease revenue included in other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13.3</w:t>
        <w:tab/>
        <w:t>$</w:t>
      </w:r>
      <w:r>
        <w:rPr>
          <w:sz w:val="20"/>
          <w:szCs w:val="20"/>
          <w:color w:val="auto"/>
        </w:rPr>
        <w:tab/>
      </w:r>
      <w:r>
        <w:rPr>
          <w:rFonts w:ascii="Times New Roman" w:cs="Times New Roman" w:eastAsia="Times New Roman" w:hAnsi="Times New Roman"/>
          <w:sz w:val="17"/>
          <w:szCs w:val="17"/>
          <w:color w:val="auto"/>
        </w:rPr>
        <w:t>10.2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years ended December 31,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2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64.3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2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16.9</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December 31, 2020 and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390.3</w:t>
            </w:r>
          </w:p>
        </w:tc>
        <w:tc>
          <w:tcPr>
            <w:tcW w:w="1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417.1</w:t>
            </w:r>
          </w:p>
        </w:tc>
      </w:tr>
      <w:tr>
        <w:trPr>
          <w:trHeight w:val="270"/>
        </w:trPr>
        <w:tc>
          <w:tcPr>
            <w:tcW w:w="7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514.8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557.1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Future minimum lease payments were as follows as of December 31, 2020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8"/>
        </w:trPr>
        <w:tc>
          <w:tcPr>
            <w:tcW w:w="7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r>
      <w:tr>
        <w:trPr>
          <w:trHeight w:val="229"/>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28"/>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Commitments. </w:t>
      </w:r>
      <w:r>
        <w:rPr>
          <w:rFonts w:ascii="Times New Roman" w:cs="Times New Roman" w:eastAsia="Times New Roman" w:hAnsi="Times New Roman"/>
          <w:sz w:val="18"/>
          <w:szCs w:val="18"/>
          <w:color w:val="auto"/>
        </w:rPr>
        <w:t>Commitments include material contractual purchase obligations that are non-cancellable. Purchase obligations relate to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hardware, software and maintenance as well as telecommunication services. At December 31, 2020, future minimum payments due under purchase obligations were payable as follows (in millions):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200" w:type="dxa"/>
            <w:vAlign w:val="bottom"/>
            <w:tcBorders>
              <w:top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16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6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December 31, 2020 and 2019.</w:t>
      </w:r>
    </w:p>
    <w:p>
      <w:pPr>
        <w:spacing w:after="0" w:line="1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GUARANTEES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May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after May 2023 unless either party provides advance notice of its intent to terminate. CME can maintain collateral in the form of irrevocable, standby letters of credit. At December 31, 2020, CME was contingently liable to SGX on irrevocable letters of credit totaling $310.0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2020.</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zero and therefore has not recorded any liability at December 31,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The following table presents information regarding capital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2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9"/>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authorized</w:t>
            </w:r>
          </w:p>
        </w:tc>
        <w:tc>
          <w:tcPr>
            <w:tcW w:w="200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issued and outstanding</w:t>
            </w:r>
          </w:p>
        </w:tc>
        <w:tc>
          <w:tcPr>
            <w:tcW w:w="200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358,110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B-1 common stock authorized, issued and outstanding</w:t>
            </w:r>
          </w:p>
        </w:tc>
        <w:tc>
          <w:tcPr>
            <w:tcW w:w="200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B-2 common stock authorized, issued and outstanding</w:t>
            </w:r>
          </w:p>
        </w:tc>
        <w:tc>
          <w:tcPr>
            <w:tcW w:w="200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B-3 common stock authorized, issued and outstanding</w:t>
            </w:r>
          </w:p>
        </w:tc>
        <w:tc>
          <w:tcPr>
            <w:tcW w:w="200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B-4 common stock authorized, issued and outstanding</w:t>
            </w:r>
          </w:p>
        </w:tc>
        <w:tc>
          <w:tcPr>
            <w:tcW w:w="200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has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Associated Trading Rights. </w:t>
      </w:r>
      <w:r>
        <w:rPr>
          <w:rFonts w:ascii="Times New Roman" w:cs="Times New Roman" w:eastAsia="Times New Roman" w:hAnsi="Times New Roman"/>
          <w:sz w:val="18"/>
          <w:szCs w:val="18"/>
          <w:color w:val="auto"/>
        </w:rPr>
        <w:t>Members of CME, CBOT, NYMEX and COMEX own or lease trading rights which entitle them to access open outcry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Core Rights. </w:t>
      </w:r>
      <w:r>
        <w:rPr>
          <w:rFonts w:ascii="Times New Roman" w:cs="Times New Roman" w:eastAsia="Times New Roman" w:hAnsi="Times New Roman"/>
          <w:sz w:val="18"/>
          <w:szCs w:val="18"/>
          <w:color w:val="auto"/>
        </w:rPr>
        <w:t>Holders of CME Group Class B common shares have the right to approve changes in specified rights relating to the trading privileges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7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With the exception of the matters reserved to holders of CME Group Class B common stock, holders of CME Group common stock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on all matters for which a vote of common shareholders is required. In these votes, each holder of shares of Class A or Class B common stock of CME Group has one vote per share.</w:t>
      </w:r>
    </w:p>
    <w:p>
      <w:pPr>
        <w:spacing w:after="0" w:line="6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Each class of CME Group Class B common stock is subject to transfer restrictions contained in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Group. These transfer restrictions prohibit the sale or transfer of any shares of Class B common stock separate from the sale of the associated trading rights.</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CME Group board of directors is currently comprised of 23 members. Holders of Class B-1, Class B-2 and Class B-3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63"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Class A and Class B common stock of CME Group are entitled to receive proportionately such dividends, if any, as may be declared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CME Group board of directors.</w:t>
      </w:r>
    </w:p>
    <w:p>
      <w:pPr>
        <w:spacing w:after="0" w:line="4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CME Group Omnibus Stock Plan. </w:t>
      </w:r>
      <w:r>
        <w:rPr>
          <w:rFonts w:ascii="Times New Roman" w:cs="Times New Roman" w:eastAsia="Times New Roman" w:hAnsi="Times New Roman"/>
          <w:sz w:val="18"/>
          <w:szCs w:val="18"/>
          <w:color w:val="auto"/>
        </w:rPr>
        <w:t>CME Group has adopted an Omnibus Stock Plan under which stock-based awards may be made to employees. A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40.2 million Class A common stock shares have been reserved for awards under the plan. Awards totaling 25.0 million shares have been granted and are outstanding or have been exercised under this plan at December 31, 2020 (note 16).</w:t>
      </w:r>
    </w:p>
    <w:p>
      <w:pPr>
        <w:spacing w:after="0" w:line="63"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Director Stock Plan. </w:t>
      </w:r>
      <w:r>
        <w:rPr>
          <w:rFonts w:ascii="Times New Roman" w:cs="Times New Roman" w:eastAsia="Times New Roman" w:hAnsi="Times New Roman"/>
          <w:sz w:val="18"/>
          <w:szCs w:val="18"/>
          <w:color w:val="auto"/>
        </w:rPr>
        <w:t>CME Group has adopted a Director Stock Plan under which awards are made to non-executive directors as part of their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 total of 625,000 Class A shares have been reserved under this plan, and approximately 417,000 shares have been awarded through December 31, 2020.</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CME Group has adopted an Employee Stock Purchase Plan (ESPP) under which employees may purchase Class A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90% of the market value of the shares using after-tax payroll deductions. A total of 500,000 Class A shares have been reserved under this plan, of which approximately 353,000 shares have been purchased through December 31, 2020 (note 16).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PAYMENTS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adopted an Omnibus Stock Plan under which stock-based awards may be made to employees. A total of 40.2 million Class A shares have been reserved for awards under the plan. Awards totaling 25.0 million shares have been granted and are outstanding or have been exercised under the plan as of December 31, 2020. Awards granted generally vest over a four-year period, with 25% vesting one year after the grant date and on that same date in each of the following three years.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compensation expense for stock-based payments and total income tax benefit recognized on the consolidated statements of income for stock-based awards at December 31, 2020, 2019 and 2018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recognized</w:t>
            </w:r>
          </w:p>
        </w:tc>
        <w:tc>
          <w:tcPr>
            <w:tcW w:w="3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873"/>
        </w:trPr>
        <w:tc>
          <w:tcPr>
            <w:tcW w:w="3880" w:type="dxa"/>
            <w:vAlign w:val="bottom"/>
          </w:tcPr>
          <w:p>
            <w:pPr>
              <w:spacing w:after="0"/>
              <w:rPr>
                <w:sz w:val="24"/>
                <w:szCs w:val="24"/>
                <w:color w:val="auto"/>
              </w:rPr>
            </w:pPr>
          </w:p>
        </w:tc>
        <w:tc>
          <w:tcPr>
            <w:tcW w:w="32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2020, there was $142.9 million of total unrecognized compensation expense related to employee stock-based compensation arrangements that had not yet vested. The total unrecognized expense is expected to be recognized over a weighted average period of 2.2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have not been granted since 2012. The following table summarizes stock option activity for 2020. Aggregate intrinsic value is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8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jc w:val="center"/>
              <w:ind w:left="3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1"/>
                <w:szCs w:val="11"/>
                <w:color w:val="auto"/>
              </w:rPr>
            </w:pPr>
          </w:p>
        </w:tc>
        <w:tc>
          <w:tcPr>
            <w:tcW w:w="13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80" w:type="dxa"/>
            <w:vAlign w:val="bottom"/>
          </w:tcPr>
          <w:p>
            <w:pPr>
              <w:jc w:val="center"/>
              <w:ind w:left="384"/>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227,084</w:t>
            </w:r>
          </w:p>
        </w:tc>
        <w:tc>
          <w:tcPr>
            <w:tcW w:w="118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(123,561)</w:t>
            </w:r>
          </w:p>
        </w:tc>
        <w:tc>
          <w:tcPr>
            <w:tcW w:w="118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102,823</w:t>
            </w:r>
          </w:p>
        </w:tc>
        <w:tc>
          <w:tcPr>
            <w:tcW w:w="118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102,823</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2020, 2019 and 2018 was $16.7 million, $23.1 million and $17.8 million, respectively.</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2020, the company granted 426,694 shares of restricted Class A common stock and 31,112 shares of restricted stock units. Restricted common stock and restricted stock units generally have a vesting period of two to four years. The fair value related to these grants was $76.9 million, which is recognized as compensation expense on an accelerated basis over the vesting period. Dividends are accrued on restricted Class A common stock and restricted stock units and are paid once the restricted stock vests. In 2020, the company also granted 209,534 performance shares. The fair value related to these grants was $37.2 million, which is recognized as compensation expense on a straight-lined basis over the vesting period. The vesting of these shares is contingent on meeting stated performance or market conditions, generally measured over a three year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restricted stock units, and performance shares activity for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1,324,378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(456,295)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(271,136)</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1,264,287</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restricted stock units, and performance shares that vested during 2020, 2019 and 2018 was $79.4 million, $77.7 million and $76.6 million, respectively.</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2020, 2019 and 2018, a total of 44,029, 26,134 and 22,249 shares, respectively, of Class A common stock were issued to participating employees. These shares are subject to a six-month holding period. Annual expense of $0.8 million for the purchase discount was recognized in 2020, $0.5 million was recognized in 2019 and $0.4 million was recognized in 2018.</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Non-executive directors receive an annual award of Class A common stock with a value equal to $120,000. Non-executive directors may also elect to receive some or all of the cash portion of their annual stipend, up to $80,000, in shares of stock based on the closing price at the date of distribution. As a result, 17,322 shares, 16,328 shares and 16,640 shares of Class A common stock were issued to non-executive directors during 2020, 2019 and 2018, respectively. These shares are not subject to any vesting restrictions. Expense of $3.1 million, $3.0 million and $2.6 million related to these stock-based payments was recognized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center"/>
              <w:ind w:left="614"/>
              <w:spacing w:after="0"/>
              <w:rPr>
                <w:sz w:val="20"/>
                <w:szCs w:val="20"/>
                <w:color w:val="auto"/>
              </w:rPr>
            </w:pPr>
            <w:r>
              <w:rPr>
                <w:rFonts w:ascii="Times New Roman" w:cs="Times New Roman" w:eastAsia="Times New Roman" w:hAnsi="Times New Roman"/>
                <w:sz w:val="18"/>
                <w:szCs w:val="18"/>
                <w:color w:val="auto"/>
                <w:w w:val="98"/>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w w:val="98"/>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center"/>
              <w:ind w:left="614"/>
              <w:spacing w:after="0"/>
              <w:rPr>
                <w:sz w:val="20"/>
                <w:szCs w:val="20"/>
                <w:color w:val="auto"/>
              </w:rPr>
            </w:pPr>
            <w:r>
              <w:rPr>
                <w:rFonts w:ascii="Times New Roman" w:cs="Times New Roman" w:eastAsia="Times New Roman" w:hAnsi="Times New Roman"/>
                <w:sz w:val="18"/>
                <w:szCs w:val="18"/>
                <w:color w:val="auto"/>
                <w:w w:val="98"/>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8"/>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w w:val="98"/>
              </w:rPr>
              <w:t>(0.7)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w w:val="98"/>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21"/>
                <w:szCs w:val="21"/>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5"/>
              </w:rPr>
              <w:t>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7"/>
              </w:rPr>
              <w:t>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6"/>
              </w:rPr>
              <w:t>(17.7)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left="654"/>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7"/>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ind w:left="654"/>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center"/>
              <w:ind w:left="432"/>
              <w:spacing w:after="0"/>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Impact of adoption of standards update on tax effects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5"/>
              </w:rPr>
              <w:t>11.9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accumulated other comprehensive income</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5"/>
              </w:rPr>
              <w:t>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44" w:lineRule="exact"/>
        <w:rPr>
          <w:sz w:val="20"/>
          <w:szCs w:val="20"/>
          <w:color w:val="auto"/>
        </w:rPr>
      </w:pPr>
    </w:p>
    <w:p>
      <w:pPr>
        <w:ind w:left="660" w:right="60" w:hanging="328"/>
        <w:spacing w:after="0" w:line="234"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64" w:lineRule="exact"/>
        <w:rPr>
          <w:rFonts w:ascii="Times New Roman" w:cs="Times New Roman" w:eastAsia="Times New Roman" w:hAnsi="Times New Roman"/>
          <w:sz w:val="22"/>
          <w:szCs w:val="22"/>
          <w:color w:val="auto"/>
        </w:rPr>
      </w:pPr>
    </w:p>
    <w:p>
      <w:pPr>
        <w:ind w:left="660" w:right="10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9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Level 1 assets generally include investments in publicly traded mutual funds, equity securities, U.S. government securities and corporate debt securities with quoted market prices. In general, the company uses quoted prices in active markets for identical assets to determine the fair value of marketable securities.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Level 2 assets and liabilities generally consist of asset-backed securities and long-term debt notes. Asset-backed securities were measured at fair value based on matrix pricing using prices of similar securities with similar inputs such as maturity dates, interest rates and credit ratings. The fair values of the long-term debt notes were based on quoted market prices in an inactive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include fixed assets, intangible assets and certain investments that were impaired.</w:t>
      </w:r>
    </w:p>
    <w:p>
      <w:pPr>
        <w:spacing w:after="0" w:line="11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sheets as of December 31,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were classified in their entirety based on the lowest level of input that was significant to each asset or liability's fair value measurement.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5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0"/>
        </w:trPr>
        <w:tc>
          <w:tcPr>
            <w:tcW w:w="52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Performance bonds and guaranty fund contributions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r>
      <w:tr>
        <w:trPr>
          <w:trHeight w:val="21"/>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right="120" w:firstLine="8"/>
        <w:spacing w:after="0" w:line="280" w:lineRule="auto"/>
        <w:tabs>
          <w:tab w:leader="none" w:pos="22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bonds and guaranty fund contributions on the consolidated balance sheet at December 31, 2019 include U.S. government agency securities purchased with cash collateral.</w:t>
      </w:r>
    </w:p>
    <w:p>
      <w:pPr>
        <w:spacing w:after="0" w:line="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During 2020, the company recognized impairment charges of $31.4 million related to certain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fixed assets. The combined fair values of the assets were estimated to be zero at December 31, 2020. The company also recognized net unrealized gains on certain investments of $0.9 million. The combined fair values of these investments were estimated to be $35.2 million. These assessments were based on quantitative and qualitative indications of impairment. The fair value measurements of the investments, fixed assets and assets held for sale are considered level 3 and non-recurring.</w:t>
      </w:r>
    </w:p>
    <w:p>
      <w:pPr>
        <w:spacing w:after="0" w:line="6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long-term debt notes, which are carried at amortized cost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The fair values below that are classified as level 2 under the fair value hierarchy were estimated using quoted market prices in inactive markets.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the fair values (in U.S. dollar equivalents)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2022</w:t>
            </w:r>
          </w:p>
        </w:tc>
        <w:tc>
          <w:tcPr>
            <w:tcW w:w="36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785.1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 million fixed rate notes due May 2023</w:t>
            </w:r>
          </w:p>
        </w:tc>
        <w:tc>
          <w:tcPr>
            <w:tcW w:w="36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36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822.4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36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594.4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rates notes due September 2043</w:t>
            </w:r>
          </w:p>
        </w:tc>
        <w:tc>
          <w:tcPr>
            <w:tcW w:w="36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1,113.9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36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941.6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awards were as follows for the years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w w:val="99"/>
              </w:rPr>
              <w:t>The following table presents the earnings per share calculation for the years presented: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Effect of stock options and stock awards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66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QUARTERLY INFORMATION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80" w:type="dxa"/>
            <w:vAlign w:val="bottom"/>
          </w:tcPr>
          <w:p>
            <w:pPr>
              <w:spacing w:after="0"/>
              <w:rPr>
                <w:sz w:val="13"/>
                <w:szCs w:val="13"/>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3"/>
                <w:szCs w:val="13"/>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13"/>
                <w:szCs w:val="13"/>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80" w:type="dxa"/>
            <w:vAlign w:val="bottom"/>
          </w:tcPr>
          <w:p>
            <w:pPr>
              <w:spacing w:after="0"/>
              <w:rPr>
                <w:sz w:val="13"/>
                <w:szCs w:val="13"/>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3"/>
                <w:szCs w:val="13"/>
                <w:color w:val="auto"/>
              </w:rPr>
            </w:pPr>
          </w:p>
        </w:tc>
        <w:tc>
          <w:tcPr>
            <w:tcW w:w="9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Year Ended December 31, 2020</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1,522.1</w:t>
            </w:r>
          </w:p>
        </w:tc>
        <w:tc>
          <w:tcPr>
            <w:tcW w:w="2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1,182.3</w:t>
            </w:r>
          </w:p>
        </w:tc>
        <w:tc>
          <w:tcPr>
            <w:tcW w:w="2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1,080.7</w:t>
            </w:r>
          </w:p>
        </w:tc>
        <w:tc>
          <w:tcPr>
            <w:tcW w:w="2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1,098.5</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959.9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7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989.3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535.0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7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766.2</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503.3</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411.7</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Year Ended December 31, 2019</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1,179.6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1,272.7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1,277.3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631.0</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698.6</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685.2</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573.0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640.2</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702.1</w:t>
            </w: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723.2</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496.9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636.3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require disclosure, except the following:</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12, 2021, the company announced that it has agreed with IHS Markit to combine their post-trade services into a new joint venture. The new company will include trade processing and risk mitigation operations. It will include CME Group's optimization business, which includes Traiana, TriOptima and Reset. The transaction is expected to close in mid-2021, subject to customary antitrust and regulatory approvals and other customary closing conditions.</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2021, the net assets that will be contributed to the joint venture were classified as held for sale following approval of the transaction by the company's Board of Directors. The company is still evaluating the full financial statement impact of the transaction.</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2020,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2020.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believes that, as of December 31, 2020, our internal control over financial reporting is effective. The effectiveness of our internal control over financial reporting as of December 31, 2020 has been audited by Ernst &amp; Young LLP, an independent registered public accounting firm, as stated in the report on page 88.</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 and Subsidiaries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CME Group Inc. and subsidiaries (the Company) as of December 31, 2020 and 2019, the related consolidated statements of income, comprehensive income, equity, and cash flows for each of the three years in the period ended December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discussed in Note 10 to the consolidated financial statements, the Company had unrecognized income tax benefits of $328.2 million related to uncertain tax positions as of December 31, 2020.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8" w:lineRule="exact"/>
        <w:rPr>
          <w:sz w:val="20"/>
          <w:szCs w:val="20"/>
          <w:color w:val="auto"/>
        </w:rPr>
      </w:pPr>
    </w:p>
    <w:p>
      <w:pPr>
        <w:sectPr>
          <w:pgSz w:w="11900" w:h="16838" w:orient="portrait"/>
          <w:cols w:equalWidth="0" w:num="2">
            <w:col w:w="1400" w:space="340"/>
            <w:col w:w="9420"/>
          </w:cols>
          <w:pgMar w:left="320" w:top="118" w:right="419" w:bottom="1440" w:gutter="0" w:footer="0" w:header="0"/>
        </w:sectPr>
      </w:pPr>
    </w:p>
    <w:p>
      <w:pPr>
        <w:ind w:left="100" w:right="200"/>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18"/>
          <w:szCs w:val="18"/>
          <w:color w:val="auto"/>
        </w:rPr>
        <w:t>We tested the Company’s controls that address the risk of material misstatement relating to the recognition and measurement of uncertain tax positions. For example, we tested controls over the Company’s assessment of the technical merits of tax positions and management’s process to measure the benefit of those tax positions that qualified for recognition, including management’s review of the inputs used in the calculations.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744" w:lineRule="exact"/>
        <w:rPr>
          <w:sz w:val="20"/>
          <w:szCs w:val="20"/>
          <w:color w:val="auto"/>
        </w:rPr>
      </w:pPr>
    </w:p>
    <w:p>
      <w:pPr>
        <w:sectPr>
          <w:pgSz w:w="11900" w:h="16838" w:orient="portrait"/>
          <w:cols w:equalWidth="0" w:num="2">
            <w:col w:w="1660" w:space="80"/>
            <w:col w:w="9420"/>
          </w:cols>
          <w:pgMar w:left="320" w:top="118" w:right="41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ectPr>
          <w:pgSz w:w="11900" w:h="16838" w:orient="portrait"/>
          <w:cols w:equalWidth="0" w:num="1">
            <w:col w:w="11160"/>
          </w:cols>
          <w:pgMar w:left="320" w:top="11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360" w:firstLine="3364"/>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CME Group Inc. and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CME Group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2020,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CME Group Inc. and subsidiaries as of December 31, 2020 and 2019, the related consolidated statements of income, comprehensive income, equity and cash flows for each of the three years in the period ended December 31, 2020, and the related notes and financial statement schedule listed in the Index at Item 15(a) and our report dated February 26, 2021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Times New Roman" w:cs="Times New Roman" w:eastAsia="Times New Roman" w:hAnsi="Times New Roman"/>
          <w:sz w:val="17"/>
          <w:szCs w:val="17"/>
          <w:i w:val="1"/>
          <w:iCs w:val="1"/>
          <w:color w:val="auto"/>
        </w:rPr>
        <w:t>www.cmegroup.com</w:t>
      </w:r>
      <w:r>
        <w:rPr>
          <w:rFonts w:ascii="Times New Roman" w:cs="Times New Roman" w:eastAsia="Times New Roman" w:hAnsi="Times New Roman"/>
          <w:sz w:val="17"/>
          <w:szCs w:val="17"/>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Business — Available Information."</w:t>
      </w:r>
    </w:p>
    <w:p>
      <w:pPr>
        <w:spacing w:after="0" w:line="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5, 2021, to be filed by CME Group with the SEC pursuant to Regulation 14A within 120 days after December 31, 2020 (Proxy Statement). Additional information called for by this item is contained in Item 1 of this Annual Report on Form 10-K under the caption "Information about our Executive Officers."</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16 of the notes to consolidated financial statements. The numbers in the following table are as of December 31,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258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4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580" w:type="dxa"/>
            <w:vAlign w:val="bottom"/>
          </w:tcPr>
          <w:p>
            <w:pPr>
              <w:jc w:val="center"/>
              <w:ind w:left="105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2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580" w:type="dxa"/>
            <w:vAlign w:val="bottom"/>
          </w:tcPr>
          <w:p>
            <w:pPr>
              <w:jc w:val="center"/>
              <w:ind w:left="1059"/>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2480" w:type="dxa"/>
            <w:vAlign w:val="bottom"/>
          </w:tcPr>
          <w:p>
            <w:pPr>
              <w:spacing w:after="0"/>
              <w:rPr>
                <w:sz w:val="14"/>
                <w:szCs w:val="14"/>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 Future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580" w:type="dxa"/>
            <w:vAlign w:val="bottom"/>
          </w:tcPr>
          <w:p>
            <w:pPr>
              <w:jc w:val="center"/>
              <w:ind w:left="1059"/>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580" w:type="dxa"/>
            <w:vAlign w:val="bottom"/>
          </w:tcPr>
          <w:p>
            <w:pPr>
              <w:jc w:val="center"/>
              <w:ind w:left="10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480" w:type="dxa"/>
            <w:vAlign w:val="bottom"/>
            <w:vMerge w:val="continue"/>
          </w:tcPr>
          <w:p>
            <w:pPr>
              <w:spacing w:after="0"/>
              <w:rPr>
                <w:sz w:val="14"/>
                <w:szCs w:val="14"/>
                <w:color w:val="auto"/>
              </w:rPr>
            </w:pPr>
          </w:p>
        </w:tc>
        <w:tc>
          <w:tcPr>
            <w:tcW w:w="3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c>
          <w:tcPr>
            <w:tcW w:w="0" w:type="dxa"/>
            <w:vAlign w:val="bottom"/>
          </w:tcPr>
          <w:p>
            <w:pPr>
              <w:spacing w:after="0"/>
              <w:rPr>
                <w:sz w:val="1"/>
                <w:szCs w:val="1"/>
                <w:color w:val="auto"/>
              </w:rPr>
            </w:pPr>
          </w:p>
        </w:tc>
      </w:tr>
      <w:tr>
        <w:trPr>
          <w:trHeight w:val="212"/>
        </w:trPr>
        <w:tc>
          <w:tcPr>
            <w:tcW w:w="2260" w:type="dxa"/>
            <w:vAlign w:val="bottom"/>
            <w:vMerge w:val="continue"/>
          </w:tcPr>
          <w:p>
            <w:pPr>
              <w:spacing w:after="0"/>
              <w:rPr>
                <w:sz w:val="18"/>
                <w:szCs w:val="18"/>
                <w:color w:val="auto"/>
              </w:rPr>
            </w:pPr>
          </w:p>
        </w:tc>
        <w:tc>
          <w:tcPr>
            <w:tcW w:w="258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Options (a)</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Outstanding Options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266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2" w:lineRule="exact"/>
        <w:rPr>
          <w:sz w:val="20"/>
          <w:szCs w:val="20"/>
          <w:color w:val="auto"/>
        </w:rPr>
      </w:pPr>
    </w:p>
    <w:p>
      <w:pPr>
        <w:ind w:left="40" w:right="26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102,823</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15,627,263</w:t>
            </w:r>
          </w:p>
        </w:tc>
      </w:tr>
      <w:tr>
        <w:trPr>
          <w:trHeight w:val="405"/>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Borders>
              <w:bottom w:val="single" w:sz="8" w:color="auto"/>
            </w:tcBorders>
          </w:tcPr>
          <w:p>
            <w:pPr>
              <w:spacing w:after="0"/>
              <w:rPr>
                <w:sz w:val="24"/>
                <w:szCs w:val="24"/>
                <w:color w:val="auto"/>
              </w:rPr>
            </w:pPr>
          </w:p>
        </w:tc>
      </w:tr>
      <w:tr>
        <w:trPr>
          <w:trHeight w:val="223"/>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102,823</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15,627,263</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-187960</wp:posOffset>
            </wp:positionV>
            <wp:extent cx="710628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200" w:space="240"/>
            <w:col w:w="7800"/>
          </w:cols>
          <w:pgMar w:left="320" w:top="118" w:right="339" w:bottom="144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at December 31, 2020 and 2019</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2020, 2019 and 2018</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2020, 2019 and 2018</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2020, 2019 and 2018</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2020, 2019 and 2018</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1"/>
                <w:szCs w:val="11"/>
                <w:color w:val="auto"/>
              </w:rPr>
            </w:pPr>
          </w:p>
        </w:tc>
        <w:tc>
          <w:tcPr>
            <w:tcW w:w="90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67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677"/>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20" w:hanging="652"/>
        <w:spacing w:after="0" w:line="255"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write-offs of doubtful accounts, foreign currency and additions to allowance for deferred tax assets through accumulated other comprehensive income (loss). Other activity for the allowance for doubtful accounts also includes the impact of the adoption of new guidance on credit losses in 2020.</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08"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52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214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294" w:lineRule="exact"/>
        <w:rPr>
          <w:sz w:val="20"/>
          <w:szCs w:val="20"/>
          <w:color w:val="auto"/>
        </w:rPr>
      </w:pPr>
    </w:p>
    <w:p>
      <w:pPr>
        <w:ind w:left="1260" w:hanging="1234"/>
        <w:spacing w:after="0"/>
        <w:tabs>
          <w:tab w:leader="none" w:pos="12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3.1</w:t>
            </w:r>
          </w:p>
        </w:tc>
        <w:tc>
          <w:tcPr>
            <w:tcW w:w="8520" w:type="dxa"/>
            <w:vAlign w:val="bottom"/>
            <w:gridSpan w:val="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Fourth Amended and Restated Certificate of Incorporation of CME Group Inc. (incorporated by reference to Exhibit</w:t>
              </w:r>
            </w:hyperlink>
          </w:p>
        </w:tc>
      </w:tr>
      <w:tr>
        <w:trPr>
          <w:trHeight w:val="156"/>
        </w:trPr>
        <w:tc>
          <w:tcPr>
            <w:tcW w:w="1240" w:type="dxa"/>
            <w:vAlign w:val="bottom"/>
          </w:tcPr>
          <w:p>
            <w:pPr>
              <w:spacing w:after="0"/>
              <w:rPr>
                <w:sz w:val="13"/>
                <w:szCs w:val="13"/>
                <w:color w:val="auto"/>
              </w:rPr>
            </w:pPr>
          </w:p>
        </w:tc>
        <w:tc>
          <w:tcPr>
            <w:tcW w:w="838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CME Group Inc.’s Current Report on Form 8-K, filed with the SEC on May 29, 2012).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3.2</w:t>
            </w:r>
          </w:p>
        </w:tc>
        <w:tc>
          <w:tcPr>
            <w:tcW w:w="8520" w:type="dxa"/>
            <w:vAlign w:val="bottom"/>
            <w:gridSpan w:val="5"/>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Fifteenth Amended and Restated Bylaws of CME Group Inc. (incorporated by reference to Exhibit 3.1 to CME Group</w:t>
              </w:r>
            </w:hyperlink>
          </w:p>
        </w:tc>
      </w:tr>
      <w:tr>
        <w:trPr>
          <w:trHeight w:val="156"/>
        </w:trPr>
        <w:tc>
          <w:tcPr>
            <w:tcW w:w="1240" w:type="dxa"/>
            <w:vAlign w:val="bottom"/>
          </w:tcPr>
          <w:p>
            <w:pPr>
              <w:spacing w:after="0"/>
              <w:rPr>
                <w:sz w:val="13"/>
                <w:szCs w:val="13"/>
                <w:color w:val="auto"/>
              </w:rPr>
            </w:pPr>
          </w:p>
        </w:tc>
        <w:tc>
          <w:tcPr>
            <w:tcW w:w="5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Inc.’s Current Report on Form 8-K, filed with the SEC on February 7, 2020).</w:t>
              </w:r>
            </w:hyperlink>
          </w:p>
        </w:tc>
        <w:tc>
          <w:tcPr>
            <w:tcW w:w="29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72" w:lineRule="exact"/>
        <w:rPr>
          <w:sz w:val="20"/>
          <w:szCs w:val="20"/>
          <w:color w:val="auto"/>
        </w:rPr>
      </w:pPr>
    </w:p>
    <w:p>
      <w:pPr>
        <w:ind w:left="1260" w:hanging="1234"/>
        <w:spacing w:after="0"/>
        <w:tabs>
          <w:tab w:leader="none" w:pos="126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Instruments Defining the Rights of Security Holders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5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as Issuer, and Barclays Capital Inc., as Dealer (incorporated by reference to Exhibit 4.1 to CME Group's 10-K,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with the SEC on February 26, 2015).</w:t>
              </w:r>
            </w:hyperlink>
          </w:p>
        </w:tc>
        <w:tc>
          <w:tcPr>
            <w:tcW w:w="56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Commercial Paper Issuing and Paying Agency Agreement, dated as of September 26, 2014, between CME Group Inc.</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Bank of America, National Association, as Issuing and Paying Agent (incorporated by reference to Exhibit 4.2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4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CME Group's 10-K, filed with the SEC on February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2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Exhibit 4.3 to CME Group's 10-K, filed with the SEC on February 26, 2015).</w:t>
              </w:r>
            </w:hyperlink>
          </w:p>
        </w:tc>
        <w:tc>
          <w:tcPr>
            <w:tcW w:w="24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 as Issuer, and Goldman, Sachs &amp; Co., as Dealer (incorporated by reference to Exhibit 4.4 to CME Group's 10</w:t>
              </w:r>
            </w:hyperlink>
          </w:p>
        </w:tc>
        <w:tc>
          <w:tcPr>
            <w:tcW w:w="300" w:type="dxa"/>
            <w:vAlign w:val="bottom"/>
            <w:gridSpan w:val="11"/>
          </w:tcPr>
          <w:p>
            <w:pPr>
              <w:jc w:val="center"/>
              <w:ind w:right="100"/>
              <w:spacing w:after="0" w:line="156" w:lineRule="exact"/>
              <w:rPr>
                <w:rFonts w:ascii="Times New Roman" w:cs="Times New Roman" w:eastAsia="Times New Roman" w:hAnsi="Times New Roman"/>
                <w:sz w:val="18"/>
                <w:szCs w:val="18"/>
                <w:color w:val="0000FF"/>
                <w:w w:val="84"/>
              </w:rPr>
            </w:pPr>
            <w:hyperlink r:id="rId131">
              <w:r>
                <w:rPr>
                  <w:rFonts w:ascii="Times New Roman" w:cs="Times New Roman" w:eastAsia="Times New Roman" w:hAnsi="Times New Roman"/>
                  <w:sz w:val="18"/>
                  <w:szCs w:val="18"/>
                  <w:color w:val="0000FF"/>
                  <w:w w:val="84"/>
                </w:rPr>
                <w:t>-K,</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4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filed with the SEC on February 26, 2015).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August 12, 2008, between CME Group Inc. and U.S. Bank National Association (incorporated by</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8280" w:type="dxa"/>
            <w:vAlign w:val="bottom"/>
            <w:tcBorders>
              <w:top w:val="single" w:sz="8" w:color="0000FF"/>
            </w:tcBorders>
            <w:gridSpan w:val="16"/>
          </w:tcPr>
          <w:p>
            <w:pPr>
              <w:spacing w:after="0"/>
              <w:rPr>
                <w:rFonts w:ascii="Times New Roman" w:cs="Times New Roman" w:eastAsia="Times New Roman" w:hAnsi="Times New Roman"/>
                <w:sz w:val="18"/>
                <w:szCs w:val="18"/>
                <w:u w:val="single" w:color="auto"/>
                <w:color w:val="0000FF"/>
                <w:w w:val="99"/>
              </w:rPr>
            </w:pPr>
            <w:hyperlink r:id="rId132">
              <w:r>
                <w:rPr>
                  <w:rFonts w:ascii="Times New Roman" w:cs="Times New Roman" w:eastAsia="Times New Roman" w:hAnsi="Times New Roman"/>
                  <w:sz w:val="18"/>
                  <w:szCs w:val="18"/>
                  <w:u w:val="single" w:color="auto"/>
                  <w:color w:val="0000FF"/>
                  <w:w w:val="99"/>
                </w:rPr>
                <w:t>reference to Exhibit 4.1 to CME Group Inc.’s Current Report on Form 8-K, filed with the SEC on August 13, 2008)</w:t>
              </w:r>
            </w:hyperlink>
          </w:p>
        </w:tc>
        <w:tc>
          <w:tcPr>
            <w:tcW w:w="120" w:type="dxa"/>
            <w:vAlign w:val="bottom"/>
            <w:gridSpan w:val="3"/>
          </w:tcPr>
          <w:p>
            <w:pPr>
              <w:jc w:val="center"/>
              <w:ind w:right="2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w:t>
              </w:r>
            </w:hyperlink>
          </w:p>
        </w:tc>
        <w:tc>
          <w:tcPr>
            <w:tcW w:w="6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560" w:type="dxa"/>
            <w:vAlign w:val="bottom"/>
            <w:gridSpan w:val="26"/>
            <w:vMerge w:val="restart"/>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Fifth Supplemental Indenture (including the form of 3.00% note due 2022), dated September 10, 2012, between CME</w:t>
              </w:r>
            </w:hyperlink>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856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Group Inc. and U.S. Bank National Association (incorporated by reference to Exhibit 4.2 to CME Group Inc.'s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Current Report on Form 8-K, filed with the SEC on September 10, 2012).</w:t>
              </w:r>
            </w:hyperlink>
          </w:p>
        </w:tc>
        <w:tc>
          <w:tcPr>
            <w:tcW w:w="1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4.7</w:t>
            </w:r>
          </w:p>
        </w:tc>
        <w:tc>
          <w:tcPr>
            <w:tcW w:w="2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40" w:type="dxa"/>
            <w:vAlign w:val="bottom"/>
            <w:vMerge w:val="continue"/>
          </w:tcPr>
          <w:p>
            <w:pPr>
              <w:spacing w:after="0"/>
              <w:rPr>
                <w:sz w:val="24"/>
                <w:szCs w:val="24"/>
                <w:color w:val="auto"/>
              </w:rPr>
            </w:pPr>
          </w:p>
        </w:tc>
        <w:tc>
          <w:tcPr>
            <w:tcW w:w="8560" w:type="dxa"/>
            <w:vAlign w:val="bottom"/>
            <w:gridSpan w:val="26"/>
            <w:vMerge w:val="restart"/>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Sixth Supplemental Indenture (including the form of 5.300% note due 2043), dated as of September 9, 2013, between</w:t>
              </w:r>
            </w:hyperlink>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856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4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CME Group Inc. and U.S. Bank National Association (incorporated by reference to Exhibit 4.2 to CME Group Inc.'s</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Current Report on Form 8-K, filed with the SEC on September 9, 2013).</w:t>
              </w:r>
            </w:hyperlink>
          </w:p>
        </w:tc>
        <w:tc>
          <w:tcPr>
            <w:tcW w:w="3180" w:type="dxa"/>
            <w:vAlign w:val="bottom"/>
            <w:tcBorders>
              <w:top w:val="single" w:sz="8" w:color="0000FF"/>
            </w:tcBorders>
            <w:gridSpan w:val="12"/>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Seventh Supplemental Indenture (including the form of 3.000% note due 2025), dated as of March 9, 2015, between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CME Group Inc. and U.S. Bank National Association (incorporated by reference to Exhibit 4.2 to CME Group Inc.'s</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Current Report on Form 8-K, filed with the SEC on March 9, 2015).</w:t>
              </w:r>
            </w:hyperlink>
          </w:p>
        </w:tc>
        <w:tc>
          <w:tcPr>
            <w:tcW w:w="3480" w:type="dxa"/>
            <w:vAlign w:val="bottom"/>
            <w:tcBorders>
              <w:top w:val="single" w:sz="8" w:color="0000FF"/>
            </w:tcBorders>
            <w:gridSpan w:val="13"/>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Eighth Supplemental Indenture (including the form of 3.750% note due 2028), dated as of June 21, 2018, between</w:t>
              </w:r>
            </w:hyperlink>
          </w:p>
        </w:tc>
        <w:tc>
          <w:tcPr>
            <w:tcW w:w="3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560" w:type="dxa"/>
            <w:vAlign w:val="bottom"/>
            <w:gridSpan w:val="2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CME Group Inc. and U.S. Bank National Association (incorporated by reference to Exhibit 4.2 to CME Group Inc.'s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Current Report on Form 8-K, filed with the SEC on June 21, 2018).</w:t>
              </w:r>
            </w:hyperlink>
          </w:p>
        </w:tc>
        <w:tc>
          <w:tcPr>
            <w:tcW w:w="3520" w:type="dxa"/>
            <w:vAlign w:val="bottom"/>
            <w:tcBorders>
              <w:top w:val="single" w:sz="8" w:color="0000FF"/>
            </w:tcBorders>
            <w:gridSpan w:val="14"/>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56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Ninth Supplemental Indenture (including the form of 4.150% note due 2048), dated as of June 21, 2018, between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8560" w:type="dxa"/>
            <w:vAlign w:val="bottom"/>
            <w:gridSpan w:val="2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CME Group Inc. and U.S. Bank National Association (incorporated by reference to Exhibit 4.3 to CME Group Inc.'s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Current Report on Form 8-K, filed with the SEC on June 21, 2018).</w:t>
              </w:r>
            </w:hyperlink>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86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u w:val="single" w:color="auto"/>
                  <w:color w:val="0000FF"/>
                </w:rPr>
                <w:t>Description of securities</w:t>
              </w:r>
            </w:hyperlink>
            <w:r>
              <w:rPr>
                <w:rFonts w:ascii="Times New Roman" w:cs="Times New Roman" w:eastAsia="Times New Roman" w:hAnsi="Times New Roman"/>
                <w:sz w:val="18"/>
                <w:szCs w:val="18"/>
                <w:color w:val="000000"/>
              </w:rPr>
              <w:t>.</w:t>
            </w:r>
          </w:p>
        </w:tc>
        <w:tc>
          <w:tcPr>
            <w:tcW w:w="37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60" w:hanging="1234"/>
        <w:spacing w:after="0"/>
        <w:tabs>
          <w:tab w:leader="none" w:pos="12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CME Group Inc. Second Amended and Restated Omnibus Stock Plan, amended and restated effective as of May 24,</w:t>
              </w:r>
            </w:hyperlink>
          </w:p>
        </w:tc>
      </w:tr>
      <w:tr>
        <w:trPr>
          <w:trHeight w:val="155"/>
        </w:trPr>
        <w:tc>
          <w:tcPr>
            <w:tcW w:w="1260" w:type="dxa"/>
            <w:vAlign w:val="bottom"/>
          </w:tcPr>
          <w:p>
            <w:pPr>
              <w:spacing w:after="0"/>
              <w:rPr>
                <w:sz w:val="13"/>
                <w:szCs w:val="13"/>
                <w:color w:val="auto"/>
              </w:rPr>
            </w:pPr>
          </w:p>
        </w:tc>
        <w:tc>
          <w:tcPr>
            <w:tcW w:w="83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2017 (incorporated by reference to Exhibit 10.2 to CME Group Inc.’s Form 8-K, filed with the SEC on May 30,</w:t>
              </w:r>
            </w:hyperlink>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8">
              <w:r>
                <w:rPr>
                  <w:rFonts w:ascii="Times New Roman" w:cs="Times New Roman" w:eastAsia="Times New Roman" w:hAnsi="Times New Roman"/>
                  <w:sz w:val="18"/>
                  <w:szCs w:val="18"/>
                  <w:color w:val="0000FF"/>
                  <w:w w:val="94"/>
                </w:rPr>
                <w:t>2017).</w:t>
              </w:r>
            </w:hyperlink>
          </w:p>
        </w:tc>
        <w:tc>
          <w:tcPr>
            <w:tcW w:w="230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37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64"/>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Equity Grant Letter for Restricted Shares (incorporated by reference to Exhibit 10.2 to CME Group's 10-K,</w:t>
              </w:r>
            </w:hyperlink>
          </w:p>
        </w:tc>
      </w:tr>
      <w:tr>
        <w:trPr>
          <w:trHeight w:val="155"/>
        </w:trPr>
        <w:tc>
          <w:tcPr>
            <w:tcW w:w="12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filed with the SEC on March 1, 2018).</w:t>
              </w:r>
            </w:hyperlink>
          </w:p>
        </w:tc>
        <w:tc>
          <w:tcPr>
            <w:tcW w:w="558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r>
      <w:tr>
        <w:trPr>
          <w:trHeight w:val="263"/>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Equity Grant Letter for Annual Grant of Performance Shares (incorporated by reference to Exhibit 10.3 to</w:t>
              </w:r>
            </w:hyperlink>
          </w:p>
        </w:tc>
      </w:tr>
      <w:tr>
        <w:trPr>
          <w:trHeight w:val="156"/>
        </w:trPr>
        <w:tc>
          <w:tcPr>
            <w:tcW w:w="12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CME Group's 10-K, filed with the SEC on March 1, 2018).</w:t>
              </w:r>
            </w:hyperlink>
          </w:p>
        </w:tc>
        <w:tc>
          <w:tcPr>
            <w:tcW w:w="400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580" w:type="dxa"/>
            <w:vAlign w:val="bottom"/>
          </w:tcPr>
          <w:p>
            <w:pPr>
              <w:spacing w:after="0"/>
              <w:rPr>
                <w:sz w:val="13"/>
                <w:szCs w:val="13"/>
                <w:color w:val="auto"/>
              </w:rPr>
            </w:pPr>
          </w:p>
        </w:tc>
      </w:tr>
      <w:tr>
        <w:trPr>
          <w:trHeight w:val="264"/>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CME Group Inc. Director Stock Plan, amended and restated effective as of May 21, 2014 (incorporated by reference</w:t>
              </w:r>
            </w:hyperlink>
          </w:p>
        </w:tc>
      </w:tr>
      <w:tr>
        <w:trPr>
          <w:trHeight w:val="228"/>
        </w:trPr>
        <w:tc>
          <w:tcPr>
            <w:tcW w:w="1260" w:type="dxa"/>
            <w:vAlign w:val="bottom"/>
          </w:tcPr>
          <w:p>
            <w:pPr>
              <w:spacing w:after="0"/>
              <w:rPr>
                <w:sz w:val="19"/>
                <w:szCs w:val="19"/>
                <w:color w:val="auto"/>
              </w:rPr>
            </w:pPr>
          </w:p>
        </w:tc>
        <w:tc>
          <w:tcPr>
            <w:tcW w:w="840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to Exhibit 10.1 to CME Group Inc.'s Current Report on Form 8-K, filed with the SEC on May 28, 2014).</w:t>
              </w:r>
            </w:hyperlink>
          </w:p>
        </w:tc>
        <w:tc>
          <w:tcPr>
            <w:tcW w:w="1580" w:type="dxa"/>
            <w:vAlign w:val="bottom"/>
          </w:tcPr>
          <w:p>
            <w:pPr>
              <w:spacing w:after="0"/>
              <w:rPr>
                <w:sz w:val="19"/>
                <w:szCs w:val="19"/>
                <w:color w:val="auto"/>
              </w:rPr>
            </w:pPr>
          </w:p>
        </w:tc>
      </w:tr>
      <w:tr>
        <w:trPr>
          <w:trHeight w:val="846"/>
        </w:trPr>
        <w:tc>
          <w:tcPr>
            <w:tcW w:w="1260" w:type="dxa"/>
            <w:vAlign w:val="bottom"/>
          </w:tcPr>
          <w:p>
            <w:pPr>
              <w:spacing w:after="0"/>
              <w:rPr>
                <w:sz w:val="24"/>
                <w:szCs w:val="24"/>
                <w:color w:val="auto"/>
              </w:rPr>
            </w:pPr>
          </w:p>
        </w:tc>
        <w:tc>
          <w:tcPr>
            <w:tcW w:w="804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8"/>
        </w:trPr>
        <w:tc>
          <w:tcPr>
            <w:tcW w:w="1240" w:type="dxa"/>
            <w:vAlign w:val="bottom"/>
            <w:gridSpan w:val="2"/>
          </w:tcPr>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6"/>
        </w:trPr>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gridSpan w:val="38"/>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9"/>
        </w:trPr>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0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540" w:type="dxa"/>
            <w:vAlign w:val="bottom"/>
            <w:tcBorders>
              <w:top w:val="single" w:sz="8" w:color="auto"/>
            </w:tcBorders>
            <w:gridSpan w:val="4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Equity Stipend Grant Letter for Non-Executive Directors (incorporated by reference to Exhibit 10.5 to CME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Group's 10-K, filed with the SEC on March 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CME Group Inc.'s Amended and Restated Employee Stock Purchase Plan, amended and restated as of May 23, 2012</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(incorporated by reference to Exhibit 10.2 to CME Group Inc.'s Form 8-K, filed with the SEC on May 29, 2012</w:t>
              </w:r>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First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to the Amended and Restated Employee Stock Purchase Plan, effective as of December 5, 2012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10.7 to CME Group Inc.'s Form 10-K, filed with the SEC on February</w:t>
              </w:r>
            </w:hyperlink>
          </w:p>
        </w:tc>
        <w:tc>
          <w:tcPr>
            <w:tcW w:w="300" w:type="dxa"/>
            <w:vAlign w:val="bottom"/>
            <w:gridSpan w:val="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46">
              <w:r>
                <w:rPr>
                  <w:rFonts w:ascii="Times New Roman" w:cs="Times New Roman" w:eastAsia="Times New Roman" w:hAnsi="Times New Roman"/>
                  <w:sz w:val="18"/>
                  <w:szCs w:val="18"/>
                  <w:color w:val="0000FF"/>
                  <w:w w:val="94"/>
                </w:rPr>
                <w:t>2013).</w:t>
              </w:r>
            </w:hyperlink>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Chicago Mercantile Exchange Inc. Senior Management Supplemental Deferred Savings Plan (SMSDSP), Amended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36"/>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and Restated as of January 1, 2017 (incorporated by reference to Exhibit 10.1 to CME Group Inc.'s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with the SEC on August 2, 2017).</w:t>
              </w:r>
            </w:hyperlink>
          </w:p>
        </w:tc>
        <w:tc>
          <w:tcPr>
            <w:tcW w:w="5980" w:type="dxa"/>
            <w:vAlign w:val="bottom"/>
            <w:gridSpan w:val="3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Chicago Mercantile Exchange Inc. Directors' Deferred Compensation Plan, amended and restated as of January 1,</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48">
              <w:r>
                <w:rPr>
                  <w:rFonts w:ascii="Times New Roman" w:cs="Times New Roman" w:eastAsia="Times New Roman" w:hAnsi="Times New Roman"/>
                  <w:sz w:val="18"/>
                  <w:szCs w:val="18"/>
                  <w:color w:val="0000FF"/>
                  <w:w w:val="94"/>
                </w:rPr>
                <w:t>2009).</w:t>
              </w:r>
            </w:hyperlink>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Chicago Mercantile Exchange Inc. Supplemental Executive Retirement Plan consisting of the Grandfathered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Supplemental Retirement Plan, amended and restated as of January 1, 2008, and the Amended and Restated</w:t>
              </w:r>
            </w:hyperlink>
          </w:p>
        </w:tc>
        <w:tc>
          <w:tcPr>
            <w:tcW w:w="700" w:type="dxa"/>
            <w:vAlign w:val="bottom"/>
            <w:gridSpan w:val="2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409A</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Supplemental Executive Retirement Plan, amended and restated as of January 1, 2008 (incorporated by reference</w:t>
              </w:r>
            </w:hyperlink>
          </w:p>
        </w:tc>
        <w:tc>
          <w:tcPr>
            <w:tcW w:w="340" w:type="dxa"/>
            <w:vAlign w:val="bottom"/>
            <w:gridSpan w:val="1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Exhibit 10.9 to CME Group Inc.'s Form 10-K, filed with the SEC on February 28, 2008).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Chicago Mercantile Exchange Inc. Supplemental Executive Retirement Trust; First Amendment thereto, dated</w:t>
              </w:r>
            </w:hyperlink>
          </w:p>
        </w:tc>
        <w:tc>
          <w:tcPr>
            <w:tcW w:w="60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47"/>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September 7, 1993 (incorporated by reference to Exhibit 10.5 to Chicago Mercantile Exchange Inc.'s Form S-4, filed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with the SEC on February 24, 2000).</w:t>
              </w:r>
            </w:hyperlink>
          </w:p>
        </w:tc>
        <w:tc>
          <w:tcPr>
            <w:tcW w:w="5780" w:type="dxa"/>
            <w:vAlign w:val="bottom"/>
            <w:tcBorders>
              <w:top w:val="single" w:sz="8" w:color="0000FF"/>
            </w:tcBorders>
            <w:gridSpan w:val="3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10.11 to NYMEX Holdings, Inc.'s Form 10-K, filed with the SEC on</w:t>
              </w:r>
            </w:hyperlink>
          </w:p>
        </w:tc>
        <w:tc>
          <w:tcPr>
            <w:tcW w:w="900" w:type="dxa"/>
            <w:vAlign w:val="bottom"/>
            <w:gridSpan w:val="30"/>
          </w:tcPr>
          <w:p>
            <w:pPr>
              <w:jc w:val="cente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March 29,</w:t>
              </w:r>
            </w:hyperlink>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44"/>
          </w:tcPr>
          <w:p>
            <w:pPr>
              <w:spacing w:after="0" w:line="142" w:lineRule="exact"/>
              <w:rPr>
                <w:rFonts w:ascii="Times New Roman" w:cs="Times New Roman" w:eastAsia="Times New Roman" w:hAnsi="Times New Roman"/>
                <w:sz w:val="16"/>
                <w:szCs w:val="16"/>
                <w:u w:val="single" w:color="auto"/>
                <w:color w:val="0000FF"/>
              </w:rPr>
            </w:pPr>
            <w:hyperlink r:id="rId152">
              <w:r>
                <w:rPr>
                  <w:rFonts w:ascii="Times New Roman" w:cs="Times New Roman" w:eastAsia="Times New Roman" w:hAnsi="Times New Roman"/>
                  <w:sz w:val="16"/>
                  <w:szCs w:val="16"/>
                  <w:u w:val="single" w:color="auto"/>
                  <w:color w:val="0000FF"/>
                </w:rPr>
                <w:t>2001)</w:t>
              </w:r>
              <w:r>
                <w:rPr>
                  <w:rFonts w:ascii="Times New Roman" w:cs="Times New Roman" w:eastAsia="Times New Roman" w:hAnsi="Times New Roman"/>
                  <w:sz w:val="16"/>
                  <w:szCs w:val="16"/>
                  <w:u w:val="single" w:color="auto"/>
                  <w:color w:val="000000"/>
                </w:rPr>
                <w:t>;</w:t>
              </w:r>
              <w:r>
                <w:rPr>
                  <w:rFonts w:ascii="Times New Roman" w:cs="Times New Roman" w:eastAsia="Times New Roman" w:hAnsi="Times New Roman"/>
                  <w:sz w:val="16"/>
                  <w:szCs w:val="16"/>
                  <w:u w:val="single" w:color="auto"/>
                  <w:color w:val="0000FF"/>
                </w:rPr>
                <w:t xml:space="preserve"> Amendment to the Recognition and Retention Plan for Members of the COMEX Division of the New York</w:t>
              </w:r>
            </w:hyperlink>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40" w:type="dxa"/>
            <w:vAlign w:val="bottom"/>
            <w:gridSpan w:val="47"/>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Mercantile Exchange, dated October 22, 2015 (incorporated by reference to Exhibit 10.1 to CME Group's Form 10-Q,</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filed with the SEC on November 6, 2015).</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Amended and Restated CME Group Inc. Incentive Plan for Named Executive Officers (Amended and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Restated as of May 24, 2017) (incorporated by reference to Exhibit 10.1 to CME Group Inc.’s Form 8-K, filed</w:t>
              </w:r>
            </w:hyperlink>
          </w:p>
        </w:tc>
        <w:tc>
          <w:tcPr>
            <w:tcW w:w="640" w:type="dxa"/>
            <w:vAlign w:val="bottom"/>
            <w:gridSpan w:val="26"/>
          </w:tcPr>
          <w:p>
            <w:pPr>
              <w:jc w:val="center"/>
              <w:ind w:right="160"/>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with</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SEC on May 30, 2017).</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CME Group Inc. Severance Plan for Eligible Executives, amended and restated effective January 1, 2013</w:t>
              </w:r>
            </w:hyperlink>
          </w:p>
        </w:tc>
        <w:tc>
          <w:tcPr>
            <w:tcW w:w="960" w:type="dxa"/>
            <w:vAlign w:val="bottom"/>
            <w:gridSpan w:val="31"/>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47"/>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10.16 to CME Group Inc.'s Form 10-K, filed with the SEC on February 28,</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2014)</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First Amendment to CME Group Inc. Severance Plan for Eligible Executives, effective as of October 13,</w:t>
              </w:r>
            </w:hyperlink>
          </w:p>
        </w:tc>
        <w:tc>
          <w:tcPr>
            <w:tcW w:w="420" w:type="dxa"/>
            <w:vAlign w:val="bottom"/>
            <w:gridSpan w:val="21"/>
          </w:tcPr>
          <w:p>
            <w:pPr>
              <w:jc w:val="right"/>
              <w:ind w:right="60"/>
              <w:spacing w:after="0" w:line="156"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40" w:type="dxa"/>
            <w:vAlign w:val="bottom"/>
            <w:gridSpan w:val="47"/>
          </w:tcPr>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(incorporated by reference to Exhibit 10.16 to CME Group's 10-K, filed with the SEC on February 26, 2015).</w:t>
              </w:r>
            </w:hyperlink>
          </w:p>
        </w:tc>
        <w:tc>
          <w:tcPr>
            <w:tcW w:w="0" w:type="dxa"/>
            <w:vAlign w:val="bottom"/>
          </w:tcPr>
          <w:p>
            <w:pPr>
              <w:spacing w:after="0"/>
              <w:rPr>
                <w:sz w:val="1"/>
                <w:szCs w:val="1"/>
                <w:color w:val="auto"/>
              </w:rPr>
            </w:pPr>
          </w:p>
        </w:tc>
      </w:tr>
      <w:tr>
        <w:trPr>
          <w:trHeight w:val="2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CME Group Inc. Severance Plan, amended and restated effective January 1, 2013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Exhibit 10.17 to CME Group Inc.'s Form 10-K, filed with the SEC on February 28, 2014)</w:t>
              </w:r>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First Amendment to</w:t>
              </w:r>
            </w:hyperlink>
          </w:p>
        </w:tc>
        <w:tc>
          <w:tcPr>
            <w:tcW w:w="540" w:type="dxa"/>
            <w:vAlign w:val="bottom"/>
            <w:gridSpan w:val="24"/>
          </w:tcPr>
          <w:p>
            <w:pPr>
              <w:jc w:val="center"/>
              <w:ind w:right="240"/>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gridSpan w:val="8"/>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4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CME Group Inc. Severance Plan, effective October 13, 2014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Exhibit 10.17 to CME Group's 10-K, filed with the SEC on February 26, 2015).</w:t>
              </w:r>
            </w:hyperlink>
          </w:p>
        </w:tc>
        <w:tc>
          <w:tcPr>
            <w:tcW w:w="250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Agreement, effective as of December 16, 2019, by and between CME Group Inc. and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Terrence A. Duffy (incorporated by reference to Exhibit 10.1 to CME Group Inc.'s Form 8-K, filed with the</w:t>
              </w:r>
            </w:hyperlink>
          </w:p>
        </w:tc>
        <w:tc>
          <w:tcPr>
            <w:tcW w:w="680" w:type="dxa"/>
            <w:vAlign w:val="bottom"/>
            <w:gridSpan w:val="27"/>
          </w:tcPr>
          <w:p>
            <w:pPr>
              <w:jc w:val="center"/>
              <w:ind w:right="200"/>
              <w:spacing w:after="0" w:line="156" w:lineRule="exact"/>
              <w:rPr>
                <w:rFonts w:ascii="Times New Roman" w:cs="Times New Roman" w:eastAsia="Times New Roman" w:hAnsi="Times New Roman"/>
                <w:sz w:val="18"/>
                <w:szCs w:val="18"/>
                <w:color w:val="0000FF"/>
                <w:w w:val="86"/>
              </w:rPr>
            </w:pPr>
            <w:hyperlink r:id="rId158">
              <w:r>
                <w:rPr>
                  <w:rFonts w:ascii="Times New Roman" w:cs="Times New Roman" w:eastAsia="Times New Roman" w:hAnsi="Times New Roman"/>
                  <w:sz w:val="18"/>
                  <w:szCs w:val="18"/>
                  <w:color w:val="0000FF"/>
                  <w:w w:val="86"/>
                </w:rPr>
                <w:t>SEC on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December 18, 2019).</w:t>
              </w:r>
            </w:hyperlink>
          </w:p>
        </w:tc>
        <w:tc>
          <w:tcPr>
            <w:tcW w:w="686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Deed, dated November 2, 2018, by and among CME Group Inc., NEX Group plc and Michael Spencer</w:t>
              </w:r>
            </w:hyperlink>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Borders>
              <w:top w:val="single" w:sz="8" w:color="0000FF"/>
            </w:tcBorders>
            <w:gridSpan w:val="37"/>
          </w:tcPr>
          <w:p>
            <w:pPr>
              <w:spacing w:after="0"/>
              <w:rPr>
                <w:rFonts w:ascii="Times New Roman" w:cs="Times New Roman" w:eastAsia="Times New Roman" w:hAnsi="Times New Roman"/>
                <w:sz w:val="18"/>
                <w:szCs w:val="18"/>
                <w:u w:val="single" w:color="auto"/>
                <w:color w:val="0000FF"/>
                <w:w w:val="98"/>
              </w:rPr>
            </w:pPr>
            <w:hyperlink r:id="rId159">
              <w:r>
                <w:rPr>
                  <w:rFonts w:ascii="Times New Roman" w:cs="Times New Roman" w:eastAsia="Times New Roman" w:hAnsi="Times New Roman"/>
                  <w:sz w:val="18"/>
                  <w:szCs w:val="18"/>
                  <w:u w:val="single" w:color="auto"/>
                  <w:color w:val="0000FF"/>
                  <w:w w:val="98"/>
                </w:rPr>
                <w:t>(incorporated by reference to Exhibit 10.1 to CME Group Inc.'s Form 8-K, filed with the SEC on November 8, 2018)</w:t>
              </w:r>
            </w:hyperlink>
          </w:p>
        </w:tc>
        <w:tc>
          <w:tcPr>
            <w:tcW w:w="180" w:type="dxa"/>
            <w:vAlign w:val="bottom"/>
            <w:gridSpan w:val="10"/>
          </w:tcPr>
          <w:p>
            <w:pPr>
              <w:jc w:val="right"/>
              <w:ind w:right="6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w:t>
              </w:r>
            </w:hyperlink>
          </w:p>
        </w:tc>
        <w:tc>
          <w:tcPr>
            <w:tcW w:w="0" w:type="dxa"/>
            <w:vAlign w:val="bottom"/>
          </w:tcPr>
          <w:p>
            <w:pPr>
              <w:spacing w:after="0"/>
              <w:rPr>
                <w:sz w:val="1"/>
                <w:szCs w:val="1"/>
                <w:color w:val="auto"/>
              </w:rPr>
            </w:pPr>
          </w:p>
        </w:tc>
      </w:tr>
      <w:tr>
        <w:trPr>
          <w:trHeight w:val="2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License Agreement, dated June 29, 2012, between Standard &amp; Poor's Financial Services LLC and Chicago Mercantile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Exchange Inc. (incorporated by reference to Exhibit 10.6 to CME Group Inc.'s Form 10-Q, filed with the SEC on</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August 8, 2012).</w:t>
              </w:r>
            </w:hyperlink>
          </w:p>
        </w:tc>
        <w:tc>
          <w:tcPr>
            <w:tcW w:w="12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2440" w:type="dxa"/>
            <w:vAlign w:val="bottom"/>
            <w:gridSpan w:val="2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4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2,250,000,000 Credit Agreement, dated as of November 21, 2017, among CME Group Inc., certain lenders, agents,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arrangers, bookrunners and Bank of America, N.A., as Administrative Agent (incorporated by reference to Exhibit</w:t>
              </w:r>
            </w:hyperlink>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CME Group Inc.'s Form 8-K, filed with the SEC on November 27, 2017).</w:t>
              </w:r>
            </w:hyperlink>
          </w:p>
        </w:tc>
        <w:tc>
          <w:tcPr>
            <w:tcW w:w="2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gridSpan w:val="5"/>
            <w:vMerge w:val="restart"/>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1 to Credit Agreement and Bank Joinder Agreement, dated as of November 1, 2018, among Chicago</w:t>
              </w:r>
            </w:hyperlink>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99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84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Mercantile Exchange Inc., Bank of America, N.A., in its capacity as administrative agent, Citibank, N.A., in its</w:t>
              </w:r>
            </w:hyperlink>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800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capacity as Collateral Agent, and certain banks (incorporated by reference to Exhibit 10.1 to CME Group Inc.'s</w:t>
              </w:r>
            </w:hyperlink>
          </w:p>
        </w:tc>
        <w:tc>
          <w:tcPr>
            <w:tcW w:w="1980" w:type="dxa"/>
            <w:vAlign w:val="bottom"/>
            <w:gridSpan w:val="3"/>
          </w:tcPr>
          <w:p>
            <w:pPr>
              <w:ind w:left="40"/>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8-K, filed with the SEC on November 7, 2018).</w:t>
              </w:r>
            </w:hyperlink>
          </w:p>
        </w:tc>
        <w:tc>
          <w:tcPr>
            <w:tcW w:w="5020" w:type="dxa"/>
            <w:vAlign w:val="bottom"/>
            <w:tcBorders>
              <w:top w:val="single" w:sz="8" w:color="0000FF"/>
            </w:tcBorders>
            <w:gridSpan w:val="2"/>
          </w:tcPr>
          <w:p>
            <w:pPr>
              <w:spacing w:after="0"/>
              <w:rPr>
                <w:sz w:val="13"/>
                <w:szCs w:val="13"/>
                <w:color w:val="auto"/>
              </w:rPr>
            </w:pPr>
          </w:p>
        </w:tc>
        <w:tc>
          <w:tcPr>
            <w:tcW w:w="15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033"/>
        </w:trPr>
        <w:tc>
          <w:tcPr>
            <w:tcW w:w="1260" w:type="dxa"/>
            <w:vAlign w:val="bottom"/>
          </w:tcPr>
          <w:p>
            <w:pPr>
              <w:spacing w:after="0"/>
              <w:rPr>
                <w:sz w:val="24"/>
                <w:szCs w:val="24"/>
                <w:color w:val="auto"/>
              </w:rPr>
            </w:pPr>
          </w:p>
        </w:tc>
        <w:tc>
          <w:tcPr>
            <w:tcW w:w="800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00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54349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122" w:lineRule="exact"/>
        <w:rPr>
          <w:sz w:val="20"/>
          <w:szCs w:val="20"/>
          <w:color w:val="auto"/>
        </w:rPr>
      </w:pPr>
    </w:p>
    <w:p>
      <w:pPr>
        <w:ind w:right="1600"/>
        <w:spacing w:after="0" w:line="214"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Amendment No. 2 to Credit Agreement and Bank Joinder Agreement, dated as of May 1, 2019, between Chicago</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Mercantile Exchange Inc., certain lenders, Bank of America, N.A., as Administrative Agent and Citibank N.A. as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Collateral Agent and Collateral Monitoring Agent. The Amended Credit Agreement, as amended as of May 1, 2019,</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between Chicago Mercantile Exchange Inc., certain lenders, Bank of America, N.A., as Administrative Agent and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Citibank N.A. as Collateral Agent and Collateral Monitoring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CME Group Inc.'s Form 8-K, filed with the SEC on May 6, 2019</w:t>
        </w:r>
        <w:r>
          <w:rPr>
            <w:rFonts w:ascii="Times New Roman" w:cs="Times New Roman" w:eastAsia="Times New Roman" w:hAnsi="Times New Roman"/>
            <w:sz w:val="18"/>
            <w:szCs w:val="18"/>
            <w:u w:val="single" w:color="auto"/>
            <w:color w:val="000000"/>
          </w:rPr>
          <w:t>).</w:t>
        </w:r>
      </w:hyperlink>
    </w:p>
    <w:p>
      <w:pPr>
        <w:spacing w:after="0" w:line="54" w:lineRule="exact"/>
        <w:rPr>
          <w:rFonts w:ascii="Times New Roman" w:cs="Times New Roman" w:eastAsia="Times New Roman" w:hAnsi="Times New Roman"/>
          <w:sz w:val="18"/>
          <w:szCs w:val="18"/>
          <w:u w:val="single" w:color="auto"/>
          <w:color w:val="0000FF"/>
        </w:rPr>
      </w:pPr>
    </w:p>
    <w:p>
      <w:pPr>
        <w:ind w:right="1640"/>
        <w:spacing w:after="0" w:line="227" w:lineRule="auto"/>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Amendment No. 3 to Credit Agreement and Bank Joinder Agreement, dated as of April 29, 2020, between Chicago</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Mercantile Exchange Inc., certain lenders, Bank of America, N.A., as Administrative Agent and Citibank N.A., as</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Collateral Agent and Collateral Monitoring Agent. The Amended Credit Agreement, as amended as of April 29,</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2020, between Chicago Mercantile Exchange Inc., certain lenders, Bank of America, N.A., as Administrative Agent</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and Citibank N.A. as Collateral Agent and Collateral Monitoring Agent is attached as Annex A to the Amendment</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(incorporated by reference to Exhibit 10.1 to CME Group Inc.'s Form 8-K, filed with the SEC on April 30, 2020).</w:t>
        </w:r>
      </w:hyperlink>
    </w:p>
    <w:p>
      <w:pPr>
        <w:spacing w:after="0" w:line="52" w:lineRule="exact"/>
        <w:rPr>
          <w:rFonts w:ascii="Times New Roman" w:cs="Times New Roman" w:eastAsia="Times New Roman" w:hAnsi="Times New Roman"/>
          <w:sz w:val="17"/>
          <w:szCs w:val="17"/>
          <w:u w:val="single" w:color="auto"/>
          <w:color w:val="0000FF"/>
        </w:rPr>
      </w:pPr>
    </w:p>
    <w:p>
      <w:pPr>
        <w:ind w:right="150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Amended and Restated Commercial Paper Dealer Agreement, dated as of October 20, 2014, among CME Group Inc.,</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as Issuer, and Barclays Capital Inc., as Dealer (incorporated by reference to Exhibit 4.1 above).</w:t>
        </w:r>
      </w:hyperlink>
    </w:p>
    <w:p>
      <w:pPr>
        <w:spacing w:after="0" w:line="37" w:lineRule="exact"/>
        <w:rPr>
          <w:sz w:val="20"/>
          <w:szCs w:val="20"/>
          <w:color w:val="auto"/>
        </w:rPr>
      </w:pPr>
    </w:p>
    <w:p>
      <w:pPr>
        <w:sectPr>
          <w:pgSz w:w="11900" w:h="16838" w:orient="portrait"/>
          <w:cols w:equalWidth="0" w:num="2">
            <w:col w:w="1020" w:space="240"/>
            <w:col w:w="998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8520" w:type="dxa"/>
            <w:vAlign w:val="bottom"/>
            <w:gridSpan w:val="9"/>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Commercial Paper Issuing and Paying Agency Agreement, dated as of September 26, 2014, between CME Group Inc.</w:t>
              </w:r>
            </w:hyperlink>
          </w:p>
        </w:tc>
      </w:tr>
      <w:tr>
        <w:trPr>
          <w:trHeight w:val="156"/>
        </w:trPr>
        <w:tc>
          <w:tcPr>
            <w:tcW w:w="1240" w:type="dxa"/>
            <w:vAlign w:val="bottom"/>
          </w:tcPr>
          <w:p>
            <w:pPr>
              <w:spacing w:after="0"/>
              <w:rPr>
                <w:sz w:val="13"/>
                <w:szCs w:val="13"/>
                <w:color w:val="auto"/>
              </w:rPr>
            </w:pPr>
          </w:p>
        </w:tc>
        <w:tc>
          <w:tcPr>
            <w:tcW w:w="85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Bank of America, National Association, as Issuing and Paying Agent (incorporated by reference to Exhibit 4.2</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above).</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10.24</w:t>
            </w:r>
          </w:p>
        </w:tc>
        <w:tc>
          <w:tcPr>
            <w:tcW w:w="8520" w:type="dxa"/>
            <w:vAlign w:val="bottom"/>
            <w:gridSpan w:val="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r>
      <w:tr>
        <w:trPr>
          <w:trHeight w:val="156"/>
        </w:trPr>
        <w:tc>
          <w:tcPr>
            <w:tcW w:w="1240" w:type="dxa"/>
            <w:vAlign w:val="bottom"/>
          </w:tcPr>
          <w:p>
            <w:pPr>
              <w:spacing w:after="0"/>
              <w:rPr>
                <w:sz w:val="13"/>
                <w:szCs w:val="13"/>
                <w:color w:val="auto"/>
              </w:rPr>
            </w:pPr>
          </w:p>
        </w:tc>
        <w:tc>
          <w:tcPr>
            <w:tcW w:w="82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Exhibit 4.3 above).</w:t>
              </w:r>
            </w:hyperlink>
          </w:p>
        </w:tc>
        <w:tc>
          <w:tcPr>
            <w:tcW w:w="6660" w:type="dxa"/>
            <w:vAlign w:val="bottom"/>
            <w:tcBorders>
              <w:top w:val="single" w:sz="8" w:color="0000FF"/>
            </w:tcBorders>
          </w:tcPr>
          <w:p>
            <w:pPr>
              <w:spacing w:after="0"/>
              <w:rPr>
                <w:sz w:val="13"/>
                <w:szCs w:val="13"/>
                <w:color w:val="auto"/>
              </w:rPr>
            </w:pPr>
          </w:p>
        </w:tc>
        <w:tc>
          <w:tcPr>
            <w:tcW w:w="28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6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10.25</w:t>
            </w:r>
          </w:p>
        </w:tc>
        <w:tc>
          <w:tcPr>
            <w:tcW w:w="8520" w:type="dxa"/>
            <w:vAlign w:val="bottom"/>
            <w:gridSpan w:val="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r>
      <w:tr>
        <w:trPr>
          <w:trHeight w:val="228"/>
        </w:trPr>
        <w:tc>
          <w:tcPr>
            <w:tcW w:w="1240" w:type="dxa"/>
            <w:vAlign w:val="bottom"/>
          </w:tcPr>
          <w:p>
            <w:pPr>
              <w:spacing w:after="0"/>
              <w:rPr>
                <w:sz w:val="19"/>
                <w:szCs w:val="19"/>
                <w:color w:val="auto"/>
              </w:rPr>
            </w:pPr>
          </w:p>
        </w:tc>
        <w:tc>
          <w:tcPr>
            <w:tcW w:w="822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Inc., as Issuer, and Goldman, Sachs &amp; Co., as Dealer (incorporated by reference to Exhibit 4.4 above).</w:t>
              </w:r>
            </w:hyperlink>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r>
      <w:tr>
        <w:trPr>
          <w:trHeight w:val="252"/>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21.1*</w:t>
            </w:r>
          </w:p>
        </w:tc>
        <w:tc>
          <w:tcPr>
            <w:tcW w:w="8520" w:type="dxa"/>
            <w:vAlign w:val="bottom"/>
            <w:gridSpan w:val="9"/>
          </w:tcPr>
          <w:p>
            <w:pPr>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List of Subsidiaries of CME Group Inc.</w:t>
              </w:r>
            </w:hyperlink>
          </w:p>
        </w:tc>
      </w:tr>
      <w:tr>
        <w:trPr>
          <w:trHeight w:val="324"/>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23.1*</w:t>
            </w:r>
          </w:p>
        </w:tc>
        <w:tc>
          <w:tcPr>
            <w:tcW w:w="8520" w:type="dxa"/>
            <w:vAlign w:val="bottom"/>
            <w:gridSpan w:val="9"/>
          </w:tcPr>
          <w:p>
            <w:pPr>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Consent of Ernst &amp; Young LLP.</w:t>
              </w:r>
            </w:hyperlink>
          </w:p>
        </w:tc>
      </w:tr>
      <w:tr>
        <w:trPr>
          <w:trHeight w:val="28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31.1*</w:t>
            </w:r>
          </w:p>
        </w:tc>
        <w:tc>
          <w:tcPr>
            <w:tcW w:w="8520" w:type="dxa"/>
            <w:vAlign w:val="bottom"/>
            <w:gridSpan w:val="9"/>
          </w:tcPr>
          <w:p>
            <w:pPr>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Section 302—Certification of Terrence A. Duffy.</w:t>
              </w:r>
            </w:hyperlink>
          </w:p>
        </w:tc>
      </w:tr>
      <w:tr>
        <w:trPr>
          <w:trHeight w:val="28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31.2*</w:t>
            </w:r>
          </w:p>
        </w:tc>
        <w:tc>
          <w:tcPr>
            <w:tcW w:w="8520" w:type="dxa"/>
            <w:vAlign w:val="bottom"/>
            <w:gridSpan w:val="9"/>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Section 302—Certification of John W. Pietrowicz.</w:t>
              </w:r>
            </w:hyperlink>
          </w:p>
        </w:tc>
      </w:tr>
      <w:tr>
        <w:trPr>
          <w:trHeight w:val="24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32.1*</w:t>
            </w:r>
          </w:p>
        </w:tc>
        <w:tc>
          <w:tcPr>
            <w:tcW w:w="8520" w:type="dxa"/>
            <w:vAlign w:val="bottom"/>
            <w:gridSpan w:val="9"/>
          </w:tcPr>
          <w:p>
            <w:pPr>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Certification Pursuant to 18 U.S.C. Section 1350, as Adopted Pursuant to Section 906 of the Sarbanes-Oxley Act of</w:t>
              </w:r>
            </w:hyperlink>
          </w:p>
        </w:tc>
      </w:tr>
      <w:tr>
        <w:trPr>
          <w:trHeight w:val="155"/>
        </w:trPr>
        <w:tc>
          <w:tcPr>
            <w:tcW w:w="12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w:anchor="page110">
              <w:r>
                <w:rPr>
                  <w:rFonts w:ascii="Times New Roman" w:cs="Times New Roman" w:eastAsia="Times New Roman" w:hAnsi="Times New Roman"/>
                  <w:sz w:val="18"/>
                  <w:szCs w:val="18"/>
                  <w:color w:val="0000FF"/>
                  <w:w w:val="93"/>
                </w:rPr>
                <w:t>2002.</w:t>
              </w:r>
            </w:hyperlink>
          </w:p>
        </w:tc>
        <w:tc>
          <w:tcPr>
            <w:tcW w:w="1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6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184" w:lineRule="exact"/>
        <w:rPr>
          <w:sz w:val="20"/>
          <w:szCs w:val="20"/>
          <w:color w:val="auto"/>
        </w:rPr>
      </w:pPr>
    </w:p>
    <w:p>
      <w:pPr>
        <w:ind w:left="1260" w:right="1500" w:hanging="1234"/>
        <w:spacing w:after="0" w:line="217"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Annual Report on Form 10-K for the year ended December 31, 2020,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50" w:lineRule="exact"/>
        <w:rPr>
          <w:sz w:val="20"/>
          <w:szCs w:val="20"/>
          <w:color w:val="auto"/>
        </w:rPr>
      </w:pPr>
    </w:p>
    <w:p>
      <w:pPr>
        <w:ind w:left="1260" w:right="2080" w:hanging="1234"/>
        <w:spacing w:after="0" w:line="237"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CME Group Inc.'s Annual Report on Form 10-K for the year ended December 31, 2020, formatted in Inline XBRL.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pursuant to Rule 406 of the Securities Act of 1933, as amended, has been previously granted by the SEC for portions of this exhibit.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26th day of February, 2021.</w:t>
      </w:r>
    </w:p>
    <w:p>
      <w:pPr>
        <w:spacing w:after="0" w:line="1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4"/>
                <w:szCs w:val="14"/>
                <w:color w:val="auto"/>
              </w:rPr>
              <w:t>IETROWICZ</w:t>
            </w:r>
          </w:p>
        </w:tc>
      </w:tr>
      <w:tr>
        <w:trPr>
          <w:trHeight w:val="128"/>
        </w:trPr>
        <w:tc>
          <w:tcPr>
            <w:tcW w:w="19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0" w:type="dxa"/>
            <w:vAlign w:val="bottom"/>
            <w:tcBorders>
              <w:top w:val="single" w:sz="8" w:color="auto"/>
            </w:tcBorders>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John W. Pietrowicz</w:t>
            </w:r>
          </w:p>
        </w:tc>
        <w:tc>
          <w:tcPr>
            <w:tcW w:w="20" w:type="dxa"/>
            <w:vAlign w:val="bottom"/>
          </w:tcPr>
          <w:p>
            <w:pPr>
              <w:spacing w:after="0"/>
              <w:rPr>
                <w:sz w:val="11"/>
                <w:szCs w:val="11"/>
                <w:color w:val="auto"/>
              </w:rPr>
            </w:pPr>
          </w:p>
        </w:tc>
      </w:tr>
      <w:tr>
        <w:trPr>
          <w:trHeight w:val="190"/>
        </w:trPr>
        <w:tc>
          <w:tcPr>
            <w:tcW w:w="19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Managing Director and Chief Financial Officer</w:t>
            </w:r>
          </w:p>
        </w:tc>
      </w:tr>
      <w:tr>
        <w:trPr>
          <w:trHeight w:val="750"/>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68"/>
        </w:trPr>
        <w:tc>
          <w:tcPr>
            <w:tcW w:w="19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TERRENCE A. DUFFY</w:t>
            </w:r>
          </w:p>
        </w:tc>
        <w:tc>
          <w:tcPr>
            <w:tcW w:w="200" w:type="dxa"/>
            <w:vAlign w:val="bottom"/>
          </w:tcPr>
          <w:p>
            <w:pPr>
              <w:spacing w:after="0"/>
              <w:rPr>
                <w:sz w:val="23"/>
                <w:szCs w:val="23"/>
                <w:color w:val="auto"/>
              </w:rPr>
            </w:pPr>
          </w:p>
        </w:tc>
        <w:tc>
          <w:tcPr>
            <w:tcW w:w="5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Chairman of the Board, Director and Chief Executive Officer</w:t>
            </w: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Terrence A. Duffy</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W. PIETROWICZ</w:t>
            </w:r>
          </w:p>
        </w:tc>
        <w:tc>
          <w:tcPr>
            <w:tcW w:w="200" w:type="dxa"/>
            <w:vAlign w:val="bottom"/>
          </w:tcPr>
          <w:p>
            <w:pPr>
              <w:spacing w:after="0"/>
              <w:rPr>
                <w:sz w:val="24"/>
                <w:szCs w:val="24"/>
                <w:color w:val="auto"/>
              </w:rPr>
            </w:pPr>
          </w:p>
        </w:tc>
        <w:tc>
          <w:tcPr>
            <w:tcW w:w="5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Senior Managing Director and Chief Financial Officer</w:t>
            </w: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John W. Pietrowicz</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84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JACK TOBIN</w:t>
            </w:r>
          </w:p>
        </w:tc>
        <w:tc>
          <w:tcPr>
            <w:tcW w:w="200" w:type="dxa"/>
            <w:vAlign w:val="bottom"/>
          </w:tcPr>
          <w:p>
            <w:pPr>
              <w:spacing w:after="0"/>
              <w:rPr>
                <w:sz w:val="24"/>
                <w:szCs w:val="24"/>
                <w:color w:val="auto"/>
              </w:rPr>
            </w:pPr>
          </w:p>
        </w:tc>
        <w:tc>
          <w:tcPr>
            <w:tcW w:w="5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Managing Director and Chief Accounting Officer</w:t>
            </w: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Jack Tobin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TIMOTHY S. BITSBERGER</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Timothy S. Bitsberger</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CHARLES P. CAREY</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w w:val="99"/>
              </w:rPr>
              <w:t>Charles P. Carey</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4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DENNIS H. CHOOKASZIAN</w:t>
            </w:r>
          </w:p>
        </w:tc>
        <w:tc>
          <w:tcPr>
            <w:tcW w:w="20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Dennis H. Chookaszian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ELIZABETH A. COOK</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Elizabeth A. Cook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MICHAEL G. DENNIS</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Michael G. Dennis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BRYAN T. DURKIN</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Bryan T. Durkin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84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ANA DUTRA</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Ana Dutra</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MARTIN J. GEPSMAN</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Martin J. Gepsman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LARRY G. GERDES</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Larry G. Gerdes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19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DANIEL R. GLICKMAN</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Daniel R. Glickman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WILLIAM W. HOBERT</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William W. Hobert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3"/>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DANIEL G. KAYE</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Daniel G. Kaye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PHYLLIS M. LOCKETT</w:t>
            </w:r>
          </w:p>
        </w:tc>
        <w:tc>
          <w:tcPr>
            <w:tcW w:w="2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rPr>
              <w:t>Phyllis M. Lockett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92"/>
        </w:trPr>
        <w:tc>
          <w:tcPr>
            <w:tcW w:w="19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DEBORAH J. LUCAS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Deborah J. Lucas</w:t>
            </w:r>
          </w:p>
        </w:tc>
        <w:tc>
          <w:tcPr>
            <w:tcW w:w="8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PATRICK W. MALONEY</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W. Maloney</w:t>
            </w:r>
          </w:p>
        </w:tc>
        <w:tc>
          <w:tcPr>
            <w:tcW w:w="820" w:type="dxa"/>
            <w:vAlign w:val="bottom"/>
          </w:tcPr>
          <w:p>
            <w:pPr>
              <w:spacing w:after="0"/>
              <w:rPr>
                <w:sz w:val="15"/>
                <w:szCs w:val="15"/>
                <w:color w:val="auto"/>
              </w:rPr>
            </w:pPr>
          </w:p>
        </w:tc>
      </w:tr>
      <w:tr>
        <w:trPr>
          <w:trHeight w:val="323"/>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PATRICK J. MULCHRONE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78"/>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J. Mulchrone</w:t>
            </w:r>
          </w:p>
        </w:tc>
        <w:tc>
          <w:tcPr>
            <w:tcW w:w="820" w:type="dxa"/>
            <w:vAlign w:val="bottom"/>
          </w:tcPr>
          <w:p>
            <w:pPr>
              <w:spacing w:after="0"/>
              <w:rPr>
                <w:sz w:val="15"/>
                <w:szCs w:val="15"/>
                <w:color w:val="auto"/>
              </w:rPr>
            </w:pPr>
          </w:p>
        </w:tc>
      </w:tr>
      <w:tr>
        <w:trPr>
          <w:trHeight w:val="234"/>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/S/ TERRY L. SAVAGE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Terry L. Savage</w:t>
            </w:r>
          </w:p>
        </w:tc>
        <w:tc>
          <w:tcPr>
            <w:tcW w:w="820" w:type="dxa"/>
            <w:vAlign w:val="bottom"/>
          </w:tcPr>
          <w:p>
            <w:pPr>
              <w:spacing w:after="0"/>
              <w:rPr>
                <w:sz w:val="15"/>
                <w:szCs w:val="15"/>
                <w:color w:val="auto"/>
              </w:rPr>
            </w:pPr>
          </w:p>
        </w:tc>
      </w:tr>
      <w:tr>
        <w:trPr>
          <w:trHeight w:val="282"/>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RAHAEL SEIFU</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Rahael Seifu</w:t>
            </w:r>
          </w:p>
        </w:tc>
        <w:tc>
          <w:tcPr>
            <w:tcW w:w="820" w:type="dxa"/>
            <w:vAlign w:val="bottom"/>
          </w:tcPr>
          <w:p>
            <w:pPr>
              <w:spacing w:after="0"/>
              <w:rPr>
                <w:sz w:val="15"/>
                <w:szCs w:val="15"/>
                <w:color w:val="auto"/>
              </w:rPr>
            </w:pPr>
          </w:p>
        </w:tc>
      </w:tr>
      <w:tr>
        <w:trPr>
          <w:trHeight w:val="336"/>
        </w:trPr>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WILLIAM R. SHEPARD</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William R. Shepard</w:t>
            </w:r>
          </w:p>
        </w:tc>
        <w:tc>
          <w:tcPr>
            <w:tcW w:w="8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HOWARD J. SIEGEL</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Howard J. Siegel</w:t>
            </w:r>
          </w:p>
        </w:tc>
        <w:tc>
          <w:tcPr>
            <w:tcW w:w="820" w:type="dxa"/>
            <w:vAlign w:val="bottom"/>
          </w:tcPr>
          <w:p>
            <w:pPr>
              <w:spacing w:after="0"/>
              <w:rPr>
                <w:sz w:val="15"/>
                <w:szCs w:val="15"/>
                <w:color w:val="auto"/>
              </w:rPr>
            </w:pPr>
          </w:p>
        </w:tc>
      </w:tr>
      <w:tr>
        <w:trPr>
          <w:trHeight w:val="282"/>
        </w:trPr>
        <w:tc>
          <w:tcPr>
            <w:tcW w:w="19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DENNIS A. SUSKIND</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Dennis A. Suskind</w:t>
            </w:r>
          </w:p>
        </w:tc>
        <w:tc>
          <w:tcPr>
            <w:tcW w:w="820" w:type="dxa"/>
            <w:vAlign w:val="bottom"/>
          </w:tcPr>
          <w:p>
            <w:pPr>
              <w:spacing w:after="0"/>
              <w:rPr>
                <w:sz w:val="15"/>
                <w:szCs w:val="15"/>
                <w:color w:val="auto"/>
              </w:rPr>
            </w:pPr>
          </w:p>
        </w:tc>
      </w:tr>
      <w:tr>
        <w:trPr>
          <w:trHeight w:val="282"/>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ROBERT J. TIERNEY JR.</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Robert J. Tierney Jr.</w:t>
            </w: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139"/>
          </w:cols>
          <w:pgMar w:left="320" w:top="118" w:right="1440" w:bottom="1440" w:gutter="0" w:footer="0" w:header="0"/>
        </w:sectPr>
      </w:pPr>
    </w:p>
    <w:bookmarkStart w:id="96" w:name="page97"/>
    <w:bookmarkEnd w:id="96"/>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05"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The following is a description of our capital stock. The following description is a summary and is qualified in its entirety by reference to our certificate of incorporation, as amended (“Certificate of Incorporation), our bylaws, as amended (“Bylaws”) and the relevant provisions of Delaware law.</w:t>
      </w:r>
    </w:p>
    <w:p>
      <w:pPr>
        <w:spacing w:after="0" w:line="20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0"/>
          <w:szCs w:val="20"/>
          <w:color w:val="auto"/>
        </w:rPr>
        <w:t>As used in this “Description of Capital Stock,” the terms “CME Group,” “we,” “our” and “us” refer to CME Group Inc., a Delaware corporation, and do not, unless otherwise provided, include subsidiaries of CME Group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authorized capital stock of 1,010,003,138 shares consists of the following:</w:t>
      </w:r>
    </w:p>
    <w:p>
      <w:pPr>
        <w:spacing w:after="0" w:line="229"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1,000,000,000 authorized shares of Class A Common Stock, par value $.01 per share (the “Class A Common Stock”);</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625 authorized shares of Class B-1 Common Stock, par value $.01 per share (the “Class B-1 Common Stock”);</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813 authorized shares of Class B-2 Common Stock, par value $.01 per share (the “Class B-2 Common Stock”);</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1,287 authorized shares of Class B-3 Common Stock, par value $.01 per share (the “Class B-3 Common Stock”);</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413 authorized shares of Class B-4 Common Stock, par value $.01 per share (the “Class B-4 Common Stock”); and</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10,000,000 authorized shares of Preferred Stock, par value $.01 per share (the “Preferred Stock”).</w:t>
      </w:r>
    </w:p>
    <w:p>
      <w:pPr>
        <w:spacing w:after="0" w:line="228"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9"/>
          <w:szCs w:val="19"/>
          <w:color w:val="auto"/>
        </w:rPr>
        <w:t>The term “Class B Common Stock” means, collectively, Class B-1 Common Stock, Class B-2 Common Stock, Class B-3 Common Stock and Class B-4 Common Stock. We refer to the Class A Common Stock and Class B Common Stock collectively as the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42"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0"/>
          <w:szCs w:val="20"/>
          <w:color w:val="auto"/>
        </w:rPr>
        <w:t>With the exception of the matters reserved to holders of Class B Common Stock, holders of common stock vote together on all matters for which a vote of common shareholders is required. In these votes, each holder of shares of Class A Common Stock or Class B Common Stock has one vote per share. Matters reserved to the holders of Class B Common Stock, votes applicable to each class of Class B Common Stock in these matters and certain voting restrictions on holders of Class B Common Stock are described below under “Additional Provisions of Class B Common Stock.”</w:t>
      </w:r>
    </w:p>
    <w:p>
      <w:pPr>
        <w:spacing w:after="0" w:line="202"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Holders of common stock are entitled to receive, and to share equally on a per share basis in, such dividends and other distributions, if any, as may be declared by our board of directors (“Board”), subject to the rights of holders of Preferred Stock. Holders of our common stock have no conversion, preemptive</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9"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or subscription rights. In the event of any liquidation, dissolution or winding up of CME Group, holders of common stock are entitled to receive any amounts available for distribution to holders of common stock after the payment of, or provision for, obligations of CME Group and any preferential amounts payable to holders of any outstanding shares of Preferred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Provisions of Class B Common Stock</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Class B Common Stock comprises four classes with the following characteristics: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37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Directors</w:t>
            </w: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Votes Per Share</w:t>
            </w:r>
          </w:p>
        </w:tc>
        <w:tc>
          <w:tcPr>
            <w:tcW w:w="0" w:type="dxa"/>
            <w:vAlign w:val="bottom"/>
          </w:tcPr>
          <w:p>
            <w:pPr>
              <w:spacing w:after="0"/>
              <w:rPr>
                <w:sz w:val="1"/>
                <w:szCs w:val="1"/>
                <w:color w:val="auto"/>
              </w:rPr>
            </w:pPr>
          </w:p>
        </w:tc>
      </w:tr>
      <w:tr>
        <w:trPr>
          <w:trHeight w:val="175"/>
        </w:trPr>
        <w:tc>
          <w:tcPr>
            <w:tcW w:w="220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7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Associated Exchange Membership</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Class</w:t>
            </w: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on</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78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Can Elect</w:t>
            </w:r>
          </w:p>
        </w:tc>
        <w:tc>
          <w:tcPr>
            <w:tcW w:w="20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“Core Rights”</w:t>
            </w: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CME Division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B-2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813</w:t>
            </w:r>
          </w:p>
        </w:tc>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International Monetary Market Division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B-3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1,287</w:t>
            </w:r>
          </w:p>
        </w:tc>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Index and Option Market Division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B-4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Growth and Emerging Markets Division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Associated Exchange Membership. </w:t>
      </w:r>
      <w:r>
        <w:rPr>
          <w:rFonts w:ascii="Times New Roman" w:cs="Times New Roman" w:eastAsia="Times New Roman" w:hAnsi="Times New Roman"/>
          <w:sz w:val="19"/>
          <w:szCs w:val="19"/>
          <w:color w:val="auto"/>
        </w:rPr>
        <w:t>Each class of Class B Common Stock is associated with a membership in a specific division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trading at Chicago Mercantile Exchange Inc. (“CME”). A CME trading right is a separate asset that is not part of or evidenced by the associated share of Class B Common Stock. The Class B Common Stock is intended only to ensure that the holders of Class B Common Stock retain rights with respect to the election of six members to the Board and approval rights with respect to the Core Rights described below.</w:t>
      </w:r>
    </w:p>
    <w:p>
      <w:pPr>
        <w:spacing w:after="0" w:line="193" w:lineRule="exact"/>
        <w:rPr>
          <w:sz w:val="20"/>
          <w:szCs w:val="20"/>
          <w:color w:val="auto"/>
        </w:rPr>
      </w:pPr>
    </w:p>
    <w:p>
      <w:pPr>
        <w:ind w:right="460" w:firstLine="648"/>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 xml:space="preserve">Voting on Core Rights. </w:t>
      </w:r>
      <w:r>
        <w:rPr>
          <w:rFonts w:ascii="Times New Roman" w:cs="Times New Roman" w:eastAsia="Times New Roman" w:hAnsi="Times New Roman"/>
          <w:sz w:val="19"/>
          <w:szCs w:val="19"/>
          <w:color w:val="auto"/>
        </w:rPr>
        <w:t>Holders of shares of our Class B Common Stock have the right to approve changes to specified rights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relating to the trading privileges at CME associated with those shares. These “Core Rights” consist of:</w:t>
      </w:r>
    </w:p>
    <w:p>
      <w:pPr>
        <w:spacing w:after="0" w:line="196"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divisional product allocation rules applicable to each membership class as set forth in the rules of CME;</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trading floor access rights and privileges granted to members of CME;</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authorized and issued shares of any class of Class B Common Stock; and</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eligibility requirements for any person to exercise any of the trading rights or privileges of members in CME.</w:t>
      </w:r>
    </w:p>
    <w:p>
      <w:pPr>
        <w:spacing w:after="0" w:line="22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9"/>
          <w:szCs w:val="19"/>
          <w:color w:val="auto"/>
        </w:rPr>
        <w:t>Votes on changes to Core Rights are weighted by class. Each class of Class B Common Stock has the following number of votes on matters relating to Core Rights: Class B-1 Common Stock, six votes per share; Class B-2 Common Stock, two votes per share; Class B-3 Common Stock, one vote per share; and Class B-4 Common Stock, one-sixth of one vote per share. Any change to Core Rights must be approved by a majority of the aggregate votes cast by the holders of the Class B Common Stock present (in person or by proxy) and voting at the meeting of holders of Class B Common Stock called for the purpose of voting on the proposed change, provided that holders of at least a majority of the aggregate number of votes entitled to vote on the matter are present at such meeting. Under Delaware law, changes to the</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authorized shares of a class also require the approval of the holders of a majority of the outstanding shares of that class.</w:t>
      </w:r>
    </w:p>
    <w:p>
      <w:pPr>
        <w:spacing w:after="0" w:line="21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Election of Directors. </w:t>
      </w:r>
      <w:r>
        <w:rPr>
          <w:rFonts w:ascii="Times New Roman" w:cs="Times New Roman" w:eastAsia="Times New Roman" w:hAnsi="Times New Roman"/>
          <w:sz w:val="19"/>
          <w:szCs w:val="19"/>
          <w:color w:val="auto"/>
        </w:rPr>
        <w:t>Our Certificate of Incorporation provides that the number of directors that shall constitute the whole Board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shall be fixed exclusively by one or more resolutions adopted by our Board, which number shall be no more than 30. Holders of Class B-1 Common Stock, Class B-2 Common Stock and Class B-3 Common Stock have the right to elect six directors to our Board, of which three (the “Class B-1 Directors”) are elected by the holders of Class B-1 Common Stock, two (the “Class B-2 Directors”) are elected by the holders of Class B-2 Common Stock and one (the “Class B-3 Director”) is elected by the holders of Class B-3 Common Stock. We refer to the Class B-1 Directors, the Class B-2 Directors and the Class B-3 Director collectively as the “Class B Directors.” The directors that are not Class B Directors, which we refer to as equity directors, are elected by the holders of the Class A Common Stock and Class B Common Stock, voting together as a class. Nominees for election as equity directors are nominated for election by our Board upon the recommendation of the Nominating and Governance Committee of our Board. As provided in the Bylaws, in connection with the 2021 annual meeting and at each annual meeting thereafter, nominees for each class of Class B Directors will include eligible nominees selected by the Board’s Nominating and Governance Committee and nominees who satisfy the existing requirements for write-in nominees. Our Certificate of Incorporation requires that director candidates for election by a class of Class B Common Stock own, or be recognized as the owner for the purposes of CME of, at least one share of that class.</w:t>
      </w:r>
    </w:p>
    <w:p>
      <w:pPr>
        <w:spacing w:after="0" w:line="200" w:lineRule="exact"/>
        <w:rPr>
          <w:sz w:val="20"/>
          <w:szCs w:val="20"/>
          <w:color w:val="auto"/>
        </w:rPr>
      </w:pPr>
    </w:p>
    <w:p>
      <w:pPr>
        <w:spacing w:after="0" w:line="22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Voting Restrictions. </w:t>
      </w:r>
      <w:r>
        <w:rPr>
          <w:rFonts w:ascii="Times New Roman" w:cs="Times New Roman" w:eastAsia="Times New Roman" w:hAnsi="Times New Roman"/>
          <w:sz w:val="19"/>
          <w:szCs w:val="19"/>
          <w:color w:val="auto"/>
        </w:rPr>
        <w:t>Our Certificate of Incorporation provides that, for so long as any person or group of persons acting in concert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beneficially own 15% or more of the outstanding shares of any class of Class B Common Stock, then in any election of directors elected by that class or other exercise of voting rights with respect to Core Rights or with respect to the election or removal of directors, such person or group is only entitled to vote a number of shares of that class of Class B Common Stock that constitutes a percentage of the total number of outstanding shares of that class which is less than or equal to the percentage of Class A Common Stock beneficially owned by such person or group.</w:t>
      </w:r>
    </w:p>
    <w:p>
      <w:pPr>
        <w:spacing w:after="0" w:line="200" w:lineRule="exact"/>
        <w:rPr>
          <w:sz w:val="20"/>
          <w:szCs w:val="20"/>
          <w:color w:val="auto"/>
        </w:rPr>
      </w:pPr>
    </w:p>
    <w:p>
      <w:pPr>
        <w:spacing w:after="0" w:line="205" w:lineRule="exact"/>
        <w:rPr>
          <w:sz w:val="20"/>
          <w:szCs w:val="20"/>
          <w:color w:val="auto"/>
        </w:rPr>
      </w:pPr>
    </w:p>
    <w:p>
      <w:pPr>
        <w:ind w:right="280" w:firstLine="648"/>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Transfer Restrictions. </w:t>
      </w:r>
      <w:r>
        <w:rPr>
          <w:rFonts w:ascii="Times New Roman" w:cs="Times New Roman" w:eastAsia="Times New Roman" w:hAnsi="Times New Roman"/>
          <w:sz w:val="19"/>
          <w:szCs w:val="19"/>
          <w:color w:val="auto"/>
        </w:rPr>
        <w:t>Shares of Class B Common Stock are subject to transfer restrictions contained in our Certificate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Incorporation. These transfer restrictions prohibit the sale or transfer of any shares of Class B Common Stock separate from the sale of the associated membership interest in CME. No membership in CME may be sold unless the purchaser also acquires the associated share of Class B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42"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20"/>
          <w:szCs w:val="20"/>
          <w:color w:val="auto"/>
        </w:rPr>
        <w:t>We are authorized to issue up to 10 million shares of Preferred Stock. Our Certificate of Incorporation authorizes the issuance of shares of Preferred Stock in one or more series at such times and for such consideration as our Board may determine and authorizes our Board to fix the relative powers, rights, designations, preferences, qualifications, limitations and restrictions of the shares of each wholly unissued series. Our Board may fix the number of shares of each series of Preferred Stock, but not below the number of shares of that series then outstanding, without any further vote or action by our shareholders. Our Board may authorize the issuance of Preferred Stock with voting or conversion rights that could adversely affect the voting power or other rights of the holders of our common stock.</w:t>
      </w:r>
    </w:p>
    <w:p>
      <w:pPr>
        <w:spacing w:after="0" w:line="205" w:lineRule="exact"/>
        <w:rPr>
          <w:sz w:val="20"/>
          <w:szCs w:val="20"/>
          <w:color w:val="auto"/>
        </w:rPr>
      </w:pPr>
    </w:p>
    <w:p>
      <w:pPr>
        <w:ind w:right="740" w:firstLine="648"/>
        <w:spacing w:after="0" w:line="255" w:lineRule="auto"/>
        <w:rPr>
          <w:sz w:val="20"/>
          <w:szCs w:val="20"/>
          <w:color w:val="auto"/>
        </w:rPr>
      </w:pPr>
      <w:r>
        <w:rPr>
          <w:rFonts w:ascii="Times New Roman" w:cs="Times New Roman" w:eastAsia="Times New Roman" w:hAnsi="Times New Roman"/>
          <w:sz w:val="20"/>
          <w:szCs w:val="20"/>
          <w:color w:val="auto"/>
        </w:rPr>
        <w:t>When CME Group issues Preferred Stock, we will provide specific information about the particular series being offered in a prospectus supplement. This information will include some or all of the following:</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9"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title or designation of the series;</w:t>
      </w:r>
    </w:p>
    <w:p>
      <w:pPr>
        <w:spacing w:after="0" w:line="228" w:lineRule="exact"/>
        <w:rPr>
          <w:rFonts w:ascii="Arial" w:cs="Arial" w:eastAsia="Arial" w:hAnsi="Arial"/>
          <w:sz w:val="20"/>
          <w:szCs w:val="20"/>
          <w:color w:val="auto"/>
        </w:rPr>
      </w:pPr>
    </w:p>
    <w:p>
      <w:pPr>
        <w:ind w:left="660" w:right="340" w:hanging="328"/>
        <w:spacing w:after="0" w:line="254"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shares of the series, which the Board may thereafter (except where otherwise provided in the designations for such series) increase or decrease (but not below the number of shares of such series then outstanding);</w:t>
      </w:r>
    </w:p>
    <w:p>
      <w:pPr>
        <w:spacing w:after="0" w:line="187" w:lineRule="exact"/>
        <w:rPr>
          <w:rFonts w:ascii="Arial" w:cs="Arial" w:eastAsia="Arial" w:hAnsi="Arial"/>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whether dividends, if any, will be cumulative or noncumulative and the dividend rate of the series;</w:t>
      </w:r>
    </w:p>
    <w:p>
      <w:pPr>
        <w:spacing w:after="0" w:line="228" w:lineRule="exact"/>
        <w:rPr>
          <w:rFonts w:ascii="Arial" w:cs="Arial" w:eastAsia="Arial" w:hAnsi="Arial"/>
          <w:sz w:val="20"/>
          <w:szCs w:val="20"/>
          <w:color w:val="auto"/>
        </w:rPr>
      </w:pPr>
    </w:p>
    <w:p>
      <w:pPr>
        <w:ind w:left="660" w:right="140" w:hanging="328"/>
        <w:spacing w:after="0" w:line="254"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conditions upon which and the dates at which dividends, if any, will be payable, and the relation that such dividends, if any, will bear to the dividends payable on any other series or classes of stock;</w:t>
      </w:r>
    </w:p>
    <w:p>
      <w:pPr>
        <w:spacing w:after="0" w:line="187" w:lineRule="exact"/>
        <w:rPr>
          <w:rFonts w:ascii="Arial" w:cs="Arial" w:eastAsia="Arial" w:hAnsi="Arial"/>
          <w:sz w:val="20"/>
          <w:szCs w:val="20"/>
          <w:color w:val="auto"/>
        </w:rPr>
      </w:pPr>
    </w:p>
    <w:p>
      <w:pPr>
        <w:ind w:left="660" w:right="340" w:hanging="328"/>
        <w:spacing w:after="0" w:line="254"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redemption rights and price or prices, if any, for shares of the series and at whose option such redemption may occur, and any limitations, restrictions or conditions on such redemption;</w:t>
      </w:r>
    </w:p>
    <w:p>
      <w:pPr>
        <w:spacing w:after="0" w:line="187" w:lineRule="exact"/>
        <w:rPr>
          <w:rFonts w:ascii="Arial" w:cs="Arial" w:eastAsia="Arial" w:hAnsi="Arial"/>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and amounts of any sinking fund provided for the purchase or redemption of shares of the series;</w:t>
      </w:r>
    </w:p>
    <w:p>
      <w:pPr>
        <w:spacing w:after="0" w:line="228" w:lineRule="exact"/>
        <w:rPr>
          <w:rFonts w:ascii="Arial" w:cs="Arial" w:eastAsia="Arial" w:hAnsi="Arial"/>
          <w:sz w:val="20"/>
          <w:szCs w:val="20"/>
          <w:color w:val="auto"/>
        </w:rPr>
      </w:pPr>
    </w:p>
    <w:p>
      <w:pPr>
        <w:ind w:left="660" w:right="220" w:hanging="328"/>
        <w:spacing w:after="0" w:line="254"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amounts payable on and the preferences, if any, of shares of the series, in the event of any voluntary or involuntary liquidation, dissolution or winding up of the affairs of CME Group;</w:t>
      </w:r>
    </w:p>
    <w:p>
      <w:pPr>
        <w:spacing w:after="0" w:line="187" w:lineRule="exact"/>
        <w:rPr>
          <w:rFonts w:ascii="Arial" w:cs="Arial" w:eastAsia="Arial" w:hAnsi="Arial"/>
          <w:sz w:val="20"/>
          <w:szCs w:val="20"/>
          <w:color w:val="auto"/>
        </w:rPr>
      </w:pPr>
    </w:p>
    <w:p>
      <w:pPr>
        <w:ind w:left="660" w:right="160" w:hanging="328"/>
        <w:spacing w:after="0" w:line="236"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shares of the series will be convertible or exchangeable into shares of any other class or series, or any other security of CME Group or any other entity, and, if so, the specification of such other class or series or such other security, the conversion price or prices or exchange rate or rates, any adjustments thereof, the date or dates as of which such shares will be convertible or exchangeable and all other terms and conditions upon which such conversion or exchange may be made;</w:t>
      </w:r>
    </w:p>
    <w:p>
      <w:pPr>
        <w:spacing w:after="0" w:line="201" w:lineRule="exact"/>
        <w:rPr>
          <w:rFonts w:ascii="Arial" w:cs="Arial" w:eastAsia="Arial" w:hAnsi="Arial"/>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Preferred Stock being offered will be listed on any securities exchange;</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if necessary, a discussion of certain federal income tax considerations applicable to the Preferred Stock being offered;</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voting rights, in addition to the voting rights provided by law, if any, of the holders of shares of such series; and</w:t>
      </w:r>
    </w:p>
    <w:p>
      <w:pPr>
        <w:spacing w:after="0" w:line="228" w:lineRule="exact"/>
        <w:rPr>
          <w:rFonts w:ascii="Arial" w:cs="Arial" w:eastAsia="Arial" w:hAnsi="Arial"/>
          <w:sz w:val="20"/>
          <w:szCs w:val="20"/>
          <w:color w:val="auto"/>
        </w:rPr>
      </w:pPr>
    </w:p>
    <w:p>
      <w:pPr>
        <w:ind w:left="660" w:right="280" w:hanging="328"/>
        <w:spacing w:after="0" w:line="254" w:lineRule="auto"/>
        <w:tabs>
          <w:tab w:leader="none" w:pos="648"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any other relative rights, preferences, limitations and powers not inconsistent with applicable law, our Certificate of Incorporation then in effect or our Bylaws then in effect.</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0"/>
          <w:szCs w:val="20"/>
          <w:color w:val="auto"/>
        </w:rPr>
        <w:t>Upon issuance, the shares of Preferred Stock will be fully paid and non-assessable, which means that its holders will have paid their purchase price in full and we may not require them to pay additional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Indemnification of Directors and Executive Officers and Limitation of Liability</w:t>
      </w:r>
    </w:p>
    <w:p>
      <w:pPr>
        <w:spacing w:after="0" w:line="24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Section 145 of the General Corporation Law of the State of Delaware (the “DGCL”) authorizes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w:t>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39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0"/>
          <w:szCs w:val="20"/>
          <w:color w:val="auto"/>
        </w:rPr>
        <w:t>As permitted by Delaware law, our Certificate of Incorporation includes a provision that eliminates the personal liability of our directors for monetary damages for breach of fiduciary duty as a director, except for liability (1) for any breach of the director’s duty of loyalty to us or our shareholders; (2) for acts or omissions not in good faith or that involve intentional misconduct or a knowing violation of law; (3) under Section 174 of the DGCL regarding unlawful dividends and stock purchases; or (4) for any transaction from which the director derived an improper personal benefit.</w:t>
      </w:r>
    </w:p>
    <w:p>
      <w:pPr>
        <w:spacing w:after="0" w:line="202"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0"/>
          <w:szCs w:val="20"/>
          <w:color w:val="auto"/>
        </w:rPr>
        <w:t>As permitted by Delaware law, our Certificate of Incorporation and our Bylaws provide that (1) we shall indemnify our directors and officers and former directors and officers to the fullest extent permitted by law; (2) such indemnification includes the right to advancement of expenses, if we have received an undertaking by the person receiving such advance to repay all amounts advanced if it should be determined that he or she is not entitled to be indemnified by us; and (3) the rights to indemnification conferred in our Certificate of Incorporation and our Bylaws are not exclusive.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Exclusive Forum</w:t>
      </w:r>
    </w:p>
    <w:p>
      <w:pPr>
        <w:spacing w:after="0" w:line="24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20"/>
          <w:szCs w:val="20"/>
          <w:color w:val="auto"/>
        </w:rPr>
        <w:t>Our Bylaws provide that, unless we consent to the selection of an alternative forum, the Court of Chancery of the State of Delaware shall be the sole and exclusive forum for (i) any derivative action or proceed on behalf of us, (ii) any action asserting a claim of breach of a fiduciary duty owed by any of our directors, officers, shareholders, employees or agents to us or our shareholders, (iii) any action asserting a claim against us or any of our directors, officers, shareholders, employees or agents arising out of or relating to any provision of the DGCL or our Certificate of Incorporation or Bylaws, or (iv) any action asserting a claim against us or any of our directors, officers, shareholders, employees or agents governed by the internal affairs doctrine of the State of Delaware; provided, however, that, in the event that the Court of Chancery of the State of Delaware lacks subject matter jurisdiction over any such action or proceeding described in clauses (i) through (iv) of this paragraph,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Certificate of Incorporation and Bylaw Provisions</w:t>
      </w:r>
    </w:p>
    <w:p>
      <w:pPr>
        <w:spacing w:after="0" w:line="242" w:lineRule="exact"/>
        <w:rPr>
          <w:sz w:val="20"/>
          <w:szCs w:val="20"/>
          <w:color w:val="auto"/>
        </w:rPr>
      </w:pPr>
    </w:p>
    <w:p>
      <w:pPr>
        <w:ind w:right="280" w:firstLine="648"/>
        <w:spacing w:after="0"/>
        <w:rPr>
          <w:sz w:val="20"/>
          <w:szCs w:val="20"/>
          <w:color w:val="auto"/>
        </w:rPr>
      </w:pPr>
      <w:r>
        <w:rPr>
          <w:rFonts w:ascii="Times New Roman" w:cs="Times New Roman" w:eastAsia="Times New Roman" w:hAnsi="Times New Roman"/>
          <w:sz w:val="20"/>
          <w:szCs w:val="20"/>
          <w:color w:val="auto"/>
        </w:rPr>
        <w:t>Our Certificate of Incorporation and Bylaws include a number of anti-takeover provisions that may have the effect of encouraging persons considering unsolicited tender offers or other unilateral takeover proposals to negotiate with our Board rather than pursue non-negotiated takeover attempts. These provisions include:</w:t>
      </w:r>
    </w:p>
    <w:p>
      <w:pPr>
        <w:spacing w:after="0" w:line="19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Filling Vacancies on the Board. </w:t>
      </w:r>
      <w:r>
        <w:rPr>
          <w:rFonts w:ascii="Times New Roman" w:cs="Times New Roman" w:eastAsia="Times New Roman" w:hAnsi="Times New Roman"/>
          <w:sz w:val="19"/>
          <w:szCs w:val="19"/>
          <w:color w:val="auto"/>
        </w:rPr>
        <w:t>Our Certificate of Incorporation provides that vacancies on our Board may be filled by a majority of our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Board, and any director elected to fill such a vacancy will have the same remaining term as that of his or her predecessor, but any Class B vacancy must be filled from among the candidates who ran in the previous election for that directorship with the candidates being selected to fill the vacancy in the order of the aggregate number of votes received in the previous election. The inability of shareholders to fill vacancies on our Board will make it more difficult to change the composition of our Board.</w:t>
      </w:r>
    </w:p>
    <w:p>
      <w:pPr>
        <w:spacing w:after="0" w:line="19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Advance Notice Requirements. </w:t>
      </w:r>
      <w:r>
        <w:rPr>
          <w:rFonts w:ascii="Times New Roman" w:cs="Times New Roman" w:eastAsia="Times New Roman" w:hAnsi="Times New Roman"/>
          <w:sz w:val="19"/>
          <w:szCs w:val="19"/>
          <w:color w:val="auto"/>
        </w:rPr>
        <w:t>Our Bylaws establish advance notice procedures with regard to shareholder proposals relating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nomination of candidates for election as directors or new business to be brought before meetings of shareholders. These procedures provide that notice of shareholder</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proposals must be timely and given in proper written form to our Secretary prior to the meeting at which the action is to be taken. Generally, to be timely, notice must be delivered to our Secretary at our principal executive offices not fewer than 90 days or more than 120 days prior to the first anniversary of the preceding year’s annual meeting of shareholders. The notice must contain the information required by our Bylaws, including information regarding the proposal and the proponent.</w:t>
      </w:r>
    </w:p>
    <w:p>
      <w:pPr>
        <w:spacing w:after="0" w:line="192" w:lineRule="exact"/>
        <w:rPr>
          <w:sz w:val="20"/>
          <w:szCs w:val="20"/>
          <w:color w:val="auto"/>
        </w:rPr>
      </w:pPr>
    </w:p>
    <w:p>
      <w:pPr>
        <w:jc w:val="both"/>
        <w:ind w:right="2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Meetings of Shareholders. </w:t>
      </w:r>
      <w:r>
        <w:rPr>
          <w:rFonts w:ascii="Times New Roman" w:cs="Times New Roman" w:eastAsia="Times New Roman" w:hAnsi="Times New Roman"/>
          <w:sz w:val="19"/>
          <w:szCs w:val="19"/>
          <w:color w:val="auto"/>
        </w:rPr>
        <w:t>Our Certificate of Incorporation and Bylaws deny shareholders the right to call a special meeting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shareholders. Our Certificate of Incorporation and Bylaws provide that only the chairman of our board or a majority of the Board may call special meetings of the shareholders.</w:t>
      </w:r>
    </w:p>
    <w:p>
      <w:pPr>
        <w:spacing w:after="0" w:line="191" w:lineRule="exact"/>
        <w:rPr>
          <w:sz w:val="20"/>
          <w:szCs w:val="20"/>
          <w:color w:val="auto"/>
        </w:rPr>
      </w:pPr>
    </w:p>
    <w:p>
      <w:pPr>
        <w:ind w:right="620"/>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Written Consent of Shareholders. </w:t>
      </w:r>
      <w:r>
        <w:rPr>
          <w:rFonts w:ascii="Times New Roman" w:cs="Times New Roman" w:eastAsia="Times New Roman" w:hAnsi="Times New Roman"/>
          <w:sz w:val="19"/>
          <w:szCs w:val="19"/>
          <w:color w:val="auto"/>
        </w:rPr>
        <w:t>Our Certificate of Incorporation requires all shareholder actions to be taken by a vote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shareholders at an annual or special meeting and does not permit the shareholders to act by written consent, without a meeting.</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of Certificate of Incorporation and Bylaws. </w:t>
      </w:r>
      <w:r>
        <w:rPr>
          <w:rFonts w:ascii="Times New Roman" w:cs="Times New Roman" w:eastAsia="Times New Roman" w:hAnsi="Times New Roman"/>
          <w:sz w:val="19"/>
          <w:szCs w:val="19"/>
          <w:color w:val="auto"/>
        </w:rPr>
        <w:t>Our Certificate of Incorporation generally requires the approval of not less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than two-thirds of the voting power of all outstanding shares of common stock entitled to vote to amend any Bylaws by shareholder action or the Certificate of Incorporation provisions, other than those with respect to filling vacancies on the Board, described in this “Other Certificate of Incorporation and Bylaw Provisions” section. Only our Class B shareholders may amend provisions of our Certificate of Incorporation relating to the Core Rights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Delaware Takeover Statute</w:t>
      </w:r>
    </w:p>
    <w:p>
      <w:pPr>
        <w:spacing w:after="0" w:line="242" w:lineRule="exact"/>
        <w:rPr>
          <w:sz w:val="20"/>
          <w:szCs w:val="20"/>
          <w:color w:val="auto"/>
        </w:rPr>
      </w:pPr>
    </w:p>
    <w:p>
      <w:pPr>
        <w:jc w:val="both"/>
        <w:ind w:right="200" w:firstLine="648"/>
        <w:spacing w:after="0"/>
        <w:rPr>
          <w:sz w:val="20"/>
          <w:szCs w:val="20"/>
          <w:color w:val="auto"/>
        </w:rPr>
      </w:pPr>
      <w:r>
        <w:rPr>
          <w:rFonts w:ascii="Times New Roman" w:cs="Times New Roman" w:eastAsia="Times New Roman" w:hAnsi="Times New Roman"/>
          <w:sz w:val="20"/>
          <w:szCs w:val="20"/>
          <w:color w:val="auto"/>
        </w:rPr>
        <w:t>We are subject to Section 203 of the DGCL (“Section 203”). Subject to exceptions set forth in Section 203, Section 203 prohibits a Delaware corporation from engaging in any business combination with any interested stockholder for a period of three years following the time that such stockholder became an interested stockholder, unless:</w:t>
      </w:r>
    </w:p>
    <w:p>
      <w:pPr>
        <w:spacing w:after="0" w:line="201" w:lineRule="exact"/>
        <w:rPr>
          <w:sz w:val="20"/>
          <w:szCs w:val="20"/>
          <w:color w:val="auto"/>
        </w:rPr>
      </w:pPr>
    </w:p>
    <w:p>
      <w:pPr>
        <w:ind w:left="660" w:right="140" w:hanging="328"/>
        <w:spacing w:after="0" w:line="254" w:lineRule="auto"/>
        <w:tabs>
          <w:tab w:leader="none" w:pos="648"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prior to such time, the board of directors of the corporation approved either the business combination or the transaction that resulted in the stockholder becoming an interested stockholder;</w:t>
      </w:r>
    </w:p>
    <w:p>
      <w:pPr>
        <w:spacing w:after="0" w:line="187" w:lineRule="exact"/>
        <w:rPr>
          <w:rFonts w:ascii="Arial" w:cs="Arial" w:eastAsia="Arial" w:hAnsi="Arial"/>
          <w:sz w:val="20"/>
          <w:szCs w:val="20"/>
          <w:color w:val="auto"/>
        </w:rPr>
      </w:pPr>
    </w:p>
    <w:p>
      <w:pPr>
        <w:ind w:left="660" w:right="40" w:hanging="328"/>
        <w:spacing w:after="0" w:line="247" w:lineRule="auto"/>
        <w:tabs>
          <w:tab w:leader="none" w:pos="648"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(x) by persons who are directors and also officers and (y) by employee stock plans in which employee participants do not have the right to determine confidentially whether shares held subject to the plan will be tendered in a tender or exchange offer; or</w:t>
      </w:r>
    </w:p>
    <w:p>
      <w:pPr>
        <w:spacing w:after="0" w:line="197" w:lineRule="exact"/>
        <w:rPr>
          <w:rFonts w:ascii="Arial" w:cs="Arial" w:eastAsia="Arial" w:hAnsi="Arial"/>
          <w:sz w:val="19"/>
          <w:szCs w:val="19"/>
          <w:color w:val="auto"/>
        </w:rPr>
      </w:pPr>
    </w:p>
    <w:p>
      <w:pPr>
        <w:ind w:left="660" w:hanging="328"/>
        <w:spacing w:after="0" w:line="239" w:lineRule="auto"/>
        <w:tabs>
          <w:tab w:leader="none" w:pos="648"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203 defines a business combination to include generally:</w:t>
      </w:r>
    </w:p>
    <w:p>
      <w:pPr>
        <w:spacing w:after="0" w:line="229"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any merger or consolidation involving the corporation and the interested stockholder;</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9"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w:t>
      </w:r>
    </w:p>
    <w:p>
      <w:pPr>
        <w:spacing w:after="0" w:line="228" w:lineRule="exact"/>
        <w:rPr>
          <w:rFonts w:ascii="Arial" w:cs="Arial" w:eastAsia="Arial" w:hAnsi="Arial"/>
          <w:sz w:val="20"/>
          <w:szCs w:val="20"/>
          <w:color w:val="auto"/>
        </w:rPr>
      </w:pPr>
    </w:p>
    <w:p>
      <w:pPr>
        <w:ind w:left="660" w:hanging="328"/>
        <w:spacing w:after="0" w:line="242" w:lineRule="auto"/>
        <w:tabs>
          <w:tab w:leader="none" w:pos="648"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any transaction that results in the issuance or transfer by the corporation of any stock of the corporation to the interested stockholder except (a) pursuant to the exercise, exchange or conversion of securities exercisable for, exchangeable for or convertible into stock of such corporation, which securities were outstanding prior to the time that the interested stockholder became such, (b) pursuant to a merger of a parent and a wholly-owned subsidiary meeting specified criteria, (c) pursuant to a dividend or distribution paid or made, or the exercise, exchange or conversion of securities exercisable for, exchangeable for or convertible into stock of the corporation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the provisions described in the immediately-preceding clauses (c) through (e) shall there be an increase in the interested stockholder’s proportionate share of the stock of any class or series of the corporation or of the voting stock of the corporation;</w:t>
      </w:r>
    </w:p>
    <w:p>
      <w:pPr>
        <w:spacing w:after="0" w:line="199" w:lineRule="exact"/>
        <w:rPr>
          <w:rFonts w:ascii="Arial" w:cs="Arial" w:eastAsia="Arial" w:hAnsi="Arial"/>
          <w:sz w:val="19"/>
          <w:szCs w:val="19"/>
          <w:color w:val="auto"/>
        </w:rPr>
      </w:pPr>
    </w:p>
    <w:p>
      <w:pPr>
        <w:ind w:left="660" w:right="40" w:hanging="328"/>
        <w:spacing w:after="0" w:line="254" w:lineRule="auto"/>
        <w:tabs>
          <w:tab w:leader="none" w:pos="648"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187" w:lineRule="exact"/>
        <w:rPr>
          <w:rFonts w:ascii="Arial" w:cs="Arial" w:eastAsia="Arial" w:hAnsi="Arial"/>
          <w:sz w:val="20"/>
          <w:szCs w:val="20"/>
          <w:color w:val="auto"/>
        </w:rPr>
      </w:pPr>
    </w:p>
    <w:p>
      <w:pPr>
        <w:ind w:left="660" w:right="740" w:hanging="328"/>
        <w:spacing w:after="0" w:line="254" w:lineRule="auto"/>
        <w:tabs>
          <w:tab w:leader="none" w:pos="648"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by the interested shareholder of the benefit of any loans, advances, guarantees, pledges or other financial benefits provided by or through the corporation.</w:t>
      </w:r>
    </w:p>
    <w:p>
      <w:pPr>
        <w:spacing w:after="0" w:line="1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auto"/>
        </w:rPr>
        <w:t>In general, Section 203 defines an interested stockholder as any person that is the owner of 15% or more of the outstanding voting stock of the corporation, or is an affiliate or associate of the corporation and was the owner of 15% or more of the outstanding voting stock of the corporation at any time within the 3-year period immediately prior to the date on which it is sought to be determined whether such person is an interested stockholder, and the affiliates and associates of such person.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Transfer Agent and Registrar for our Class A Common Stock is Computershare Trust Company, N.A.</w:t>
      </w:r>
    </w:p>
    <w:p>
      <w:pPr>
        <w:sectPr>
          <w:pgSz w:w="11900" w:h="16838" w:orient="portrait"/>
          <w:cols w:equalWidth="0" w:num="1">
            <w:col w:w="11220"/>
          </w:cols>
          <w:pgMar w:left="320" w:top="1440"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CME Group Subsidiaries</w:t>
            </w:r>
          </w:p>
        </w:tc>
      </w:tr>
      <w:tr>
        <w:trPr>
          <w:trHeight w:val="20"/>
        </w:trPr>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
        </w:trPr>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Abide Financial DRSP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Abide Financial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Abide Financial Repository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Astley &amp; Pearce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Trade of the City of Chicago,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Americas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Holdings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Investments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Shipbrokers LLP</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Shipbrokers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Shipbroking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C-B-T Corporation</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CFETS-NEX Markets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Mercantile Exchange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Korea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Mercantile Exchange Luxembourg Holdings S.à.r.l.</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Luxembourg S.à.r.l.</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Amsterdam B.V.</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Benchmark Europe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Clearing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Consulting (Beijing) Co.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Digital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Digital Vault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Finance Holdings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Global Marketplace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Asia Holdings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Australia Pty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Benchmark Administration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Hong Kong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Index Services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International Market Data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Japan Kabushiki Kaisha</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Marketing Canada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Singapore Operations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Strategic Investments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India Holdings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India Technology and Support Services Private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Investment Firm B.V.</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London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Marketing Europe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Operations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981"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 Platforms Inc.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Shareholder Servicing LLC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 Swaps Marketplace Ltd.*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Technology and Support Services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 Trade Repository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Ventures LLC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CMEF Luxembourg S.à.r.l.</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1 Participações Ltda.</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CMEG Brazil Investments 1 LLC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Investments 2 LLC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CMEG Finance Holdings LLC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Foundation Services Inc.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CMEG México, S. de R.L. de C.V.</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NYMEX Holdings Inc.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CMEG Strategic Sdn. Bhd.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CMESCC Inc.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COMEX Clearing Association, Inc.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Exchange, Inc.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ConfirmHub, LLC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EBO Investments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Malta</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EBS (Shanghai) Information Technology Co., Ltd.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Dealing Resources International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EBS Dealing Resources Japan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Dealing Resources, Inc.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EBS Financial Technologies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Group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EBS Investments</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No. 2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EBS Service Company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Elysian Systems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Euclid Investment Holdings Inc</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Euclid Opportunities SA</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Garban Broking Services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Garban Harlow Resources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Globex Markets Ltd.*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Godsell Astley &amp; Pearce (Foreign Exchange)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Godsell Astley &amp; Pearce (Holdings) Ltd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Harlow Ueda Savage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(Germany) GmbH</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(Hong Kong)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Argentina S.A.</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Capital Markets LLC</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Lat Am Services S.A.</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Argentina</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Limited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No. 1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No. 1 Pte. Ltd.</w:t>
            </w:r>
          </w:p>
        </w:tc>
        <w:tc>
          <w:tcPr>
            <w:tcW w:w="6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Singapore</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No. 2 Limited</w:t>
            </w:r>
          </w:p>
        </w:tc>
        <w:tc>
          <w:tcPr>
            <w:tcW w:w="6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180"/>
          </w:cols>
          <w:pgMar w:left="360" w:top="1026" w:right="35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No. 2 Pte. Ltd.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No. 3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Securities Inc</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Midhurst Chartering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Brokers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York Mercantile Exchange, Inc.</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Abide Trade Repository AB</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Finance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Group Holdings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Group Investments, Inc.</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Group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International Investments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International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Markets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Optimisation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SEF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Services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 Services North America LLC</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Services Pte. Ltd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Nexstep HK 2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Nexstep HK 3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Parthenon Ltd.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Bermuda</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Pivot, Inc.</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Reset Holdings Private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Reset Private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Swapstream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Traiana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Traiana Technologies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Traiana, Inc.</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TriOptima AB</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TriOptima Asia Pacific Pte. Limited</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TriOptima Japan K.K.</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TriOptima North America LLC</w:t>
            </w:r>
          </w:p>
        </w:tc>
        <w:tc>
          <w:tcPr>
            <w:tcW w:w="6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TriOptima UK Limited</w:t>
            </w:r>
          </w:p>
        </w:tc>
        <w:tc>
          <w:tcPr>
            <w:tcW w:w="6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24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liquidation.</w:t>
            </w:r>
          </w:p>
        </w:tc>
        <w:tc>
          <w:tcPr>
            <w:tcW w:w="6940" w:type="dxa"/>
            <w:vAlign w:val="bottom"/>
          </w:tcPr>
          <w:p>
            <w:pPr>
              <w:spacing w:after="0"/>
              <w:rPr>
                <w:sz w:val="20"/>
                <w:szCs w:val="20"/>
                <w:color w:val="auto"/>
              </w:rPr>
            </w:pPr>
          </w:p>
        </w:tc>
      </w:tr>
    </w:tbl>
    <w:p>
      <w:pPr>
        <w:sectPr>
          <w:pgSz w:w="11900" w:h="16838" w:orient="portrait"/>
          <w:cols w:equalWidth="0" w:num="1">
            <w:col w:w="11180"/>
          </w:cols>
          <w:pgMar w:left="360" w:top="1030" w:right="359" w:bottom="1440" w:gutter="0" w:footer="0" w:header="0"/>
        </w:sectPr>
      </w:pPr>
    </w:p>
    <w:bookmarkStart w:id="106" w:name="page107"/>
    <w:bookmarkEnd w:id="106"/>
    <w:p>
      <w:pPr>
        <w:spacing w:after="0" w:line="26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31" w:lineRule="exact"/>
        <w:rPr>
          <w:sz w:val="20"/>
          <w:szCs w:val="20"/>
          <w:color w:val="auto"/>
        </w:rPr>
      </w:pPr>
    </w:p>
    <w:p>
      <w:pPr>
        <w:ind w:right="2860" w:firstLine="285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spacing w:after="0" w:line="59" w:lineRule="exact"/>
        <w:rPr>
          <w:sz w:val="20"/>
          <w:szCs w:val="20"/>
          <w:color w:val="auto"/>
        </w:rPr>
      </w:pPr>
    </w:p>
    <w:p>
      <w:pPr>
        <w:ind w:firstLine="449"/>
        <w:spacing w:after="0" w:line="271" w:lineRule="auto"/>
        <w:tabs>
          <w:tab w:leader="none" w:pos="75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333-105236) pertaining to the CME Group Inc. Amended and Restated Omnibus Stock Plan,</w:t>
      </w:r>
    </w:p>
    <w:p>
      <w:pPr>
        <w:spacing w:after="0" w:line="49" w:lineRule="exact"/>
        <w:rPr>
          <w:rFonts w:ascii="Times New Roman" w:cs="Times New Roman" w:eastAsia="Times New Roman" w:hAnsi="Times New Roman"/>
          <w:sz w:val="22"/>
          <w:szCs w:val="22"/>
          <w:color w:val="auto"/>
        </w:rPr>
      </w:pPr>
    </w:p>
    <w:p>
      <w:pPr>
        <w:ind w:firstLine="449"/>
        <w:spacing w:after="0" w:line="271" w:lineRule="auto"/>
        <w:tabs>
          <w:tab w:leader="none" w:pos="75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333-159932) pertaining to the CME Group Inc. Amended and Restated Omnibus Stock Plan and the 2005 Director Stock Plan,</w:t>
      </w:r>
    </w:p>
    <w:p>
      <w:pPr>
        <w:spacing w:after="0" w:line="49" w:lineRule="exact"/>
        <w:rPr>
          <w:rFonts w:ascii="Times New Roman" w:cs="Times New Roman" w:eastAsia="Times New Roman" w:hAnsi="Times New Roman"/>
          <w:sz w:val="22"/>
          <w:szCs w:val="22"/>
          <w:color w:val="auto"/>
        </w:rPr>
      </w:pPr>
    </w:p>
    <w:p>
      <w:pPr>
        <w:ind w:right="20" w:firstLine="449"/>
        <w:spacing w:after="0" w:line="271" w:lineRule="auto"/>
        <w:tabs>
          <w:tab w:leader="none" w:pos="75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and Post-Effective Amendment No. 1 No. 333-104804); Form S-8 No. 333-115656) pertaining to the Agreement between Chicago Mercantile Exchange Holdings Inc. and James J. McNulty,</w:t>
      </w:r>
    </w:p>
    <w:p>
      <w:pPr>
        <w:spacing w:after="0" w:line="49" w:lineRule="exact"/>
        <w:rPr>
          <w:rFonts w:ascii="Times New Roman" w:cs="Times New Roman" w:eastAsia="Times New Roman" w:hAnsi="Times New Roman"/>
          <w:sz w:val="22"/>
          <w:szCs w:val="22"/>
          <w:color w:val="auto"/>
        </w:rPr>
      </w:pPr>
    </w:p>
    <w:p>
      <w:pPr>
        <w:ind w:firstLine="449"/>
        <w:spacing w:after="0" w:line="271" w:lineRule="auto"/>
        <w:tabs>
          <w:tab w:leader="none" w:pos="7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333-124497) pertaining to the Employee Stock Purchase Plan and the 2005 Director Stock Plan and Registration Statement (Form S-8 333-182741) pertaining to the Employee Stock Purchase Plan,</w:t>
      </w:r>
    </w:p>
    <w:p>
      <w:pPr>
        <w:spacing w:after="0" w:line="49" w:lineRule="exact"/>
        <w:rPr>
          <w:rFonts w:ascii="Times New Roman" w:cs="Times New Roman" w:eastAsia="Times New Roman" w:hAnsi="Times New Roman"/>
          <w:sz w:val="22"/>
          <w:szCs w:val="22"/>
          <w:color w:val="auto"/>
        </w:rPr>
      </w:pPr>
    </w:p>
    <w:p>
      <w:pPr>
        <w:ind w:firstLine="449"/>
        <w:spacing w:after="0" w:line="271" w:lineRule="auto"/>
        <w:tabs>
          <w:tab w:leader="none" w:pos="7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333-144543) pertaining to CBOT Holdings, Inc.’s 2005 Long-Term Equity Incentive Plan,</w:t>
      </w:r>
    </w:p>
    <w:p>
      <w:pPr>
        <w:spacing w:after="0" w:line="49" w:lineRule="exact"/>
        <w:rPr>
          <w:rFonts w:ascii="Times New Roman" w:cs="Times New Roman" w:eastAsia="Times New Roman" w:hAnsi="Times New Roman"/>
          <w:sz w:val="22"/>
          <w:szCs w:val="22"/>
          <w:color w:val="auto"/>
        </w:rPr>
      </w:pPr>
    </w:p>
    <w:p>
      <w:pPr>
        <w:jc w:val="both"/>
        <w:ind w:firstLine="449"/>
        <w:spacing w:after="0" w:line="257" w:lineRule="auto"/>
        <w:tabs>
          <w:tab w:leader="none" w:pos="77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333-153462) and Post-Effective Amendments No. 1 and No. 2 to Registration Statement on Form S-4 (Form S-8 No. 333-151577) pertaining to the NYMEX Holdings, Inc.’s 2006 Omnibus Long-Term Incentive Plan,</w:t>
      </w:r>
    </w:p>
    <w:p>
      <w:pPr>
        <w:spacing w:after="0" w:line="64" w:lineRule="exact"/>
        <w:rPr>
          <w:rFonts w:ascii="Times New Roman" w:cs="Times New Roman" w:eastAsia="Times New Roman" w:hAnsi="Times New Roman"/>
          <w:sz w:val="22"/>
          <w:szCs w:val="22"/>
          <w:color w:val="auto"/>
        </w:rPr>
      </w:pPr>
    </w:p>
    <w:p>
      <w:pPr>
        <w:ind w:left="760" w:hanging="311"/>
        <w:spacing w:after="0"/>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333-182741) pertaining to the Employee Stock Purchase Plan,</w:t>
      </w:r>
    </w:p>
    <w:p>
      <w:pPr>
        <w:spacing w:after="0" w:line="111" w:lineRule="exact"/>
        <w:rPr>
          <w:rFonts w:ascii="Times New Roman" w:cs="Times New Roman" w:eastAsia="Times New Roman" w:hAnsi="Times New Roman"/>
          <w:sz w:val="22"/>
          <w:szCs w:val="22"/>
          <w:color w:val="auto"/>
        </w:rPr>
      </w:pPr>
    </w:p>
    <w:p>
      <w:pPr>
        <w:ind w:firstLine="449"/>
        <w:spacing w:after="0" w:line="271" w:lineRule="auto"/>
        <w:tabs>
          <w:tab w:leader="none" w:pos="75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333-163473)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right="20" w:firstLine="449"/>
        <w:spacing w:after="0" w:line="271" w:lineRule="auto"/>
        <w:tabs>
          <w:tab w:leader="none" w:pos="75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333-185311)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firstLine="449"/>
        <w:spacing w:after="0" w:line="271" w:lineRule="auto"/>
        <w:tabs>
          <w:tab w:leader="none" w:pos="85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333-208334)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right="20" w:firstLine="449"/>
        <w:spacing w:after="0" w:line="271" w:lineRule="auto"/>
        <w:tabs>
          <w:tab w:leader="none" w:pos="84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333-232982) Shelf Registration Statement for the offering of debt securities, Class A Common Stock, Preferred Stock and Warrants.</w:t>
      </w:r>
    </w:p>
    <w:p>
      <w:pPr>
        <w:spacing w:after="0" w:line="2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our reports dated February 26, 2021, with respect to the consolidated financial statements and schedule of CME Group Inc., and the effectiveness of internal control over financial reporting of CME Group Inc., included in this Annual Report (Form 10-K) of CME Group Inc. for the year ended December 31,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26, 2021</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tab/>
        <w:t>Terrence A. Duffy</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Pietrowicz, certify that:</w:t>
      </w:r>
    </w:p>
    <w:p>
      <w:pPr>
        <w:spacing w:after="0" w:line="171" w:lineRule="exact"/>
        <w:rPr>
          <w:sz w:val="20"/>
          <w:szCs w:val="20"/>
          <w:color w:val="auto"/>
        </w:rPr>
      </w:pPr>
    </w:p>
    <w:p>
      <w:pPr>
        <w:ind w:left="640" w:hanging="187"/>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W. Pietrowicz</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CME Group Inc. (Company) for the year ended December 31, 2020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60" w:hanging="261"/>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Terrence A. Duffy</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1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26, 2021</w:t>
            </w:r>
          </w:p>
        </w:tc>
      </w:tr>
      <w:tr>
        <w:trPr>
          <w:trHeight w:val="486"/>
        </w:trPr>
        <w:tc>
          <w:tcPr>
            <w:tcW w:w="1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John W. Pietrowicz</w:t>
            </w:r>
          </w:p>
        </w:tc>
      </w:tr>
      <w:tr>
        <w:trPr>
          <w:trHeight w:val="21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W. Pietrowicz</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11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endash "/>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emdash "/>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1."/>
      <w:numFmt w:val="decimal"/>
      <w:start w:val="3"/>
    </w:lvl>
  </w:abstractNum>
  <w:abstractNum w:abstractNumId="51">
    <w:nsid w:val="7E0C57B1"/>
    <w:multiLevelType w:val="hybridMultilevel"/>
    <w:lvl w:ilvl="0">
      <w:lvlJc w:val="left"/>
      <w:lvlText w:val="%1."/>
      <w:numFmt w:val="decimal"/>
      <w:start w:val="4"/>
    </w:lvl>
  </w:abstractNum>
  <w:abstractNum w:abstractNumId="52">
    <w:nsid w:val="77AE35EB"/>
    <w:multiLevelType w:val="hybridMultilevel"/>
    <w:lvl w:ilvl="0">
      <w:lvlJc w:val="left"/>
      <w:lvlText w:val="%1."/>
      <w:numFmt w:val="decimal"/>
      <w:start w:val="10"/>
    </w:lvl>
  </w:abstractNum>
  <w:abstractNum w:abstractNumId="53">
    <w:nsid w:val="579BE4F1"/>
    <w:multiLevelType w:val="hybridMultilevel"/>
    <w:lvl w:ilvl="0">
      <w:lvlJc w:val="left"/>
      <w:lvlText w:val="%1"/>
      <w:numFmt w:val="decimal"/>
      <w:start w:val="101"/>
    </w:lvl>
  </w:abstractNum>
  <w:abstractNum w:abstractNumId="54">
    <w:nsid w:val="310C50B3"/>
    <w:multiLevelType w:val="hybridMultilevel"/>
    <w:lvl w:ilvl="0">
      <w:lvlJc w:val="left"/>
      <w:lvlText w:val="%1"/>
      <w:numFmt w:val="decimal"/>
      <w:start w:val="104"/>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decimal"/>
      <w:start w:val="5"/>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decimal"/>
      <w:start w:val="5"/>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26" Type="http://schemas.openxmlformats.org/officeDocument/2006/relationships/hyperlink" Target="http://www.sec.gov/Archives/edgar/data/1156375/000119312512251430/d359429dex31.htm" TargetMode="External"/><Relationship Id="rId127" Type="http://schemas.openxmlformats.org/officeDocument/2006/relationships/hyperlink" Target="http://www.sec.gov/Archives/edgar/data/1156375/000119312520028129/d883148dex31.htm" TargetMode="External"/><Relationship Id="rId128" Type="http://schemas.openxmlformats.org/officeDocument/2006/relationships/hyperlink" Target="http://www.sec.gov/Archives/edgar/data/1156375/000115637515000014/cme-2014123110kex41.htm" TargetMode="External"/><Relationship Id="rId129" Type="http://schemas.openxmlformats.org/officeDocument/2006/relationships/hyperlink" Target="http://www.sec.gov/Archives/edgar/data/1156375/000115637515000014/cme-2014123110kex42.htm" TargetMode="External"/><Relationship Id="rId130" Type="http://schemas.openxmlformats.org/officeDocument/2006/relationships/hyperlink" Target="http://www.sec.gov/Archives/edgar/data/1156375/000115637515000014/cme-2014123110kex43.htm" TargetMode="External"/><Relationship Id="rId131" Type="http://schemas.openxmlformats.org/officeDocument/2006/relationships/hyperlink" Target="http://www.sec.gov/Archives/edgar/data/1156375/000115637515000014/cme-2014123110kex44.htm" TargetMode="External"/><Relationship Id="rId132" Type="http://schemas.openxmlformats.org/officeDocument/2006/relationships/hyperlink" Target="http://www.sec.gov/Archives/edgar/data/1156375/000119312508176550/dex41.htm" TargetMode="External"/><Relationship Id="rId133" Type="http://schemas.openxmlformats.org/officeDocument/2006/relationships/hyperlink" Target="http://www.sec.gov/Archives/edgar/data/1156375/000119312512386203/d405801dex42.htm" TargetMode="External"/><Relationship Id="rId134" Type="http://schemas.openxmlformats.org/officeDocument/2006/relationships/hyperlink" Target="http://www.sec.gov/Archives/edgar/data/1156375/000119312513360978/d594525dex42.htm" TargetMode="External"/><Relationship Id="rId135" Type="http://schemas.openxmlformats.org/officeDocument/2006/relationships/hyperlink" Target="http://www.sec.gov/Archives/edgar/data/1156375/000119312515082491/d887316dex42.htm" TargetMode="External"/><Relationship Id="rId136" Type="http://schemas.openxmlformats.org/officeDocument/2006/relationships/hyperlink" Target="http://www.sec.gov/Archives/edgar/data/1156375/000119312518199544/d771010dex42.htm" TargetMode="External"/><Relationship Id="rId137" Type="http://schemas.openxmlformats.org/officeDocument/2006/relationships/hyperlink" Target="http://www.sec.gov/Archives/edgar/data/1156375/000119312518199544/d771010dex43.htm" TargetMode="External"/><Relationship Id="rId138" Type="http://schemas.openxmlformats.org/officeDocument/2006/relationships/hyperlink" Target="http://www.sec.gov/Archives/edgar/data/1156375/000119312517186768/d594804dex102.htm" TargetMode="External"/><Relationship Id="rId139" Type="http://schemas.openxmlformats.org/officeDocument/2006/relationships/hyperlink" Target="http://www.sec.gov/Archives/edgar/data/1156375/000115637518000026/cme-2017123110kex102.htm" TargetMode="External"/><Relationship Id="rId140" Type="http://schemas.openxmlformats.org/officeDocument/2006/relationships/hyperlink" Target="http://www.sec.gov/Archives/edgar/data/1156375/000115637518000026/cme-2017123110kex103.htm" TargetMode="External"/><Relationship Id="rId141" Type="http://schemas.openxmlformats.org/officeDocument/2006/relationships/hyperlink" Target="http://www.sec.gov/Archives/edgar/data/1156375/000119312514214151/d733968dex101.htm" TargetMode="External"/><Relationship Id="rId144" Type="http://schemas.openxmlformats.org/officeDocument/2006/relationships/hyperlink" Target="http://www.sec.gov/Archives/edgar/data/1156375/000115637518000026/cme-2017123110kex105.htm" TargetMode="External"/><Relationship Id="rId145" Type="http://schemas.openxmlformats.org/officeDocument/2006/relationships/hyperlink" Target="http://www.sec.gov/Archives/edgar/data/1156375/000119312512251430/d359429dex102.htm" TargetMode="External"/><Relationship Id="rId146" Type="http://schemas.openxmlformats.org/officeDocument/2006/relationships/hyperlink" Target="http://www.sec.gov/Archives/edgar/data/1156375/000115637513000007/cme-2012123110kex107.htm" TargetMode="External"/><Relationship Id="rId147" Type="http://schemas.openxmlformats.org/officeDocument/2006/relationships/hyperlink" Target="http://www.sec.gov/Archives/edgar/data/1156375/000115637517000080/cme-201763010qex101.htm" TargetMode="External"/><Relationship Id="rId148" Type="http://schemas.openxmlformats.org/officeDocument/2006/relationships/hyperlink" Target="http://www.sec.gov/Archives/edgar/data/1156375/000119312509042361/dex109.htm" TargetMode="External"/><Relationship Id="rId149" Type="http://schemas.openxmlformats.org/officeDocument/2006/relationships/hyperlink" Target="http://www.sec.gov/Archives/edgar/data/1156375/000119312508040449/dex109.htm" TargetMode="External"/><Relationship Id="rId150" Type="http://schemas.openxmlformats.org/officeDocument/2006/relationships/hyperlink" Target="http://www.sec.gov/Archives/edgar/data/1103945/000095013100001428/0000950131-00-001428.txt" TargetMode="External"/><Relationship Id="rId151" Type="http://schemas.openxmlformats.org/officeDocument/2006/relationships/hyperlink" Target="http://www.sec.gov/Archives/edgar/data/1105018/000095012301002844/y46628ex10-11.txt" TargetMode="External"/><Relationship Id="rId152" Type="http://schemas.openxmlformats.org/officeDocument/2006/relationships/hyperlink" Target="http://www.sec.gov/Archives/edgar/data/1156375/000115637515000108/cme-201593010qex101.htm" TargetMode="External"/><Relationship Id="rId153" Type="http://schemas.openxmlformats.org/officeDocument/2006/relationships/hyperlink" Target="http://www.sec.gov/Archives/edgar/data/1156375/000119312517186768/d594804dex101.htm" TargetMode="External"/><Relationship Id="rId154" Type="http://schemas.openxmlformats.org/officeDocument/2006/relationships/hyperlink" Target="http://www.sec.gov/Archives/edgar/data/1156375/000115637514000012/cme-2013123110kex1017.htm" TargetMode="External"/><Relationship Id="rId155" Type="http://schemas.openxmlformats.org/officeDocument/2006/relationships/hyperlink" Target="http://www.sec.gov/Archives/edgar/data/1156375/000115637515000014/cme-2014123110kex1016.htm" TargetMode="External"/><Relationship Id="rId156" Type="http://schemas.openxmlformats.org/officeDocument/2006/relationships/hyperlink" Target="http://www.sec.gov/Archives/edgar/data/1156375/000115637514000012/cme-2013123110kex1018.htm" TargetMode="External"/><Relationship Id="rId157" Type="http://schemas.openxmlformats.org/officeDocument/2006/relationships/hyperlink" Target="http://www.sec.gov/Archives/edgar/data/1156375/000115637515000014/cme-2014123110kex1017.htm" TargetMode="External"/><Relationship Id="rId158" Type="http://schemas.openxmlformats.org/officeDocument/2006/relationships/hyperlink" Target="http://www.sec.gov/Archives/edgar/data/1156375/000119312519316912/d851626dex101.htm" TargetMode="External"/><Relationship Id="rId159" Type="http://schemas.openxmlformats.org/officeDocument/2006/relationships/hyperlink" Target="http://www.sec.gov/Archives/edgar/data/1156375/000119312518322722/d644644dex101.htm" TargetMode="External"/><Relationship Id="rId160" Type="http://schemas.openxmlformats.org/officeDocument/2006/relationships/hyperlink" Target="http://www.sec.gov/Archives/edgar/data/1156375/000115637512000093/cme-201263010qex106.htm" TargetMode="External"/><Relationship Id="rId161" Type="http://schemas.openxmlformats.org/officeDocument/2006/relationships/hyperlink" Target="http://www.sec.gov/Archives/edgar/data/1156375/000115637517000114/a20171121seniorcreditfacil.htm" TargetMode="External"/><Relationship Id="rId162" Type="http://schemas.openxmlformats.org/officeDocument/2006/relationships/hyperlink" Target="http://www.sec.gov/Archives/edgar/data/1156375/000119312518320479/d581440dex101.htm" TargetMode="External"/><Relationship Id="rId167" Type="http://schemas.openxmlformats.org/officeDocument/2006/relationships/hyperlink" Target="http://www.sec.gov/Archives/edgar/data/1156375/000119312519138410/d732408dex101.htm" TargetMode="External"/><Relationship Id="rId168" Type="http://schemas.openxmlformats.org/officeDocument/2006/relationships/hyperlink" Target="http://www.sec.gov/Archives/edgar/data/1156375/000119312520128304/d9225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2021-02-26T12:32:48Z</dcterms:created>
  <dcterms:modified xsi:type="dcterms:W3CDTF">2021-02-26T12:32:48Z</dcterms:modified>
</cp:coreProperties>
</file>