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4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43"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4580" w:right="3480" w:hanging="4545"/>
        <w:spacing w:after="0" w:line="320" w:lineRule="auto"/>
        <w:tabs>
          <w:tab w:leader="none" w:pos="62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Commission File Number 001-31553</w:t>
      </w: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63"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4"/>
              </w:rPr>
              <w:t>Delaware</w:t>
            </w:r>
          </w:p>
        </w:tc>
        <w:tc>
          <w:tcPr>
            <w:tcW w:w="2980" w:type="dxa"/>
            <w:vAlign w:val="bottom"/>
          </w:tcPr>
          <w:p>
            <w:pPr>
              <w:jc w:val="right"/>
              <w:ind w:right="73"/>
              <w:spacing w:after="0"/>
              <w:rPr>
                <w:sz w:val="20"/>
                <w:szCs w:val="20"/>
                <w:color w:val="auto"/>
              </w:rPr>
            </w:pPr>
            <w:r>
              <w:rPr>
                <w:rFonts w:ascii="Arial" w:cs="Arial" w:eastAsia="Arial" w:hAnsi="Arial"/>
                <w:sz w:val="14"/>
                <w:szCs w:val="14"/>
                <w:b w:val="1"/>
                <w:bCs w:val="1"/>
                <w:color w:val="auto"/>
              </w:rPr>
              <w:t>36-4459170</w:t>
            </w:r>
          </w:p>
        </w:tc>
      </w:tr>
      <w:tr>
        <w:trPr>
          <w:trHeight w:val="156"/>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7"/>
              </w:rPr>
              <w:t>(State or Other Jurisdiction of</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90"/>
              </w:rPr>
              <w:t>Incorporation or Organization)</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89"/>
              </w:rPr>
              <w:t>Identification No.)</w:t>
            </w:r>
          </w:p>
        </w:tc>
      </w:tr>
      <w:tr>
        <w:trPr>
          <w:trHeight w:val="207"/>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3"/>
              </w:rPr>
              <w:t>20 South Wacker Drive, Chicago, Illinois</w:t>
            </w:r>
          </w:p>
        </w:tc>
        <w:tc>
          <w:tcPr>
            <w:tcW w:w="2980" w:type="dxa"/>
            <w:vAlign w:val="bottom"/>
          </w:tcPr>
          <w:p>
            <w:pPr>
              <w:jc w:val="right"/>
              <w:ind w:right="233"/>
              <w:spacing w:after="0"/>
              <w:rPr>
                <w:sz w:val="20"/>
                <w:szCs w:val="20"/>
                <w:color w:val="auto"/>
              </w:rPr>
            </w:pPr>
            <w:r>
              <w:rPr>
                <w:rFonts w:ascii="Arial" w:cs="Arial" w:eastAsia="Arial" w:hAnsi="Arial"/>
                <w:sz w:val="14"/>
                <w:szCs w:val="14"/>
                <w:b w:val="1"/>
                <w:bCs w:val="1"/>
                <w:color w:val="auto"/>
              </w:rPr>
              <w:t>60606</w:t>
            </w:r>
          </w:p>
        </w:tc>
      </w:tr>
      <w:tr>
        <w:trPr>
          <w:trHeight w:val="185"/>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0"/>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(312) 930-1000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Borders>
              <w:bottom w:val="single" w:sz="8" w:color="auto"/>
            </w:tcBorders>
          </w:tcPr>
          <w:p>
            <w:pPr>
              <w:jc w:val="center"/>
              <w:ind w:left="1657"/>
              <w:spacing w:after="0"/>
              <w:rPr>
                <w:sz w:val="20"/>
                <w:szCs w:val="20"/>
                <w:color w:val="auto"/>
              </w:rPr>
            </w:pPr>
            <w:r>
              <w:rPr>
                <w:rFonts w:ascii="Arial" w:cs="Arial" w:eastAsia="Arial" w:hAnsi="Arial"/>
                <w:sz w:val="13"/>
                <w:szCs w:val="13"/>
                <w:b w:val="1"/>
                <w:bCs w:val="1"/>
                <w:color w:val="auto"/>
                <w:w w:val="89"/>
              </w:rPr>
              <w:t>Title Of Each Class</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3"/>
        </w:trPr>
        <w:tc>
          <w:tcPr>
            <w:tcW w:w="3900" w:type="dxa"/>
            <w:vAlign w:val="bottom"/>
          </w:tcPr>
          <w:p>
            <w:pPr>
              <w:jc w:val="center"/>
              <w:ind w:left="1657"/>
              <w:spacing w:after="0"/>
              <w:rPr>
                <w:sz w:val="20"/>
                <w:szCs w:val="20"/>
                <w:color w:val="auto"/>
              </w:rPr>
            </w:pPr>
            <w:r>
              <w:rPr>
                <w:rFonts w:ascii="Arial" w:cs="Arial" w:eastAsia="Arial" w:hAnsi="Arial"/>
                <w:sz w:val="13"/>
                <w:szCs w:val="13"/>
                <w:b w:val="1"/>
                <w:bCs w:val="1"/>
                <w:color w:val="auto"/>
                <w:w w:val="86"/>
              </w:rPr>
              <w:t>Class A Common Stock $0.01 par value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3"/>
                <w:szCs w:val="13"/>
                <w:b w:val="1"/>
                <w:bCs w:val="1"/>
                <w:color w:val="auto"/>
                <w:w w:val="96"/>
              </w:rPr>
              <w:t>NASDAQ GLOBAL SELECT MARKET</w:t>
            </w:r>
          </w:p>
        </w:tc>
      </w:tr>
      <w:tr>
        <w:trPr>
          <w:trHeight w:val="216"/>
        </w:trPr>
        <w:tc>
          <w:tcPr>
            <w:tcW w:w="3900" w:type="dxa"/>
            <w:vAlign w:val="bottom"/>
          </w:tcPr>
          <w:p>
            <w:pPr>
              <w:spacing w:after="0"/>
              <w:rPr>
                <w:sz w:val="18"/>
                <w:szCs w:val="18"/>
                <w:color w:val="auto"/>
              </w:rPr>
            </w:pPr>
          </w:p>
        </w:tc>
        <w:tc>
          <w:tcPr>
            <w:tcW w:w="7520" w:type="dxa"/>
            <w:vAlign w:val="bottom"/>
            <w:gridSpan w:val="3"/>
          </w:tcPr>
          <w:p>
            <w:pPr>
              <w:jc w:val="right"/>
              <w:ind w:right="3857"/>
              <w:spacing w:after="0"/>
              <w:rPr>
                <w:sz w:val="20"/>
                <w:szCs w:val="20"/>
                <w:color w:val="auto"/>
              </w:rPr>
            </w:pPr>
            <w:r>
              <w:rPr>
                <w:rFonts w:ascii="Arial" w:cs="Arial" w:eastAsia="Arial" w:hAnsi="Arial"/>
                <w:sz w:val="13"/>
                <w:szCs w:val="13"/>
                <w:color w:val="auto"/>
                <w:w w:val="86"/>
              </w:rPr>
              <w:t>_________________________________________________________</w:t>
            </w:r>
          </w:p>
        </w:tc>
      </w:tr>
    </w:tbl>
    <w:p>
      <w:pPr>
        <w:spacing w:after="0" w:line="38"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420"/>
          </w:cols>
          <w:pgMar w:left="240" w:top="778" w:right="2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6760" w:space="140"/>
            <w:col w:w="220" w:space="60"/>
            <w:col w:w="140" w:space="140"/>
            <w:col w:w="180" w:space="80"/>
            <w:col w:w="3700"/>
          </w:cols>
          <w:pgMar w:left="240" w:top="778"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4" w:lineRule="exact"/>
        <w:rPr>
          <w:sz w:val="24"/>
          <w:szCs w:val="24"/>
          <w:color w:val="auto"/>
        </w:rPr>
      </w:pPr>
    </w:p>
    <w:p>
      <w:pPr>
        <w:sectPr>
          <w:pgSz w:w="11900" w:h="16838" w:orient="portrait"/>
          <w:cols w:equalWidth="0" w:num="5">
            <w:col w:w="6900" w:space="140"/>
            <w:col w:w="200" w:space="80"/>
            <w:col w:w="120" w:space="160"/>
            <w:col w:w="160" w:space="80"/>
            <w:col w:w="3580"/>
          </w:cols>
          <w:pgMar w:left="240" w:top="778" w:right="239" w:bottom="1440" w:gutter="0" w:footer="0" w:header="0"/>
          <w:type w:val="continuous"/>
        </w:sect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64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right="18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778" w:right="239" w:bottom="1440" w:gutter="0" w:footer="0" w:header="0"/>
          <w:type w:val="continuous"/>
        </w:sectPr>
      </w:pPr>
    </w:p>
    <w:p>
      <w:pPr>
        <w:spacing w:after="0" w:line="161"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2" w:lineRule="exact"/>
        <w:rPr>
          <w:sz w:val="24"/>
          <w:szCs w:val="24"/>
          <w:color w:val="auto"/>
        </w:rPr>
      </w:pPr>
    </w:p>
    <w:p>
      <w:pPr>
        <w:sectPr>
          <w:pgSz w:w="11900" w:h="16838" w:orient="portrait"/>
          <w:cols w:equalWidth="0" w:num="3">
            <w:col w:w="7580" w:space="720"/>
            <w:col w:w="960" w:space="180"/>
            <w:col w:w="1980"/>
          </w:cols>
          <w:pgMar w:left="240" w:top="778"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 o</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o</w:t>
      </w:r>
    </w:p>
    <w:p>
      <w:pPr>
        <w:spacing w:after="0" w:line="21" w:lineRule="exact"/>
        <w:rPr>
          <w:sz w:val="24"/>
          <w:szCs w:val="24"/>
          <w:color w:val="auto"/>
        </w:rPr>
      </w:pPr>
    </w:p>
    <w:p>
      <w:pPr>
        <w:sectPr>
          <w:pgSz w:w="11900" w:h="16838" w:orient="portrait"/>
          <w:cols w:equalWidth="0" w:num="3">
            <w:col w:w="1260" w:space="140"/>
            <w:col w:w="6180" w:space="720"/>
            <w:col w:w="3120"/>
          </w:cols>
          <w:pgMar w:left="240" w:top="778" w:right="239" w:bottom="1440" w:gutter="0" w:footer="0" w:header="0"/>
          <w:type w:val="continuous"/>
        </w:sectPr>
      </w:pPr>
    </w:p>
    <w:p>
      <w:pPr>
        <w:ind w:right="16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77" w:lineRule="auto"/>
        <w:rPr>
          <w:sz w:val="20"/>
          <w:szCs w:val="20"/>
          <w:color w:val="auto"/>
        </w:rPr>
      </w:pPr>
      <w:r>
        <w:rPr>
          <w:rFonts w:ascii="Arial" w:cs="Arial" w:eastAsia="Arial" w:hAnsi="Arial"/>
          <w:sz w:val="13"/>
          <w:szCs w:val="13"/>
          <w:color w:val="auto"/>
        </w:rPr>
        <w:t>The aggregate market value of the voting stock held by non-affiliates of the registrant as of June 30, 2018, was approximately $55.4 billion (based on the closing price per share of CME Group Inc. Class A common stock on the NASDAQ Global Select Market (NASDAQ) on such date). The number of shares outstanding of each of the registrant’s classes of common stock as of February 6, 2019 was as follows: 357,792,873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Documents</w:t>
            </w:r>
          </w:p>
        </w:tc>
        <w:tc>
          <w:tcPr>
            <w:tcW w:w="100" w:type="dxa"/>
            <w:vAlign w:val="bottom"/>
          </w:tcPr>
          <w:p>
            <w:pPr>
              <w:spacing w:after="0"/>
              <w:rPr>
                <w:sz w:val="15"/>
                <w:szCs w:val="15"/>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Form 10-K Reference</w:t>
            </w:r>
          </w:p>
        </w:tc>
      </w:tr>
      <w:tr>
        <w:trPr>
          <w:trHeight w:val="157"/>
        </w:trPr>
        <w:tc>
          <w:tcPr>
            <w:tcW w:w="5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Portions of the CME Group Inc.’s Proxy Statement for the 2019 Annual Meeting of</w:t>
            </w:r>
          </w:p>
        </w:tc>
        <w:tc>
          <w:tcPr>
            <w:tcW w:w="5320" w:type="dxa"/>
            <w:vAlign w:val="bottom"/>
          </w:tcPr>
          <w:p>
            <w:pPr>
              <w:jc w:val="center"/>
              <w:spacing w:after="0" w:line="157" w:lineRule="exact"/>
              <w:rPr>
                <w:sz w:val="20"/>
                <w:szCs w:val="20"/>
                <w:color w:val="auto"/>
              </w:rPr>
            </w:pPr>
            <w:r>
              <w:rPr>
                <w:rFonts w:ascii="Arial" w:cs="Arial" w:eastAsia="Arial" w:hAnsi="Arial"/>
                <w:sz w:val="14"/>
                <w:szCs w:val="14"/>
                <w:color w:val="auto"/>
                <w:w w:val="96"/>
              </w:rPr>
              <w:t>Part III</w:t>
            </w:r>
          </w:p>
        </w:tc>
      </w:tr>
      <w:tr>
        <w:trPr>
          <w:trHeight w:val="182"/>
        </w:trPr>
        <w:tc>
          <w:tcPr>
            <w:tcW w:w="5340" w:type="dxa"/>
            <w:vAlign w:val="bottom"/>
            <w:gridSpan w:val="2"/>
          </w:tcPr>
          <w:p>
            <w:pPr>
              <w:ind w:left="40"/>
              <w:spacing w:after="0"/>
              <w:rPr>
                <w:sz w:val="20"/>
                <w:szCs w:val="20"/>
                <w:color w:val="auto"/>
              </w:rPr>
            </w:pPr>
            <w:r>
              <w:rPr>
                <w:rFonts w:ascii="Arial" w:cs="Arial" w:eastAsia="Arial" w:hAnsi="Arial"/>
                <w:sz w:val="14"/>
                <w:szCs w:val="14"/>
                <w:color w:val="auto"/>
              </w:rPr>
              <w:t>Shareholders</w:t>
            </w:r>
          </w:p>
        </w:tc>
        <w:tc>
          <w:tcPr>
            <w:tcW w:w="5320" w:type="dxa"/>
            <w:vAlign w:val="bottom"/>
          </w:tcPr>
          <w:p>
            <w:pPr>
              <w:spacing w:after="0"/>
              <w:rPr>
                <w:sz w:val="15"/>
                <w:szCs w:val="15"/>
                <w:color w:val="auto"/>
              </w:rPr>
            </w:pPr>
          </w:p>
        </w:tc>
      </w:tr>
    </w:tbl>
    <w:p>
      <w:pPr>
        <w:sectPr>
          <w:pgSz w:w="11900" w:h="16838" w:orient="portrait"/>
          <w:cols w:equalWidth="0" w:num="1">
            <w:col w:w="11420"/>
          </w:cols>
          <w:pgMar w:left="240" w:top="778"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gridSpan w:val="9"/>
          </w:tcPr>
          <w:p>
            <w:pPr>
              <w:jc w:val="center"/>
              <w:ind w:right="3300"/>
              <w:spacing w:after="0"/>
              <w:rPr>
                <w:sz w:val="20"/>
                <w:szCs w:val="20"/>
                <w:color w:val="auto"/>
              </w:rPr>
            </w:pPr>
            <w:r>
              <w:rPr>
                <w:rFonts w:ascii="Arial" w:cs="Arial" w:eastAsia="Arial" w:hAnsi="Arial"/>
                <w:sz w:val="18"/>
                <w:szCs w:val="18"/>
                <w:b w:val="1"/>
                <w:bCs w:val="1"/>
                <w:color w:val="auto"/>
              </w:rPr>
              <w:t>CME GROUP INC.</w:t>
            </w:r>
          </w:p>
        </w:tc>
        <w:tc>
          <w:tcPr>
            <w:tcW w:w="1480" w:type="dxa"/>
            <w:vAlign w:val="bottom"/>
          </w:tcPr>
          <w:p>
            <w:pPr>
              <w:spacing w:after="0"/>
              <w:rPr>
                <w:sz w:val="20"/>
                <w:szCs w:val="20"/>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11"/>
          </w:tcPr>
          <w:p>
            <w:pPr>
              <w:jc w:val="center"/>
              <w:ind w:right="2080"/>
              <w:spacing w:after="0"/>
              <w:rPr>
                <w:sz w:val="20"/>
                <w:szCs w:val="20"/>
                <w:color w:val="auto"/>
              </w:rPr>
            </w:pPr>
            <w:r>
              <w:rPr>
                <w:rFonts w:ascii="Arial" w:cs="Arial" w:eastAsia="Arial" w:hAnsi="Arial"/>
                <w:sz w:val="18"/>
                <w:szCs w:val="18"/>
                <w:b w:val="1"/>
                <w:bCs w:val="1"/>
                <w:color w:val="auto"/>
                <w:w w:val="99"/>
              </w:rPr>
              <w:t>ANNUAL REPORT ON FORM 10-K</w:t>
            </w:r>
          </w:p>
        </w:tc>
        <w:tc>
          <w:tcPr>
            <w:tcW w:w="148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INDEX</w:t>
            </w:r>
          </w:p>
        </w:tc>
        <w:tc>
          <w:tcPr>
            <w:tcW w:w="1480" w:type="dxa"/>
            <w:vAlign w:val="bottom"/>
          </w:tcPr>
          <w:p>
            <w:pPr>
              <w:spacing w:after="0"/>
              <w:rPr>
                <w:sz w:val="24"/>
                <w:szCs w:val="24"/>
                <w:color w:val="auto"/>
              </w:rPr>
            </w:pPr>
          </w:p>
        </w:tc>
      </w:tr>
      <w:tr>
        <w:trPr>
          <w:trHeight w:val="52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Page</w:t>
            </w:r>
          </w:p>
        </w:tc>
      </w:tr>
      <w:tr>
        <w:trPr>
          <w:trHeight w:val="527"/>
        </w:trPr>
        <w:tc>
          <w:tcPr>
            <w:tcW w:w="138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372"/>
        </w:trPr>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760" w:type="dxa"/>
            <w:vAlign w:val="bottom"/>
            <w:gridSpan w:val="5"/>
          </w:tcPr>
          <w:p>
            <w:pPr>
              <w:spacing w:after="0"/>
              <w:rPr>
                <w:sz w:val="24"/>
                <w:szCs w:val="24"/>
                <w:color w:val="auto"/>
              </w:rPr>
            </w:pPr>
          </w:p>
        </w:tc>
        <w:tc>
          <w:tcPr>
            <w:tcW w:w="66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Business</w:t>
              </w:r>
            </w:hyperlink>
          </w:p>
        </w:tc>
        <w:tc>
          <w:tcPr>
            <w:tcW w:w="7860" w:type="dxa"/>
            <w:vAlign w:val="bottom"/>
            <w:gridSpan w:val="21"/>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8520" w:type="dxa"/>
            <w:vAlign w:val="bottom"/>
            <w:gridSpan w:val="22"/>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Risk Factors</w:t>
              </w:r>
            </w:hyperlink>
          </w:p>
        </w:tc>
        <w:tc>
          <w:tcPr>
            <w:tcW w:w="148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8520" w:type="dxa"/>
            <w:vAlign w:val="bottom"/>
            <w:gridSpan w:val="2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Unresolved Staff Comments</w:t>
              </w:r>
            </w:hyperlink>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21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Properties</w:t>
              </w:r>
            </w:hyperlink>
          </w:p>
        </w:tc>
        <w:tc>
          <w:tcPr>
            <w:tcW w:w="6380" w:type="dxa"/>
            <w:vAlign w:val="bottom"/>
            <w:gridSpan w:val="11"/>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1400" w:type="dxa"/>
            <w:vAlign w:val="bottom"/>
            <w:tcBorders>
              <w:bottom w:val="single" w:sz="8" w:color="0000EE"/>
            </w:tcBorders>
            <w:gridSpan w:val="4"/>
          </w:tcPr>
          <w:p>
            <w:pPr>
              <w:spacing w:after="0"/>
              <w:rPr>
                <w:rFonts w:ascii="Arial" w:cs="Arial" w:eastAsia="Arial" w:hAnsi="Arial"/>
                <w:sz w:val="18"/>
                <w:szCs w:val="18"/>
                <w:b w:val="1"/>
                <w:bCs w:val="1"/>
                <w:color w:val="0000EE"/>
                <w:w w:val="86"/>
              </w:rPr>
            </w:pPr>
            <w:hyperlink w:anchor="page25">
              <w:r>
                <w:rPr>
                  <w:rFonts w:ascii="Arial" w:cs="Arial" w:eastAsia="Arial" w:hAnsi="Arial"/>
                  <w:sz w:val="18"/>
                  <w:szCs w:val="18"/>
                  <w:b w:val="1"/>
                  <w:bCs w:val="1"/>
                  <w:color w:val="0000EE"/>
                  <w:w w:val="86"/>
                </w:rPr>
                <w:t>Legal Proceedings</w:t>
              </w:r>
            </w:hyperlink>
          </w:p>
        </w:tc>
        <w:tc>
          <w:tcPr>
            <w:tcW w:w="7120" w:type="dxa"/>
            <w:vAlign w:val="bottom"/>
            <w:gridSpan w:val="18"/>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8520" w:type="dxa"/>
            <w:vAlign w:val="bottom"/>
            <w:gridSpan w:val="22"/>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Mine Safety Disclosures</w:t>
              </w:r>
            </w:hyperlink>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547"/>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PART II.</w:t>
              </w:r>
            </w:hyperlink>
          </w:p>
        </w:tc>
        <w:tc>
          <w:tcPr>
            <w:tcW w:w="680" w:type="dxa"/>
            <w:vAlign w:val="bottom"/>
            <w:gridSpan w:val="4"/>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5.</w:t>
            </w:r>
          </w:p>
        </w:tc>
        <w:tc>
          <w:tcPr>
            <w:tcW w:w="7900" w:type="dxa"/>
            <w:vAlign w:val="bottom"/>
            <w:tcBorders>
              <w:bottom w:val="single" w:sz="8" w:color="0000EE"/>
            </w:tcBorders>
            <w:gridSpan w:val="21"/>
          </w:tcPr>
          <w:p>
            <w:pPr>
              <w:spacing w:after="0"/>
              <w:rPr>
                <w:rFonts w:ascii="Arial" w:cs="Arial" w:eastAsia="Arial" w:hAnsi="Arial"/>
                <w:sz w:val="18"/>
                <w:szCs w:val="18"/>
                <w:b w:val="1"/>
                <w:bCs w:val="1"/>
                <w:color w:val="0000EE"/>
                <w:w w:val="90"/>
              </w:rPr>
            </w:pPr>
            <w:hyperlink w:anchor="page25">
              <w:r>
                <w:rPr>
                  <w:rFonts w:ascii="Arial" w:cs="Arial" w:eastAsia="Arial" w:hAnsi="Arial"/>
                  <w:sz w:val="18"/>
                  <w:szCs w:val="18"/>
                  <w:b w:val="1"/>
                  <w:bCs w:val="1"/>
                  <w:color w:val="0000EE"/>
                  <w:w w:val="90"/>
                </w:rPr>
                <w:t>Market for Registrant’s Common Equity, Related Shareholder Matters and Issuer Purchases of Equity</w:t>
              </w:r>
            </w:hyperlink>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20" w:type="dxa"/>
            <w:vAlign w:val="bottom"/>
            <w:gridSpan w:val="22"/>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Securities</w:t>
              </w:r>
            </w:hyperlink>
          </w:p>
        </w:tc>
        <w:tc>
          <w:tcPr>
            <w:tcW w:w="1480" w:type="dxa"/>
            <w:vAlign w:val="bottom"/>
          </w:tcPr>
          <w:p>
            <w:pPr>
              <w:jc w:val="right"/>
              <w:spacing w:after="0" w:line="196" w:lineRule="exact"/>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8520" w:type="dxa"/>
            <w:vAlign w:val="bottom"/>
            <w:gridSpan w:val="2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Selected Financial Data</w:t>
              </w:r>
            </w:hyperlink>
          </w:p>
        </w:tc>
        <w:tc>
          <w:tcPr>
            <w:tcW w:w="14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8520" w:type="dxa"/>
            <w:vAlign w:val="bottom"/>
            <w:gridSpan w:val="2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462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Quantitative and Qualitative Disclosures about Market Risk</w:t>
              </w:r>
            </w:hyperlink>
          </w:p>
        </w:tc>
        <w:tc>
          <w:tcPr>
            <w:tcW w:w="2200" w:type="dxa"/>
            <w:vAlign w:val="bottom"/>
            <w:tcBorders>
              <w:top w:val="single" w:sz="8" w:color="0000EE"/>
            </w:tcBorders>
            <w:gridSpan w:val="2"/>
          </w:tcPr>
          <w:p>
            <w:pPr>
              <w:spacing w:after="0"/>
              <w:rPr>
                <w:sz w:val="24"/>
                <w:szCs w:val="24"/>
                <w:color w:val="auto"/>
              </w:rPr>
            </w:pPr>
          </w:p>
        </w:tc>
        <w:tc>
          <w:tcPr>
            <w:tcW w:w="1700" w:type="dxa"/>
            <w:vAlign w:val="bottom"/>
            <w:gridSpan w:val="4"/>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8520" w:type="dxa"/>
            <w:vAlign w:val="bottom"/>
            <w:gridSpan w:val="22"/>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Financial Statements and Supplementary Data</w:t>
              </w:r>
            </w:hyperlink>
          </w:p>
        </w:tc>
        <w:tc>
          <w:tcPr>
            <w:tcW w:w="148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8520" w:type="dxa"/>
            <w:vAlign w:val="bottom"/>
            <w:gridSpan w:val="22"/>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Changes in and Disagreements with Accountants on Accounting and Financial Disclosure</w:t>
              </w:r>
            </w:hyperlink>
          </w:p>
        </w:tc>
        <w:tc>
          <w:tcPr>
            <w:tcW w:w="148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92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8"/>
              </w:rPr>
            </w:pPr>
            <w:hyperlink w:anchor="page85">
              <w:r>
                <w:rPr>
                  <w:rFonts w:ascii="Arial" w:cs="Arial" w:eastAsia="Arial" w:hAnsi="Arial"/>
                  <w:sz w:val="18"/>
                  <w:szCs w:val="18"/>
                  <w:b w:val="1"/>
                  <w:bCs w:val="1"/>
                  <w:color w:val="0000EE"/>
                  <w:w w:val="88"/>
                </w:rPr>
                <w:t>Controls and Procedures</w:t>
              </w:r>
            </w:hyperlink>
          </w:p>
        </w:tc>
        <w:tc>
          <w:tcPr>
            <w:tcW w:w="4920" w:type="dxa"/>
            <w:vAlign w:val="bottom"/>
            <w:tcBorders>
              <w:top w:val="single" w:sz="8" w:color="0000EE"/>
            </w:tcBorders>
            <w:gridSpan w:val="9"/>
          </w:tcPr>
          <w:p>
            <w:pPr>
              <w:spacing w:after="0"/>
              <w:rPr>
                <w:sz w:val="24"/>
                <w:szCs w:val="24"/>
                <w:color w:val="auto"/>
              </w:rPr>
            </w:pPr>
          </w:p>
        </w:tc>
        <w:tc>
          <w:tcPr>
            <w:tcW w:w="1680" w:type="dxa"/>
            <w:vAlign w:val="bottom"/>
            <w:gridSpan w:val="3"/>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8520" w:type="dxa"/>
            <w:vAlign w:val="bottom"/>
            <w:gridSpan w:val="22"/>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Other Information</w:t>
              </w:r>
            </w:hyperlink>
          </w:p>
        </w:tc>
        <w:tc>
          <w:tcPr>
            <w:tcW w:w="14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547"/>
        </w:trPr>
        <w:tc>
          <w:tcPr>
            <w:tcW w:w="1380" w:type="dxa"/>
            <w:vAlign w:val="bottom"/>
            <w:gridSpan w:val="6"/>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III.</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372"/>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Item 10.</w:t>
            </w:r>
          </w:p>
        </w:tc>
        <w:tc>
          <w:tcPr>
            <w:tcW w:w="620" w:type="dxa"/>
            <w:vAlign w:val="bottom"/>
            <w:gridSpan w:val="2"/>
          </w:tcPr>
          <w:p>
            <w:pPr>
              <w:spacing w:after="0"/>
              <w:rPr>
                <w:sz w:val="24"/>
                <w:szCs w:val="24"/>
                <w:color w:val="auto"/>
              </w:rPr>
            </w:pPr>
          </w:p>
        </w:tc>
        <w:tc>
          <w:tcPr>
            <w:tcW w:w="8520" w:type="dxa"/>
            <w:vAlign w:val="bottom"/>
            <w:gridSpan w:val="22"/>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Directors, Executive Officers and Corporate Governance</w:t>
              </w:r>
            </w:hyperlink>
          </w:p>
        </w:tc>
        <w:tc>
          <w:tcPr>
            <w:tcW w:w="14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190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7"/>
              </w:rPr>
            </w:pPr>
            <w:hyperlink w:anchor="page88">
              <w:r>
                <w:rPr>
                  <w:rFonts w:ascii="Arial" w:cs="Arial" w:eastAsia="Arial" w:hAnsi="Arial"/>
                  <w:sz w:val="18"/>
                  <w:szCs w:val="18"/>
                  <w:b w:val="1"/>
                  <w:bCs w:val="1"/>
                  <w:color w:val="0000EE"/>
                  <w:w w:val="87"/>
                </w:rPr>
                <w:t>Executive Compensation</w:t>
              </w:r>
            </w:hyperlink>
          </w:p>
        </w:tc>
        <w:tc>
          <w:tcPr>
            <w:tcW w:w="2460" w:type="dxa"/>
            <w:vAlign w:val="bottom"/>
            <w:tcBorders>
              <w:top w:val="single" w:sz="8" w:color="0000EE"/>
            </w:tcBorders>
            <w:gridSpan w:val="6"/>
          </w:tcPr>
          <w:p>
            <w:pPr>
              <w:spacing w:after="0"/>
              <w:rPr>
                <w:sz w:val="24"/>
                <w:szCs w:val="24"/>
                <w:color w:val="auto"/>
              </w:rPr>
            </w:pPr>
          </w:p>
        </w:tc>
        <w:tc>
          <w:tcPr>
            <w:tcW w:w="4160" w:type="dxa"/>
            <w:vAlign w:val="bottom"/>
            <w:gridSpan w:val="7"/>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7820" w:type="dxa"/>
            <w:vAlign w:val="bottom"/>
            <w:tcBorders>
              <w:bottom w:val="single" w:sz="8" w:color="0000EE"/>
            </w:tcBorders>
            <w:gridSpan w:val="20"/>
          </w:tcPr>
          <w:p>
            <w:pPr>
              <w:spacing w:after="0"/>
              <w:rPr>
                <w:rFonts w:ascii="Arial" w:cs="Arial" w:eastAsia="Arial" w:hAnsi="Arial"/>
                <w:sz w:val="18"/>
                <w:szCs w:val="18"/>
                <w:b w:val="1"/>
                <w:bCs w:val="1"/>
                <w:color w:val="0000EE"/>
                <w:w w:val="90"/>
              </w:rPr>
            </w:pPr>
            <w:hyperlink w:anchor="page88">
              <w:r>
                <w:rPr>
                  <w:rFonts w:ascii="Arial" w:cs="Arial" w:eastAsia="Arial" w:hAnsi="Arial"/>
                  <w:sz w:val="18"/>
                  <w:szCs w:val="18"/>
                  <w:b w:val="1"/>
                  <w:bCs w:val="1"/>
                  <w:color w:val="0000EE"/>
                  <w:w w:val="90"/>
                </w:rPr>
                <w:t>Security Ownership of Certain Beneficial Owners and Management and Related Shareholder Matters</w:t>
              </w:r>
            </w:hyperlink>
          </w:p>
        </w:tc>
        <w:tc>
          <w:tcPr>
            <w:tcW w:w="700" w:type="dxa"/>
            <w:vAlign w:val="bottom"/>
            <w:gridSpan w:val="2"/>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8520" w:type="dxa"/>
            <w:vAlign w:val="bottom"/>
            <w:gridSpan w:val="22"/>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Certain Relationships, Related Transactions and Director Independence</w:t>
              </w:r>
            </w:hyperlink>
          </w:p>
        </w:tc>
        <w:tc>
          <w:tcPr>
            <w:tcW w:w="148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552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Principal Accountant Fees and Services</w:t>
              </w:r>
            </w:hyperlink>
          </w:p>
        </w:tc>
        <w:tc>
          <w:tcPr>
            <w:tcW w:w="3000" w:type="dxa"/>
            <w:vAlign w:val="bottom"/>
            <w:gridSpan w:val="5"/>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r>
      <w:tr>
        <w:trPr>
          <w:trHeight w:val="547"/>
        </w:trPr>
        <w:tc>
          <w:tcPr>
            <w:tcW w:w="1380" w:type="dxa"/>
            <w:vAlign w:val="bottom"/>
            <w:gridSpan w:val="6"/>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IV.</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r>
      <w:tr>
        <w:trPr>
          <w:trHeight w:val="372"/>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660" w:type="dxa"/>
            <w:vAlign w:val="bottom"/>
            <w:gridSpan w:val="3"/>
          </w:tcPr>
          <w:p>
            <w:pPr>
              <w:spacing w:after="0"/>
              <w:rPr>
                <w:sz w:val="24"/>
                <w:szCs w:val="24"/>
                <w:color w:val="auto"/>
              </w:rPr>
            </w:pPr>
          </w:p>
        </w:tc>
        <w:tc>
          <w:tcPr>
            <w:tcW w:w="8520" w:type="dxa"/>
            <w:vAlign w:val="bottom"/>
            <w:gridSpan w:val="22"/>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Exhibits and Financial Statement Schedules</w:t>
              </w:r>
            </w:hyperlink>
          </w:p>
        </w:tc>
        <w:tc>
          <w:tcPr>
            <w:tcW w:w="148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336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Form 10-K Summary</w:t>
              </w:r>
            </w:hyperlink>
          </w:p>
        </w:tc>
        <w:tc>
          <w:tcPr>
            <w:tcW w:w="5160" w:type="dxa"/>
            <w:vAlign w:val="bottom"/>
            <w:gridSpan w:val="9"/>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94</w:t>
              </w:r>
            </w:hyperlink>
          </w:p>
        </w:tc>
      </w:tr>
      <w:tr>
        <w:trPr>
          <w:trHeight w:val="372"/>
        </w:trPr>
        <w:tc>
          <w:tcPr>
            <w:tcW w:w="820" w:type="dxa"/>
            <w:vAlign w:val="bottom"/>
            <w:tcBorders>
              <w:bottom w:val="single" w:sz="8" w:color="0000EE"/>
            </w:tcBorders>
            <w:gridSpan w:val="5"/>
          </w:tcPr>
          <w:p>
            <w:pPr>
              <w:spacing w:after="0"/>
              <w:rPr>
                <w:rFonts w:ascii="Arial" w:cs="Arial" w:eastAsia="Arial" w:hAnsi="Arial"/>
                <w:sz w:val="18"/>
                <w:szCs w:val="18"/>
                <w:b w:val="1"/>
                <w:bCs w:val="1"/>
                <w:color w:val="0000EE"/>
                <w:w w:val="85"/>
              </w:rPr>
            </w:pPr>
            <w:hyperlink w:anchor="page95">
              <w:r>
                <w:rPr>
                  <w:rFonts w:ascii="Arial" w:cs="Arial" w:eastAsia="Arial" w:hAnsi="Arial"/>
                  <w:sz w:val="18"/>
                  <w:szCs w:val="18"/>
                  <w:b w:val="1"/>
                  <w:bCs w:val="1"/>
                  <w:color w:val="0000EE"/>
                  <w:w w:val="85"/>
                </w:rPr>
                <w:t>Signatures</w:t>
              </w:r>
            </w:hyperlink>
          </w:p>
        </w:tc>
        <w:tc>
          <w:tcPr>
            <w:tcW w:w="5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as well as volume data for NEX unless otherwise noted. In March 2018, we exited the credit default swaps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NEX, BrokerTec, EBS, TriOptima, and Traiana are trademarks of various entities that were under NEX Group plc (NEX), all of which are now owned by CME Group.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66"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globally offer our products and services;</w:t>
      </w:r>
    </w:p>
    <w:p>
      <w:pPr>
        <w:spacing w:after="0" w:line="225"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regulations, including the impact of any changes in laws or government policy with respect to our products or services or our industry, such as any changes to regulations and policies that require increased financial and operational resources from us or our customers;</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 or changes to regulations in various jurisdictions;</w:t>
      </w:r>
    </w:p>
    <w:p>
      <w:pPr>
        <w:spacing w:after="0" w:line="225" w:lineRule="exact"/>
        <w:rPr>
          <w:rFonts w:ascii="Arial" w:cs="Arial" w:eastAsia="Arial" w:hAnsi="Arial"/>
          <w:sz w:val="18"/>
          <w:szCs w:val="18"/>
          <w:color w:val="auto"/>
        </w:rPr>
      </w:pPr>
    </w:p>
    <w:p>
      <w:pPr>
        <w:ind w:left="660" w:right="3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ectPr>
          <w:pgSz w:w="11900" w:h="16838" w:orient="portrait"/>
          <w:cols w:equalWidth="0" w:num="1">
            <w:col w:w="11400"/>
          </w:cols>
          <w:pgMar w:left="240" w:top="121" w:right="259" w:bottom="144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right="60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146" w:lineRule="exact"/>
        <w:rPr>
          <w:rFonts w:ascii="Arial" w:cs="Arial" w:eastAsia="Arial" w:hAnsi="Arial"/>
          <w:sz w:val="17"/>
          <w:szCs w:val="17"/>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control the costs and achieve the synergies associated with our strategy for acquisitions, investments and alliances, including those associated with the acquisition of NEX;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beginning on page 13.</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2" w:right="3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CME Group enables clients to trade futures, options, cash and over-the-counter (OTC) markets, optimize portfolios, and analyze data </w:t>
      </w:r>
      <w:r>
        <w:rPr>
          <w:rFonts w:ascii="Arial" w:cs="Arial" w:eastAsia="Arial" w:hAnsi="Arial"/>
          <w:sz w:val="18"/>
          <w:szCs w:val="18"/>
          <w:b w:val="1"/>
          <w:bCs w:val="1"/>
          <w:color w:val="auto"/>
        </w:rPr>
        <w:t>—</w:t>
      </w:r>
      <w:r>
        <w:rPr>
          <w:rFonts w:ascii="Arial" w:cs="Arial" w:eastAsia="Arial" w:hAnsi="Arial"/>
          <w:sz w:val="18"/>
          <w:szCs w:val="18"/>
          <w:color w:val="auto"/>
        </w:rPr>
        <w:t xml:space="preserve"> empowering market participants worldwide to efficiently manage risk and capture opportunities.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CME was founded in 1898 as a not-for-profit corporation. CME demutualized in 2000, and in 2002 its parent company completed its initial public offering of its Class A common stock (NASDAQ: CME). Our acquisitions include our merger with CBOT Holdings, Inc. in 2007, our acquisition of NYMEX and COMEX in 2008 and our acquisition of NEX Group plc (NEX) in November 2018. Our combination with NEX creates a leading, client-centric, global markets company, generating significant efficiencies across futures, cash and OTC products for market participants seeking to lower their cost of trading and better manage risk. It also will improve our offerings to customers through the complementary combination of CME Group’s exchange-traded derivative products and NEX’s cash and OTC products. It also expands our international footprint and global client base.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CME Group exchanges offer the widest range of global benchmark products across all major asset classes based on interest rates, equity indexes, foreign exchange (FX), energy, agricultural commodities and metals. The company offers futures and options on futures trading across asset classes through the CME Globex platform, fixed income trading via BrokerTec and FX trading on the EBS platform. In addition, it operates one of the world’s leading central counterparty clearing providers, CME Clearing. With a range of pre- and post-trade products and services underpinning the entire lifecycle of a trade, CME Group also offers optimization, reconciliation and processing services through TriOptima and Traiana.</w:t>
      </w:r>
    </w:p>
    <w:p>
      <w:pPr>
        <w:spacing w:after="0" w:line="64"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Derivatives Exchange Business: </w:t>
      </w:r>
      <w:r>
        <w:rPr>
          <w:rFonts w:ascii="Arial" w:cs="Arial" w:eastAsia="Arial" w:hAnsi="Arial"/>
          <w:sz w:val="16"/>
          <w:szCs w:val="16"/>
          <w:color w:val="auto"/>
        </w:rPr>
        <w:t>Through our derivatives exchanges and clearing house, we offer the widest range of global benchmark products across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major asset classes. We believe our customers choose to trade on our centralized market due to its liquidity, price transparency and technological capabilities. Market liquidity </w:t>
      </w:r>
      <w:r>
        <w:rPr>
          <w:rFonts w:ascii="Arial" w:cs="Arial" w:eastAsia="Arial" w:hAnsi="Arial"/>
          <w:sz w:val="16"/>
          <w:szCs w:val="16"/>
          <w:b w:val="1"/>
          <w:bCs w:val="1"/>
          <w:color w:val="auto"/>
        </w:rPr>
        <w:t>—</w:t>
      </w:r>
      <w:r>
        <w:rPr>
          <w:rFonts w:ascii="Arial" w:cs="Arial" w:eastAsia="Arial" w:hAnsi="Arial"/>
          <w:sz w:val="16"/>
          <w:szCs w:val="16"/>
          <w:color w:val="auto"/>
        </w:rPr>
        <w:t xml:space="preserve"> or the ability of a market to absorb the execution of large purchases or sales quickly and efficiently, whereby the market recovers quickly following the execution of large orders </w:t>
      </w:r>
      <w:r>
        <w:rPr>
          <w:rFonts w:ascii="Arial" w:cs="Arial" w:eastAsia="Arial" w:hAnsi="Arial"/>
          <w:sz w:val="16"/>
          <w:szCs w:val="16"/>
          <w:b w:val="1"/>
          <w:bCs w:val="1"/>
          <w:color w:val="auto"/>
        </w:rPr>
        <w:t>—</w:t>
      </w:r>
      <w:r>
        <w:rPr>
          <w:rFonts w:ascii="Arial" w:cs="Arial" w:eastAsia="Arial" w:hAnsi="Arial"/>
          <w:sz w:val="16"/>
          <w:szCs w:val="16"/>
          <w:color w:val="auto"/>
        </w:rPr>
        <w:t xml:space="preserve"> is key to attracting customers and contributing to a market's success. Our CME Group products provide a means for hedging, speculation and asset allocation relating to the risks associated with, among other things, interest rate sensitive instruments, equity ownership, changes in the value of foreign currency and changes in the prices of agricultural, energy and metal commodities.</w:t>
      </w:r>
    </w:p>
    <w:p>
      <w:pPr>
        <w:spacing w:after="0" w:line="57" w:lineRule="exact"/>
        <w:rPr>
          <w:sz w:val="20"/>
          <w:szCs w:val="20"/>
          <w:color w:val="auto"/>
        </w:rPr>
      </w:pPr>
    </w:p>
    <w:p>
      <w:pPr>
        <w:ind w:left="660" w:right="3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CME's </w:t>
      </w:r>
      <w:r>
        <w:rPr>
          <w:rFonts w:ascii="Arial" w:cs="Arial" w:eastAsia="Arial" w:hAnsi="Arial"/>
          <w:sz w:val="18"/>
          <w:szCs w:val="18"/>
          <w:color w:val="auto"/>
        </w:rPr>
        <w:t>product slate includes agricultural, equities, FX and interest rate products, including contracts for Eurodollars and contracts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S&amp;P, NASDAQ-100 and FTSE Russell Indexes.</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CBOT's </w:t>
      </w:r>
      <w:r>
        <w:rPr>
          <w:rFonts w:ascii="Arial" w:cs="Arial" w:eastAsia="Arial" w:hAnsi="Arial"/>
          <w:sz w:val="18"/>
          <w:szCs w:val="18"/>
          <w:color w:val="auto"/>
        </w:rPr>
        <w:t>product slate consists of agricultural, equities, energy and interest rate products, including contracts for U.S. Treasury futures, corn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grains and contracts based on the Dow Jones Industrial Index.</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NYMEX's </w:t>
      </w:r>
      <w:r>
        <w:rPr>
          <w:rFonts w:ascii="Arial" w:cs="Arial" w:eastAsia="Arial" w:hAnsi="Arial"/>
          <w:sz w:val="18"/>
          <w:szCs w:val="18"/>
          <w:color w:val="auto"/>
        </w:rPr>
        <w:t>product slate consists of energy and metals products, including contracts for crude oil, natural gas, heating oil and gasoline.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COMEX's </w:t>
      </w:r>
      <w:r>
        <w:rPr>
          <w:rFonts w:ascii="Arial" w:cs="Arial" w:eastAsia="Arial" w:hAnsi="Arial"/>
          <w:sz w:val="18"/>
          <w:szCs w:val="18"/>
          <w:color w:val="auto"/>
        </w:rPr>
        <w:t>product slate consists of metals products, including contracts for gold, silver and copper.</w:t>
      </w:r>
    </w:p>
    <w:p>
      <w:pPr>
        <w:spacing w:after="0" w:line="27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believe the breadth and diversity of our product lines and the variety of their underlying contracts are beneficial to our overall performance. Our asset classes contain products designed to address differing risk management needs, and customers are able to achieve operational and capital efficiencies by accessing our diverse products through our platforms and our clearing house.</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CME Group products are traded primarily through CME Globex and other electronic trading platforms, by open outcry auction market in Chicago, and through privately negotiated transactions. We strive to provide the most flexible and scalable platforms to support the operational and capacity needs of the business along with the delivery of innovative technology solutions to the marketplace. Our CME Globex electronic platform is the trading engine for our central limit order book markets and is available on a global basis nearly 24 hours a day throughout the trading week. The CME Globex platform is accessible through a wide variety of vendor-provided and custom-built trading systems that benefit from our open application programming interface approach. For privately negotiated markets, we offer brokers and customers the CME Direct platform for arranging, executing, recording and risk-managing trades. CME Direct includes CME One for mobile access, CME Messenger for instant-message capabilities and CME Straight-Through Processing. CME Straight-Through Processing enables direct connectivity for trade information directly with customer order management and risk management systems and is designed to reduce errors and improve efficiency.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Together, our platforms offer:</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certainty of execution;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vast capabilities to facilitate complex and demanding trading;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fairness, price transparency and anonymity;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convenience and efficiency;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connectivity through highly secure, resilient and low-latency network options; and</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distribution, including connectivity through high-speed international telecommunications hubs in key financial centers or order routing to our global partner exchanges.</w:t>
      </w:r>
    </w:p>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maintain comprehensive business continuity and disaster recovery plans and facilities to provide nearly continuous availability of our markets in the event of a business disruption or disaster. We also maintain incident and crisis management plans that address responses to disruptive events.</w:t>
      </w:r>
    </w:p>
    <w:p>
      <w:pPr>
        <w:spacing w:after="0" w:line="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customer base of our derivatives exchanges includes professional traders, financial institutions, institutional and individual investors, major corporations, manufacturers, producers, governments and central banks. Customers may be members of one or more of our exchanges. Rights to directly access our derivatives markets will depend upon the nature of the customer, such as whether the entity or individual is a member of one of our exchanges or has executed an agreement with us for direct access.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U.S. trading rights and privileges are exchange-specific. Open outcry trading is conducted exclusively by our members. Membership on one of our derivatives exchanges also enables a customer to trade specific products at reduced rates and lower fees. Under the terms of the organizational documents of our exchanges, our members have certain rights that relate primarily to trading right protections, certain trading fee protections and certain membership benefit protections. In 2018, 84% of our contract volume was from trades by our members.</w:t>
      </w:r>
    </w:p>
    <w:p>
      <w:pPr>
        <w:spacing w:after="0" w:line="7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CME Clearing Business: </w:t>
      </w:r>
      <w:r>
        <w:rPr>
          <w:rFonts w:ascii="Arial" w:cs="Arial" w:eastAsia="Arial" w:hAnsi="Arial"/>
          <w:sz w:val="18"/>
          <w:szCs w:val="18"/>
          <w:color w:val="auto"/>
        </w:rPr>
        <w:t>Through our clearing house, CME Clearing, which is a division of CME, we provide clearing services for all of our exchange-traded contracts, for certain cleared-only products and for certain contracts traded on other exchanges. Our integrated clearing function is designed to ensure the safety and the soundness of our exchange markets by serving as the counterparty to every trade, becoming the buyer to each seller and the seller to each buyer, and limiting counterparty credit risk. The clearing house is responsible for settling trading accounts, clearing trades, collecting and maintaining performance bond funds, regulating delivery and reporting trading data. CME Clearing marks open positions to market at least twice a day, requires payment from clearing firms whose positions have lost value and makes payments to clearing firms whose positions have gained value. For select cleared-only markets, positions are marked-to-market daily, with the capacity to mark-to-market more frequently as market conditions warrant. The CME ClearPort front-end system provides access to our flexible clearing services for block transactions and swaps. Certain BrokerTec and EBS contracts are cleared at third-party clearing houses.</w:t>
      </w:r>
    </w:p>
    <w:p>
      <w:pPr>
        <w:spacing w:after="0" w:line="19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majority of clearing and transaction fees received from clearing firms represents charges for trades executed and cleared on behalf of their customers. One firm represented 10% of our clearing and transaction fees revenue for 2018. In the event a clearing firm were to withdraw, our experience indicates that the customer portion of the firm's trading activity would likely transfer to one or more other clearing firms of the exchange.</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Cash Markets Business: </w:t>
      </w:r>
      <w:r>
        <w:rPr>
          <w:rFonts w:ascii="Arial" w:cs="Arial" w:eastAsia="Arial" w:hAnsi="Arial"/>
          <w:sz w:val="18"/>
          <w:szCs w:val="18"/>
          <w:color w:val="auto"/>
        </w:rPr>
        <w:t>Our cash markets business is comprised of the BrokerTec and EBS sub-brands, which were acquired as part of NEX in November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w:t>
      </w:r>
    </w:p>
    <w:p>
      <w:pPr>
        <w:spacing w:after="0" w:line="62" w:lineRule="exact"/>
        <w:rPr>
          <w:sz w:val="20"/>
          <w:szCs w:val="20"/>
          <w:color w:val="auto"/>
        </w:rPr>
      </w:pPr>
    </w:p>
    <w:p>
      <w:pPr>
        <w:ind w:left="660" w:right="4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BrokerTec </w:t>
      </w:r>
      <w:r>
        <w:rPr>
          <w:rFonts w:ascii="Arial" w:cs="Arial" w:eastAsia="Arial" w:hAnsi="Arial"/>
          <w:sz w:val="18"/>
          <w:szCs w:val="18"/>
          <w:color w:val="auto"/>
        </w:rPr>
        <w:t>is a global electronic platform for the trading of fixed income products, with a leading position in cash U.S. Treasuries, as well as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European government bonds and E.U. and U.S. repo fixed income instruments. It facilitates trading principally for banks and non-bank professional trading firms.</w:t>
      </w:r>
    </w:p>
    <w:p>
      <w:pPr>
        <w:spacing w:after="0" w:line="73"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EBS </w:t>
      </w:r>
      <w:r>
        <w:rPr>
          <w:rFonts w:ascii="Arial" w:cs="Arial" w:eastAsia="Arial" w:hAnsi="Arial"/>
          <w:sz w:val="18"/>
          <w:szCs w:val="18"/>
          <w:color w:val="auto"/>
        </w:rPr>
        <w:t>is a global electronic platform for the trading of FX products. It is a reliable and trusted source of executable firm liquidity across major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emerging market currencies. EBS offers anonymous and disclosed trading venues, which give clients multiple execution and distribution options and the benefit of an established and far-reaching distribution network of liquidity providers and consumers. It also offers execution of non-deliverable forwards through a CFTC-registered Swap Execution Facility.</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Optimization Business: </w:t>
      </w:r>
      <w:r>
        <w:rPr>
          <w:rFonts w:ascii="Arial" w:cs="Arial" w:eastAsia="Arial" w:hAnsi="Arial"/>
          <w:sz w:val="18"/>
          <w:szCs w:val="18"/>
          <w:color w:val="auto"/>
        </w:rPr>
        <w:t>Our optimization services, which include the Traiana and TriOptima sub-brands acquired as part of NEX, deliver transaction lifecycle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services to help our clients simplify their workflow, optimize their capital and resources, mitigate their risk, increase efficiency and reduce their operational costs and streamline complex processes.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Trade and portfolio management </w:t>
      </w:r>
      <w:r>
        <w:rPr>
          <w:rFonts w:ascii="Arial" w:cs="Arial" w:eastAsia="Arial" w:hAnsi="Arial"/>
          <w:sz w:val="18"/>
          <w:szCs w:val="18"/>
          <w:color w:val="auto"/>
        </w:rPr>
        <w:t>comprises portfolio and margin reconciliation, monitoring pre-trade risk and automating post-trade processing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transactions.</w:t>
      </w:r>
    </w:p>
    <w:p>
      <w:pPr>
        <w:spacing w:after="0" w:line="62"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resource optimization </w:t>
      </w:r>
      <w:r>
        <w:rPr>
          <w:rFonts w:ascii="Arial" w:cs="Arial" w:eastAsia="Arial" w:hAnsi="Arial"/>
          <w:sz w:val="18"/>
          <w:szCs w:val="18"/>
          <w:color w:val="auto"/>
        </w:rPr>
        <w:t>comprises portfolio compression, basis risk mitigation, portfolio balancing and derivative pricing and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w:t>
      </w:r>
    </w:p>
    <w:p>
      <w:pPr>
        <w:spacing w:after="0" w:line="62" w:lineRule="exact"/>
        <w:rPr>
          <w:rFonts w:ascii="Arial" w:cs="Arial" w:eastAsia="Arial" w:hAnsi="Arial"/>
          <w:sz w:val="18"/>
          <w:szCs w:val="18"/>
          <w:b w:val="1"/>
          <w:bCs w:val="1"/>
          <w:i w:val="1"/>
          <w:iCs w:val="1"/>
          <w:color w:val="auto"/>
        </w:rPr>
      </w:pPr>
    </w:p>
    <w:p>
      <w:pPr>
        <w:ind w:left="660" w:right="1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w:t>
      </w:r>
      <w:r>
        <w:rPr>
          <w:rFonts w:ascii="Arial" w:cs="Arial" w:eastAsia="Arial" w:hAnsi="Arial"/>
          <w:sz w:val="18"/>
          <w:szCs w:val="18"/>
          <w:color w:val="auto"/>
        </w:rPr>
        <w:t>delivers data, analytics and workflow tools that enable hedge funds and asset managers to manage their relationships with prime brokers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effectively. These tools provide a complete view of an individual hedge fund's relationships across multiple counterparties, delivering insights on counterparty credit risk, collateral management, portfolio financing and treasury.</w:t>
      </w:r>
    </w:p>
    <w:p>
      <w:pPr>
        <w:spacing w:after="0" w:line="73"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Regulatory reporting </w:t>
      </w:r>
      <w:r>
        <w:rPr>
          <w:rFonts w:ascii="Arial" w:cs="Arial" w:eastAsia="Arial" w:hAnsi="Arial"/>
          <w:sz w:val="16"/>
          <w:szCs w:val="16"/>
          <w:color w:val="auto"/>
        </w:rPr>
        <w:t>comprises trade and position reporting (including licensed MiFID agent reporting to national regulators and the public), end-to-end multi-regime regulatory reporting, data normalization, enrichment, reconciliation, validation and cross-jurisdictional matching.</w:t>
      </w:r>
    </w:p>
    <w:p>
      <w:pPr>
        <w:spacing w:after="0" w:line="12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 xml:space="preserve">Market Data Business: </w:t>
      </w:r>
      <w:r>
        <w:rPr>
          <w:rFonts w:ascii="Arial" w:cs="Arial" w:eastAsia="Arial" w:hAnsi="Arial"/>
          <w:sz w:val="16"/>
          <w:szCs w:val="16"/>
          <w:color w:val="auto"/>
        </w:rPr>
        <w:t>We offer a variety of market data services for the futures, equities, OTC, cash and the cleared swaps markets. Our market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platforms provide real-time and historical market data related to CME Group exchanges and our cash markets business. We also deliver independent market intelligence and pricing information for cash and OTC data to financial market participants using intelligence from our businesses and third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11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i w:val="1"/>
          <w:iCs w:val="1"/>
          <w:color w:val="auto"/>
        </w:rPr>
        <w:t xml:space="preserve">Maximize Futures and Options on Futures Growth Globally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continue to focus on driving growth and new customer acquisition, growing, innovating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scaling our core offerings, and increasing participation from non-U.S. customers. We do this by cross-selling our products, expanding the strength of our existing benchmark products, launching new products and services and deepening open interest in our core futures and options on futures offerings. During this decade, our key product launches have included the Ultra U.S. Treasury Bond futures and options and most recently the Ultra 10-Year Treasury futures, short-dated options across asset classes, new base metal products, expanded crude oil grades, Basis Trade at Index Close (BTIC) transactions, S&amp;P Dividend futures, E-mini Russell 1000 and 2000 futures, and a cash-settled bitcoin futures contract. We continued to build traction in key product launches in 2018, including our Secured Overnight Financing Rate (SOFR) futures contracts, Sterling Overnight Index Average (SONIA) futures contracts, CME FX Link, CME Eris Interest Rate Swap Futures and Physical WTI Houston Crude Oil contracts. During 2018, we experienced overall record average daily volume of 19.2 million contracts, along with multiple volume records across our core product portfolio, including interest rates, FX, agricultural commodities and metals. We also had record volume in overall options, with electronic options representing 66% of total options volume in 2018. We continued to deepen liquidity and add diverse participation as evidenced by the growth in large open interest holders with records achieved across several product lines in 2018.</w:t>
      </w:r>
    </w:p>
    <w:p>
      <w:pPr>
        <w:spacing w:after="0" w:line="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continued to expand and diversify our customer base worldwide and offer customers around the world the most broadly diversified portfolio of benchmark products. We believe we have significant opportunity to expand the participation of our non-U.S. customer base in our markets. We are focused on core growth in global markets because we believe that Australia, Asia, Latin America, and other emerging markets will experience significant growth and development of their financial markets. In addition, we continue to expand our presence in major global financial centers (including Europe), grow our business outside the United States and penetrate emerging markets, such as China, South Korea, Brazil and Mexico. In 2018, approximately 25% of our electronic futures and options on futures volume was from transactions reported as outside the United States and approximately 50% of our market data revenue was derived from outside the United States. We also achieved 42% growth in trading volume during Asian trading hours and 29% growth during European trading hours in 2018 compared to the 2017.</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continue to target cross-asset sales across client segments, driving international sales and generating new client participation across all regions. We have a long history of providing customer value and responsiveness and believe our products and services well position us to help our customers adapt and comply with new regulations, while enabling them to efficiently manage their risks. We have a broad distribution network comprised of a combination of internal and external channels and front-end capabilities.</w:t>
      </w:r>
    </w:p>
    <w:p>
      <w:pPr>
        <w:spacing w:after="0" w:line="183"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b w:val="1"/>
          <w:bCs w:val="1"/>
          <w:i w:val="1"/>
          <w:iCs w:val="1"/>
          <w:color w:val="auto"/>
        </w:rPr>
        <w:t xml:space="preserve">Diversify our Business and Revenues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acquisition of NEX strengthens our role in the global market infrastructure, adding complementary cash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OTC businesses and scale to our listed interest rate and FX products, while enabling new efficiencies for the derivatives marketplace. The transaction positions CME Group to take direct advantage of growth in treasury issuance, liquid treasury holdings and the trading of treasury instruments, as well as growing repo activity across geographies. The transaction significantly expands CME Group’s position in the large, and highly fragmented, $5 trillion plus per trading day global FX marketplace, offering both order book trading and relationship trading solutions for customers. The acquisition adds strength in underlying customer marketplaces, especially around regional bank customers and other market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participants outside of North America. The acquisition also expands our post-trade services and market data solutions beyond futures and options on futures into cash and OTC offerings.</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Our joint venture with S&amp;P Global, Inc., S&amp;P/DJI Indices LLC, combines the world class capabilities of S&amp;P Indices and Dow Jones Indices, and is a significant player in the passive investing including the exchange-traded fund (ETF) industry value chain. As part of the joint venture, we acquired a long-term, ownership-linked, exclusive license to list futures and options on futures based on the S&amp;P 500 Index and certain other S&amp;P indices.</w:t>
      </w:r>
    </w:p>
    <w:p>
      <w:pPr>
        <w:spacing w:after="0" w:line="5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i w:val="1"/>
          <w:iCs w:val="1"/>
          <w:color w:val="auto"/>
        </w:rPr>
        <w:t xml:space="preserve">Deliver Unparalleled Capital and Cost Efficiency Solutions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changing regulatory capital requirements for many of our customers and the need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efficiencies, we have added tools to enable customers to build and manage trading and clearing positions in our markets in an efficient manner, including through our acquisition of NEX. With the ongoing implementation of regulatory reform in the United States and in Europe, along with global implementation of Basel III capital requirements on financial institutions, we expect capital efficiencies and centralized clearing to continue to be important for our global client base.</w:t>
      </w:r>
    </w:p>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provide a comprehensive multi-asset class clearing solution to the market for maximum operational ease and the capital efficiency that comes with connecting to our clearing house. Our clearing services offer the ability to optimize collateral and capital efficiencies across portfolios within the clearing house while meeting the heightened regulatory requirements on derivatives. The majority of our clearing volumes and activities are related to our listed futures and options on futures, which also represents the majority of our open interest and collateral held against these positions. We also offer clearing services for interest rate, FX and commodity swaps. In March 2018, we extended block trading to agricultural commodity products through CME ClearPort. Also, in 2018, we extended our OTC clearing solutions to include clearing for the Chilean and Columbian Peso interest rate swaps.</w:t>
      </w:r>
    </w:p>
    <w:p>
      <w:pPr>
        <w:spacing w:after="0" w:line="16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CME Group continues to introduce tools and services to assist customers with portfolio margining. As of December 31, 2018, 45 unique marketplace participants utilized CME Group’s portfolio margining services. In the past few years, we have introduced compression via coupon blending as well as CME CORE, an interactive margin calculator that enables clients to optimize their capital by providing insights on margin requirements prior to trading. We also offer multilateral compression for our cleared swap customers through TriOptima, and we provide trade reporting services in the United States, Europe, Canada and Australia. In 2018, we also introduced a multilateral compression service for our listed equity options.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also own the copyright to a variety of materials. Those copyrights, some of which are registered, include printed and on-line publications, websites, advertisements, educational material, graphic presentations and other literature, both textual and electronic. We attempt to protect our intellectual property rights by relying on trademarks, patents, copyrights, database rights, trade secrets, restrictions on disclosure and other methods.</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offer equity index futures and options on key benchmarks, including S&amp;P, NASDAQ, Dow Jones and the FTSE Russell indexes. These products are listed by us subject to license agreements with the applicable owners of the indexes, some of which are exclusive. In connection with our joint venture with S&amp;P Global, Inc., we entered into a new license agreement (S&amp;P License Agreement), which superseded our prior licensing arrangements and was assigned to the joint venture. CME’s license for the S&amp;P 500 Index will be exclusive for futures and options on futures until one year prior to the termination of the S&amp;P License Agreement, and non-exclusive for the last year. The license for the other S&amp;P stock indexes is generally exclusive for futures and options on futures. The term of the S&amp;P License Agreement will continue until the date that is one year after the date that CME Group ceases to own at least five percent (accounting for dilution) of the outstanding joint venture interests. Upon the occurrence of certain events, including certain terminations of the joint venture, the term may be extended up to an additional ten years. CBOT has an exclusive license agreement (Dow Jones License Agreement) with CME Group Index Services LLC (CME Indexes) for certain Dow Jones indexes, which has also been assigned to the joint venture. The initial term of the agreement is through June 30, 2026. Following the initial term, the Dow Jones License Agreement shall automatically renew for renewal terms of five years thereafter so long as there is open interest in any of CBOT’s or its affiliates’ products based on one or more of the Dow Jones licensed indexes. In the event there is no open interest in any such products, then CME Indexes has the ability to terminate the agreement. We also have an exclusive license agreement for certain NASDAQ indexes, which was extended for an additional ten years in 2018 through 2029. In 2015, we entered into an exclusive license agreement with FTSE Russell and launched the E-mini Russell 2000 futures in 2017. We pay the applicable third party per trade fees based on contract volume under the terms of these licensing agreements. A copy of the S&amp;P license arrangement has been filed as a material contract.</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have a long-term, non-exclusive licensing arrangement with ICE Benchmark Administration for the use of LIBOR to settle several of our interest rate products, including our Eurodollar contract.</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cannot assure you that we will be able to maintain the exclusivity of our licensing agreements with S&amp;P, Dow Jones, NASDAQ and FTSE Russell or be able to maintain our other existing licensing arrangements beyond the term of the current agreements.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Dow Jones, NASDAQ or Russell indexes, to manage or speculate on U.S. stock risks. Parties also may succeed in offering indexed products that are similar to our licensed products without being required to obtain a license, or in countries that are beyond our jurisdictional reach and/or our licensors.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industry in which we operate is highly competitive and we expect competition to continue to intensify and become more global, especially in light of changes in the financial services industry driven by regulatory reforms such as the Dodd-Frank Wall Street Reform and Consumer Protection Act (Dodd-Frank), European Market Infrastructure Regulation (EMIR), Markets in Financial Instruments Directive II (MiFID II), Capital Requirements Directive IV (CRD IV), Market Abuse Regulation, Benchmarks Regulation, Basel III, and various other laws and regulations.</w:t>
      </w:r>
    </w:p>
    <w:p>
      <w:pPr>
        <w:spacing w:after="0" w:line="63" w:lineRule="exact"/>
        <w:rPr>
          <w:sz w:val="20"/>
          <w:szCs w:val="20"/>
          <w:color w:val="auto"/>
        </w:rPr>
      </w:pPr>
    </w:p>
    <w:p>
      <w:pPr>
        <w:ind w:right="460"/>
        <w:spacing w:after="0" w:line="402" w:lineRule="auto"/>
        <w:rPr>
          <w:sz w:val="20"/>
          <w:szCs w:val="20"/>
          <w:color w:val="auto"/>
        </w:rPr>
      </w:pPr>
      <w:r>
        <w:rPr>
          <w:rFonts w:ascii="Arial" w:cs="Arial" w:eastAsia="Arial" w:hAnsi="Arial"/>
          <w:sz w:val="18"/>
          <w:szCs w:val="18"/>
          <w:color w:val="auto"/>
        </w:rPr>
        <w:t xml:space="preserve">Please also refer to the discussion below and in the “Risk Factors” section beginning on page 13 for a description of competitive risks and uncertainties. </w:t>
      </w:r>
      <w:r>
        <w:rPr>
          <w:rFonts w:ascii="Arial" w:cs="Arial" w:eastAsia="Arial" w:hAnsi="Arial"/>
          <w:sz w:val="18"/>
          <w:szCs w:val="18"/>
          <w:b w:val="1"/>
          <w:bCs w:val="1"/>
          <w:i w:val="1"/>
          <w:iCs w:val="1"/>
          <w:color w:val="auto"/>
        </w:rPr>
        <w:t>Competition in our Derivatives Exchange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business is based on a number of factors, including, among others: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 and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diversity of product offerings and frequency and quality of new product development and innovative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position and expand upon existing products to address changing market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efficient and seamless customer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transparency, reliability, anonymity and security in transaction processing;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connectivity, accessibility, flexibility in execution methods, and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capability and innovation;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transaction costs.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believe that we compete favorably with respect to these factors. Our deep, liquid markets; diverse and complementary product offerings; frequency and quality of new product development, and efficient, secure settlement, clearing and support services, distinguish us from others in the industry. We believe that in order to maintain our competitive position, we must continue to expand globally; develop new and innovative products; enhance our technology infrastructure, including its reliability and functionality; maintain liquidity and low transaction costs; continue to strengthen our risk management capabilities and solutions, and implement customer protections designed to ensure the integrity of our market and the confidence of our customers.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compete in a large financial services trading, clearing and settlement marketplace globally. Our competitors include, among other entities, exchanges such as Intercontinental Exchange, Inc. (ICE), the Hong Kong Exchanges and Clearing Limited, and Deutsche Börse AG. It also includes alternative means of developing exposures through alternative instruments, such as cash, OTC, ETFs, options, warrants, contracts for differences, structured products, and other offerings. New emerging competitors have targeted different segments of our industry, and new technologies may offer alternative products in the future. Competition in our industry continues to be dynamic and recent developments and alliances may result in a growing number of well-capitalized trading service providers that compete with all or a portion of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CME Clearing Business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the past few years, there has been increased competition in the provision of clearing services and we expect competition to continue to increase in connection with compliance with Dodd-Frank, Basel III, MiFID II and other various laws and regulations.</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competitors in the clearing services space include, among others, companies such as ICE, LCH.Group, the Options Clearing Corporation, Depository Trust &amp; Clearing Corporation and Deutsche Börse AG. In light of the implementation of regulatory requirements and other reforms of the financial services industry, we believe that other exchanges and infrastructure providers also may undertake to provide clearing and other related post-trade services.</w:t>
      </w:r>
    </w:p>
    <w:p>
      <w:pPr>
        <w:spacing w:after="0" w:line="14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believe competition in clearing services is based on, among other things, the value of providing customers with capital and margin efficiencies; quality and reliability of the services; creditworthiness of the clearing house; timely delivery of the services; reputation; diversity of the service offerings; confidentiality of positions and information security protective measures, and the fees charged for the services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Cash Markets Business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cash markets businesses operate with significant competition across a wide array of venues. In the FX space, the marketplace is highly fragmented, and there is competition from other electronic communication networks, single dealer platforms, bank owned multi-participant platforms, streaming and request for quote services, trading venues tied to data platforms, voice brokers, other broker enabled platforms, and other venues. There is a growing array of platforms, and they are often owned by many well capitalized financial institutions and intermediaries. In the fixed income space, there are also multiple providers of treasury, European and U.S. repo, and European bond trading, and a multitude of competitors and new entrants offering single dealer liquidity, bank owned multi-participant platforms, streaming and request for quote services, and other broker and exchange-enabled platforms.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Optimization Services Business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optimization services business has significant competition across each of the segments in which CME Group operates. There are multiple providers of compression services, reconciliation services, trade processing, analytics, and regulatory reporting services. In addition, there is considerable innovation going on in this business, with new entrants and new technologies being developed to serve customers.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11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Technology companies, market data and information vendors and front-end software vendors also represent actual and potential competitors because they have their own substantial market data distribution capabilities that could serve as alternative means for receiving open market data feeds instead of connecting directly to our exchange. Distributors and consumers of our market data may also use our market data as an input into a product that competes against one of our traded or cleared products. Although we may receive license fees for such products, such fees may not offset the impact of any loss in revenue from our comparable product.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businesses are either regulated themselves or serving a customer-base that includes regulated institutions or individuals. Developments in the regulatory environment have the potential to significantly affect our businesses. As such, we are subject to extensive regulation primarily in the United States and Europe.</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2016, the U.K. held a referendum in which U.K. voters voted in favor of withdrawal from the European Union (Brexit), which continues to create a number of uncertainties for the financial services sector. We intend to establish certain businesses in a European Union jurisdiction, which will allow them to continue to provide services to European Union clients following Brexit. Separately, the European Commission, European Council, and European Parliament are considering legislation, EMIR 2.2, that could make changes to the E.U. equivalence and recognition regime for non-European Union clearing houses, including CME Clearing, as further discussed below.</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also refer to the discussion below and in the “Risk Factors” section beginning on page 13 for a description of regulatory and legislative risks and uncertainties.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Derivatives Business, CME Clearing and NEX SEF</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operation of U.S. futures exchanges, CME Clearing and the NEX swap execution facility (SEF) is subject to extensive regulation by the Commodity Futures Trading Commission (CFTC) that requires our regulated subsidiaries to satisfy the requirements of certain core principles relating to the operation and oversight of our markets and our clearing house. The CFTC carries out the regulation of the futures and swaps markets and clearing houses in accordance with the provisions of the Commodity Exchange Act as amended by, among others, the Commodity Futures Modernization Act and Dodd-Frank.</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Regulations implementing Dodd-Frank include rules relating to the implementation of mandatory clearing of certain OTC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 We continue to believe these regulations provide opportunities for our business, which we continue to explore.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CME has been designated as a systemically important financial market utility and a systemically important derivatives clearing organization. These designations carry with them additional regulatory oversight of certain of our risk-management standards, clearing and settlement activities by the CFTC and the Federal Reserve Board.</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global offering of our products and clearing services, this business is also subject to the rules and regulations of the local jurisdictions in which we conduct business, including the European Securities and Markets Authority (ESMA) and the United Kingdom Financial Conduct Authority (FCA).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Cash Markets Business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operation of our BrokerTec platform subjects us to regulation by the Financial Industry Regulatory Authority (FINRA) and the U.S. Securities and Exchange Commission (SEC) as a broker-dealer and alternative trading system operator. It is also subject to regulation by authorities in the European Union as a multilateral trading facility and regulated market and by the applicable regulators in Singapore and Canada. Our EBS business holds various permissions, approvals and exemptions globally, including those that subject certain of its activities to CFTC and FCA oversight.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Optimization Services Business</w:t>
      </w:r>
    </w:p>
    <w:p>
      <w:pPr>
        <w:spacing w:after="0" w:line="2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Certain of our optimization services, which enable clients to mitigate their risk, reduce operational costs, optimize their capital, and fulfill trade reporting obligations, are subject to the Swedish Financial Supervisory Authority, the FCA, CFTC and the National Futures Association, ESMA and the Australian Securities and Investments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Market Data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RepoFunds Rate suite of daily benchmarks for the euro, Italy, Germany, France, Spain, The Netherlands and Belgium are subject to the E.U. Benchmarks Regulations, and as such we are considered an approved Benchmark Administrator under the regulation.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Areas of Focus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actively monitor and participate in the domestic and international rulemaking processes for our industry, including providing government testimony, commenting on proposed rulemakings and educating our regulators on potential impacts to the marketplace.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key areas of focus in the regulatory environment are:</w:t>
      </w:r>
    </w:p>
    <w:p>
      <w:pPr>
        <w:spacing w:after="0" w:line="117" w:lineRule="exact"/>
        <w:rPr>
          <w:sz w:val="20"/>
          <w:szCs w:val="20"/>
          <w:color w:val="auto"/>
        </w:rPr>
      </w:pPr>
    </w:p>
    <w:p>
      <w:pPr>
        <w:ind w:left="660" w:right="60" w:hanging="328"/>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potential impact of changes to the E.U. equivalence and recognition regime on non-European Union clearing houses and exchanges with customers based in Europe arising from the potential adoption of EMIR 2.2 legislation being considered by the European Commission, European Council, and European Parliament. This legislation, and the implementation of subsidiary regulations once the legislation is adopted, could require us to make changes to how our clearing house operates, subject us to greater regulatory oversight by ESMA and increase costs. A failure of our clearing house to retain its recognition may result in our clearing members and certain customers in Europe being subject to higher capital costs thus creating a disincentive to use our markets. The E.U. equivalence and recognition regime also has the potential to impact the cost and ease or difficulty for certain of NEX’s OTC execution platforms to provide access to customers on a global basis.</w:t>
      </w:r>
    </w:p>
    <w:p>
      <w:pPr>
        <w:spacing w:after="0" w:line="59" w:lineRule="exact"/>
        <w:rPr>
          <w:rFonts w:ascii="Arial" w:cs="Arial" w:eastAsia="Arial" w:hAnsi="Arial"/>
          <w:sz w:val="16"/>
          <w:szCs w:val="16"/>
          <w:color w:val="auto"/>
        </w:rPr>
      </w:pPr>
    </w:p>
    <w:p>
      <w:pPr>
        <w:ind w:left="660" w:right="4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and implementation of position limit rules, which could have a significant impact on our commodities business if federal rules for position limit management differ significantly from current exchange-administered rules.</w:t>
      </w:r>
    </w:p>
    <w:p>
      <w:pPr>
        <w:spacing w:after="0" w:line="62"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Rules respecting capital charges under Basel III with respect to clearing members of central counterparties may have negative implications for the cleared derivatives markets. Additional risks could arise through inconsistent adoption of the Basel III capital charges globally, potentially leading to disparate impacts on our customers.</w:t>
      </w:r>
    </w:p>
    <w:p>
      <w:pPr>
        <w:spacing w:after="0" w:line="7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further regulation stemming from industry performance disruptions and residual concerns around electronic trading activity and, in particular, "high frequency trading."</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elimination of the 60/40 tax treatment of certain of our futures and options contracts, which would impose a significant increase in tax rates applicable to certain market participants and could result in a decrease in their trading activity.</w:t>
      </w:r>
    </w:p>
    <w:p>
      <w:pPr>
        <w:spacing w:after="0" w:line="62"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implementation of a transaction tax or user fee in the United States or European Union, or in the State of Illinois, which could discourage institutions and individuals from using our markets or products or encourage them to trade in another less costly jurisdiction. From time to time, the proposed Presidential budget, including the currently proposed budget, has included a proposal to impose a user fee to fund the CFTC. Legislation to impose a financial transaction tax has again been proposed in the Illinois General Assembly, as it has in previous sessions of the General Assembly.</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1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implementation of legislation in the European Union impacting how benchmark index prices are formed, including new requirements for price submitters, price aggregators and markets that list contracts that reference index prices.</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Concerns that European legislators will prohibit or restrict exclusive licenses for benchmark indexes, which might impact the profitability of several of our most popular contracts.</w:t>
      </w:r>
    </w:p>
    <w:p>
      <w:pPr>
        <w:spacing w:after="0" w:line="62"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spacing w:after="0" w:line="15" w:lineRule="exact"/>
        <w:rPr>
          <w:rFonts w:ascii="Arial" w:cs="Arial" w:eastAsia="Arial" w:hAnsi="Arial"/>
          <w:sz w:val="16"/>
          <w:szCs w:val="16"/>
          <w:color w:val="auto"/>
        </w:rPr>
      </w:pPr>
    </w:p>
    <w:p>
      <w:pPr>
        <w:ind w:left="660" w:right="4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potential for further regulation and/or industry changes flowing from the continuing review by the official sector and industry participants of the U.S. Treasury “flash rally” of October 15, 2014 and its implications for clearing and settlement in the U.S. Treasury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approximately 4,590 employees. We consider relations with our employees to be good.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CME Group's executive officers. Ages are as of February 10, 2019.</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 xml:space="preserve">Terrence A. Duffy, 60. </w:t>
      </w:r>
      <w:r>
        <w:rPr>
          <w:rFonts w:ascii="Arial" w:cs="Arial" w:eastAsia="Arial" w:hAnsi="Arial"/>
          <w:sz w:val="17"/>
          <w:szCs w:val="17"/>
          <w:color w:val="auto"/>
        </w:rPr>
        <w:t>Mr. Duffy has served as our Chairman and Chief Executive Officer since November 2016. Mr. Duffy previously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Chairman and President since 2012 and as Executive Chairman from 2006. Mr. Duffy has been a member of our board of directors since 1995. He also served as President of TDA Trading, Inc. from 1981 to 2002 and has been a member of our CME exchange since 1981.</w:t>
      </w:r>
    </w:p>
    <w:p>
      <w:pPr>
        <w:spacing w:after="0" w:line="5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 xml:space="preserve">Kathleen M. Cronin, 55. </w:t>
      </w:r>
      <w:r>
        <w:rPr>
          <w:rFonts w:ascii="Arial" w:cs="Arial" w:eastAsia="Arial" w:hAnsi="Arial"/>
          <w:sz w:val="18"/>
          <w:szCs w:val="18"/>
          <w:color w:val="auto"/>
        </w:rPr>
        <w:t>Ms. Cronin has served as our Senior Managing Director, General Counsel and Corporate Secretary since 2003. Prior to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Cronin was a corporate attorney at Skadden, Arps, Slate, Meagher &amp; Flom LLP from 1989 through 1995 and from 1997 through 2002. Ms. Cronin also serves as a director of Kemper Corporation.</w:t>
      </w:r>
    </w:p>
    <w:p>
      <w:pPr>
        <w:spacing w:after="0" w:line="6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i w:val="1"/>
          <w:iCs w:val="1"/>
          <w:color w:val="auto"/>
        </w:rPr>
        <w:t>Sunil Cutinho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47. </w:t>
      </w:r>
      <w:r>
        <w:rPr>
          <w:rFonts w:ascii="Arial" w:cs="Arial" w:eastAsia="Arial" w:hAnsi="Arial"/>
          <w:sz w:val="18"/>
          <w:szCs w:val="18"/>
          <w:color w:val="auto"/>
        </w:rPr>
        <w:t>Mr. Cutinho has served as President of CME Clearing since September 2014. He joined CME Group in 2002 and since then has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positions of increasing responsibility within the organization and, most recently served as Managing Director, Deputy Head of CME Clearing from April 2014 through September 2014.</w:t>
      </w:r>
    </w:p>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Bryan T. Durkin, 58. </w:t>
      </w:r>
      <w:r>
        <w:rPr>
          <w:rFonts w:ascii="Arial" w:cs="Arial" w:eastAsia="Arial" w:hAnsi="Arial"/>
          <w:sz w:val="18"/>
          <w:szCs w:val="18"/>
          <w:color w:val="auto"/>
        </w:rPr>
        <w:t>Mr. Durkin has served as President since November 2016. Mr. Durkin previously served as Senior Managing Director,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Officer since 2014 and as our Chief Operating Officer since 2007, and also held the title of Managing Director, Products and Services from 2010 to July 2012. Mr. Durkin joined us in connection with the CBOT merger and he previously held a variety of leadership roles with CBOT from 1982 to 2007, most recently as Executive Vice President and Chief Operating Officer.</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 xml:space="preserve">Julie Holzrichter, 50. </w:t>
      </w:r>
      <w:r>
        <w:rPr>
          <w:rFonts w:ascii="Arial" w:cs="Arial" w:eastAsia="Arial" w:hAnsi="Arial"/>
          <w:sz w:val="16"/>
          <w:szCs w:val="16"/>
          <w:color w:val="auto"/>
        </w:rPr>
        <w:t>Ms. Holzrichter has served as our Senior Managing Director, Chief Operating Officer since September 2014. She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Managing Director, Global Operations from 2007. Ms. Holzrichter rejoined us in 2006 as our Managing Director, CME Globex Services and Technology Integration. Ms. Holzrichter previously held positions of increasing responsibility in our organization from 1986 to 2003 in trading operations.</w:t>
      </w:r>
    </w:p>
    <w:p>
      <w:pPr>
        <w:spacing w:after="0" w:line="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Kevin Kometer, 54. </w:t>
      </w:r>
      <w:r>
        <w:rPr>
          <w:rFonts w:ascii="Arial" w:cs="Arial" w:eastAsia="Arial" w:hAnsi="Arial"/>
          <w:sz w:val="18"/>
          <w:szCs w:val="18"/>
          <w:color w:val="auto"/>
        </w:rPr>
        <w:t>Mr. Kometer has served as Senior Managing Director and Chief Information Officer since 2008. He previously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Hilda Harris Piell, 51. </w:t>
      </w:r>
      <w:r>
        <w:rPr>
          <w:rFonts w:ascii="Arial" w:cs="Arial" w:eastAsia="Arial" w:hAnsi="Arial"/>
          <w:sz w:val="18"/>
          <w:szCs w:val="18"/>
          <w:color w:val="auto"/>
        </w:rPr>
        <w:t>Ms. Piell has served as Senior Managing Director and Chief Human Resources Officer since 2007. Previously she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Senior Associate General Counsel, as Director and Associate General Counsel and as Associate Director and Assistant General Counsel since joining us in 2000.</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John W. Pietrowicz, 54. </w:t>
      </w:r>
      <w:r>
        <w:rPr>
          <w:rFonts w:ascii="Arial" w:cs="Arial" w:eastAsia="Arial" w:hAnsi="Arial"/>
          <w:sz w:val="17"/>
          <w:szCs w:val="17"/>
          <w:color w:val="auto"/>
        </w:rPr>
        <w:t>Mr. Pietrowicz has served as our Chief Financial Officer since December 2014. Previously, Mr. Pietrowicz served as our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Director, Business Development and Corporate Finance since 2010. Mr. Pietrowicz joined us in 2003 and since then has held various positions of increasing responsibility, including Managing Director and Deputy Chief Financial Officer from 2009 to 2010 and Managing Director, Corporate Finance and Treasury from 2006 to 2009. Mr. Pietrowicz also serves as a director of S&amp;P/Dow Jones Indices LLC.</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Derek Sammann, 50. </w:t>
      </w:r>
      <w:r>
        <w:rPr>
          <w:rFonts w:ascii="Arial" w:cs="Arial" w:eastAsia="Arial" w:hAnsi="Arial"/>
          <w:sz w:val="18"/>
          <w:szCs w:val="18"/>
          <w:color w:val="auto"/>
        </w:rPr>
        <w:t>Mr. Sammann has served as our Senior Managing Director, Commodities and Options Products since September 2014. He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Jack Tobin, 55. </w:t>
      </w:r>
      <w:r>
        <w:rPr>
          <w:rFonts w:ascii="Arial" w:cs="Arial" w:eastAsia="Arial" w:hAnsi="Arial"/>
          <w:sz w:val="18"/>
          <w:szCs w:val="18"/>
          <w:color w:val="auto"/>
        </w:rPr>
        <w:t>Mr. Tobin has served as our Chief Accounting Officer since February 2015. Mr. Tobin most recently served as our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Finance since 2007. Prior to our merger with CBOT Holdings, Mr. Tobin served as the Director, Corporate Finance for CBOT Holdings, Inc. and CBOT from 2002 to 2007. Prior to joining CBOT, Mr. Tobin served as a principal consultant with PricewaterhouseCoopers from 1997 to 2002. Mr. Tobin is a registered certified public accountant.</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 xml:space="preserve">Sean Tully, 55. </w:t>
      </w:r>
      <w:r>
        <w:rPr>
          <w:rFonts w:ascii="Arial" w:cs="Arial" w:eastAsia="Arial" w:hAnsi="Arial"/>
          <w:sz w:val="17"/>
          <w:szCs w:val="17"/>
          <w:color w:val="auto"/>
        </w:rPr>
        <w:t>Mr. Tully has served as Senior Managing Director, Financial and OTC Products of CME Group since September 2014. He previously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Managing Director, Interest Rates and OTC Products since February 2014. Previously, he served as Managing Director, Interest Rate and OTC Products since October 2013 and as our Managing Director, Interest Products since joining us in 2011. Before joining the company, Mr. Tully most recently served as Managing Director, Global Head of Fixed Income Trading at WestLB in London.</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Julie Winkler, 44. </w:t>
      </w:r>
      <w:r>
        <w:rPr>
          <w:rFonts w:ascii="Arial" w:cs="Arial" w:eastAsia="Arial" w:hAnsi="Arial"/>
          <w:sz w:val="18"/>
          <w:szCs w:val="18"/>
          <w:color w:val="auto"/>
        </w:rPr>
        <w:t>Ms. Winkler has served as our Senior Managing Director, Chief Commercial Officer since December 2016. She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Managing Director, Research and Product Development and Index Services of CME Group since 2014 and as Managing Director, Research and Product Development since 2007. Prior to our merger with CBOT Holdings, Ms. Winkler held positions of increasing responsibility for CBOT Holdings since 1996. Ms. Winkler also serves as a director of S&amp;P/Dow Jones Indices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www.cmegroup.com</w:t>
      </w:r>
      <w:r>
        <w:rPr>
          <w:rFonts w:ascii="Arial" w:cs="Arial" w:eastAsia="Arial" w:hAnsi="Arial"/>
          <w:sz w:val="18"/>
          <w:szCs w:val="18"/>
          <w:color w:val="auto"/>
        </w:rPr>
        <w:t>.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U.S. Securities and Exchange Commission (SEC). Our corporate governance materials, including our Corporate Governance Principles, Director Conflict of Interest Policy, Board of Directors Code of Ethics, Categorical Independence Standards, Employee Code of Conduct and the charters for all the standing committees of our board, also may be found on our website. Copies of these materials also are available to shareholders free of charge upon written request to Shareholder Relations, Attention Ms. Beth Hausoul, CME Group Inc., 20 South Wacker Drive, Chicago, Illinois 60606.</w:t>
      </w:r>
    </w:p>
    <w:p>
      <w:pPr>
        <w:spacing w:after="0" w:line="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economic and political conditions that are beyond our control and that could significantly impact our business and make our financial results more volatile.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revenue is substantially derived from fees for transactions executed and cleared in our markets. The trading volumes in our markets are directly affected by domestic and international factors that are beyond our control, including:</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legislative and regulatory changes, including any direct or indirect restrictions on or increased costs associated with trading in our markets;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 trends in the industry and financial markets;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price levels, trading volumes and volatility in the derivatives, cash and OTC markets and in underlying equity, foreign exchange, interest rate and commodity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shifts in global or regional demand or supply in commodities underlying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government monetary policies, especially central bank decisions related to quantitative easing;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capital to our market participants and their appetite for risk-taking;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levels of assets under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volatile weather patterns, droughts, natural disasters and other catastrophes;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pandemics affecting our customer base or our ability to operate our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or expansion in our customer base and within our industry.</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in the U.S. equity markets, fluctuations in interest rates and price changes in the foreign exchange, commodity and other markets. However, as evidenced by our past performance, in the period after a material market disturbance, there may persist extreme uncertainties, which may lead to decreased volume due to factors such as reduced risk exposure, lower interest rates, central bank asset purchase programs and lack of available capital. The shifts in market trading patterns we experienced as a result of the financial crisis of 2008 may or may not recur in the future, and our business will be affected by future economic uncertainties, which may result in decreased trading volume and a more difficult business environment for us. A reduction in overall trading volume or in certain products could render our markets less attractive to market participants as a source of liquidity, which could result in further loss of trading volume and associated transaction-based revenue. Material decreases in trading volume would have a material adverse effect on our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primarily subject to the jurisdiction of the regulatory agencies in the United States and Europe. As a result of our global operations, we are also subject to the rules and regulations of the local jurisdictions in which we conduct business and offer our products and services.</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Due to the global financial crisis that began in 2008, the United States and numerous other governments have undertaken reviews of the legal framework governing financial markets and have either passed new laws and regulations, or are in the process of debating or enacting new laws and regulations that will impact our business. We have incurred and expect to continue to incur significant additional costs to comply with the extensive regulations that apply to our business. Additionally, regulation imposed on financial institutions or market participants generally, such as enhanced capital requirements, may adversely impact their trading activity in our markets. Also, as noted above, EMIR 2.2, the legislation being considered by the European Commission, European Council, and European Parliament, and the implementation of the regulations under this legislation, have the potential to increase our regulatory costs and/or create a disincentive for certain clients to use our products. The EU equivalence and recognition regime also has the potential to impact the cost and ease or difficulty for certain of NEX’s OTC execution platforms to provide access to customers on a global basis.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the extent the regulatory environment is less beneficial for us or our customers, our business, financial condition and operating results could be negatively affected.</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If we fail to comply with applicable laws, rules or regulations, we may be subject to censure, fines, cease-and-desist orders, suspension of our business, removal of personnel or other sanctions, including revocation of our designations as a contract market, derivatives clearing organization, swap execution facility or broker-dealer.</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Legislation may be proposed, both domestically and internationally, that could add a transaction tax on our products or change the way that our market participants are taxed on the products they trade on our markets. If such proposals were to become law, they could have a negative impact on our industry and on us by making transactions more costly to market participants, which may reduce trading and could make our markets less competitive.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 – Business – Regulatory Matters" beginning on page 10 for additional information on our areas of regulatory focus.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If we are not able to successfully compete, our business, financial condition and operating results will be materially harmed.</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industry in which we operate is highly competitive and we expect competition to continue to intensify, especially in light of the implementation of Dodd-Frank and other reforms of the financial services industry. We believe portions of Dodd-Frank and the corresponding regulations with respect to mandatory clearing and organized trading provide opportunities for our business. However, other reforms could negatively impact our business and our ability to compete effectively. We encounter competition in all aspects of our business, including from entities having substantially greater capital and resources, offering a wide range of products and services and in some cases operating under a different and possibly less stringent regulatory regime. We face competition from other futures, securities and securities option exchanges; OTC markets; clearing organizations; consortia formed by our members and large industry participants; swap execution facilities; alternative trade execution facilities; technology firms, including market data distributors and electronic trading system developers, and others. Many of our competitors and potential competitors have greater financial, marketing, technological and personnel resources than we do.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may:</w:t>
      </w:r>
    </w:p>
    <w:p>
      <w:pPr>
        <w:spacing w:after="0" w:line="225" w:lineRule="exact"/>
        <w:rPr>
          <w:sz w:val="20"/>
          <w:szCs w:val="20"/>
          <w:color w:val="auto"/>
        </w:rPr>
      </w:pPr>
    </w:p>
    <w:p>
      <w:pPr>
        <w:ind w:left="660" w:right="2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 A decline in our fees or loss of customers could lower our revenues, which would adversely affect our profitability.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Please see "Item 1 – Business – Competition" beginning on page 9 for additional information on the competitive environment and its potential impact on our business.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trading volume, and consequently our revenues and profits, would be adversely affected if we are unable to retain our current customers or attract new customers.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success of our business depends, in part, on our ability to maintain and increase our trading volume in our markets. To do so, we must maintain and expand our product offerings, our customer base and our trade execution and clearing facilities. Our success also depends on our ability to offer competitive prices and services in an increasingly price-sensitive business. For example, some of our competitors have engaged in aggressive pricing strategies in the past, such as lowering the fees that they charge for taking liquidity and increasing liquidity payments or rebates. We cannot provide assurances that we will be able to continue to expand our products and services, that we will be able to retain our current customers or attract new customers or that we will not be required to modify our pricing structure to compete effectively. Changes in our pricing structure may result in a decrease in our profit margin. Additionally, from time to time, certain customers may represent a significant portion of the open interest in our individual product lines or contracts. If we fail to maintain our trading volume; expand our product offerings or execution facilities; or lose a substantial number of our current customers, or a subset of customers representing a significant percentage of trading volume in a particular product line; or are unable to attract new customers, our business and revenues will be adversely affected. Furthermore, declines in trading volume due to loss of customers may negatively impact market liquidity, which could lead to further loss of trading volume.</w:t>
      </w:r>
    </w:p>
    <w:p>
      <w:pPr>
        <w:spacing w:after="0" w:line="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Our role in the global marketplace places us at greater risk than other public companies for a cyber attack and other cyber security risks. Our technology, our people and those of our third-party service providers may be vulnerable to cyber security threats, which could result in wrongful use of our information or cause interruptions in our operations that cause us to lose customers and trading volume, and result in substantial liabilities. We also could be required to incur significant expense to protect our systems and/or investigate any alleged attack.</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regard the secure transmission of confidential information and the ability to continuously transact and clear on our electronic trading platforms as critical elements of our operations. Our technology, our people and those of our third-party service providers and our customers may be vulnerable to targeted attacks, unauthorized access, fraud, computer viruses, denial of service attacks, terrorism, "ransom" attacks, firewall or encryption failures and other security problems. Criminal groups, political activist groups and nation-state actors have targeted the financial services industry and our role in the global marketplace places us at greater risk than other public companies for a cyber attack and other information security threats. While the company has not experienced cyber incidents that are individually, or in the aggregate, material, the company has experienced cyber attacks of varying degrees in the past. The company has designed its cyber defense program to mitigate such attacks by preventative, detective, and responsive measures. Our usage of mobile and cloud technologies may increase our risk for a cyber attack. Our security measures may also be breached due to employee error, malfeasance, system errors or vulnerabilities. Additionally, outside parties may attempt to fraudulently induce employees, users, or customers to disclose sensitive information in order to gain access to our technology systems and data, or our customers’ data. Any such breach or unauthorized access could result in significant legal and financial exposure, damage to our reputation, and a loss of confidence in the services we provide that could potentially have an adverse effect on our business, while resulting in regulatory penalties or the imposition of burdensome obligations by regulators. In addition, as the regulatory environment related to information security, data collection and use, and privacy becomes increasingly rigorous, with new and constantly changing requirements applicable to our business, including the European Union General Data Protection Regulation that went into effect in May</w:t>
      </w:r>
    </w:p>
    <w:p>
      <w:pPr>
        <w:sectPr>
          <w:pgSz w:w="11900" w:h="16838" w:orient="portrait"/>
          <w:cols w:equalWidth="0" w:num="1">
            <w:col w:w="11420"/>
          </w:cols>
          <w:pgMar w:left="240" w:top="122" w:right="239" w:bottom="1440"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2018, compliance with those requirements could also result in additional costs and may carry significant penalties for non-compliance.</w:t>
      </w:r>
    </w:p>
    <w:p>
      <w:pPr>
        <w:spacing w:after="0" w:line="17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Additionally, the operation of our technology platforms may place us at greater risk for misappropriation of our intellectual property, and persons who circumvent security measures could wrongfully use or steal our information or cause interruptions or malfunctions in our operations. In the past, we have been the victim of trade secret theft by an employee.</w:t>
      </w:r>
    </w:p>
    <w:p>
      <w:pPr>
        <w:spacing w:after="0" w:line="12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part of our global information security program, we employ resources to monitor and protect our technology infrastructure and employees against such cyber attacks, including the rapid response to zero-day vulnerabilities, and the potential misappropriation of our intellectual property assets. However, our security measures or those of our third-party providers, including any cloud-based technologies, may prove insufficient depending upon the attack or threat posed. Any security attack or breach could result in system failures and delays, loss of customers and lower trading volume, loss of competitive position, damage to our reputation, disruption of our business, legal liability or regulatory fines, significant costs, which in turn, may cause our revenues and earnings to decline. Though we have insurance against some cyber risks and attacks, we may be subject to litigation and financial losses that exceed our policy limits or are not covered under any of our current insurance policies.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commodity and securities law liability.</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Many aspects of our business involve substantial litigation risks. While our derivatives exchange and clearing activities generally are protected by our rules limiting liability for system failures and certain forms of negligence and by statutory limits on the ability to bring private causes of actions in cases where we have not acted in bad faith, we could be exposed to substantial liability under federal and state laws and court decisions, as well as rules and regulations promulgated and/or direct actions brought by the SEC and the CFTC.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trade execution, the settlement of trades or other matters relating to our services.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w:t>
      </w:r>
    </w:p>
    <w:p>
      <w:pPr>
        <w:spacing w:after="0" w:line="183" w:lineRule="exact"/>
        <w:rPr>
          <w:sz w:val="20"/>
          <w:szCs w:val="20"/>
          <w:color w:val="auto"/>
        </w:rPr>
      </w:pPr>
    </w:p>
    <w:p>
      <w:pPr>
        <w:ind w:right="160"/>
        <w:spacing w:after="0" w:line="327" w:lineRule="auto"/>
        <w:rPr>
          <w:sz w:val="20"/>
          <w:szCs w:val="20"/>
          <w:color w:val="auto"/>
        </w:rPr>
      </w:pPr>
      <w:r>
        <w:rPr>
          <w:rFonts w:ascii="Arial" w:cs="Arial" w:eastAsia="Arial" w:hAnsi="Arial"/>
          <w:sz w:val="15"/>
          <w:szCs w:val="15"/>
          <w:b w:val="1"/>
          <w:bCs w:val="1"/>
          <w:i w:val="1"/>
          <w:iCs w:val="1"/>
          <w:color w:val="auto"/>
        </w:rPr>
        <w:t>Some of CME Clearing's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14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clearing house seeks to offer customers, intermediaries and clearing firms universal access in order to maximize the efficient use of capital, exercise appropriate oversight of value at risk and maintain operating leverage from clearing activities on our exchanges. Our strategic business plan is to operate an efficient and transparent vertically integrated transaction execution, clearing and settlement business for our futures and options on futures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of futures or options on futures from an exchange-owned clearing house to a clearing house owned and controlled by clearing firms. If these legislative or regulatory changes are adopted, our revenues and profits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may be more likely than other companies to be a direct target of, or an indirect casualty of, attacks by terrorists or terrorist organizations. It is impossible to accurately predict the likelihood or impact of any terrorist attack on our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 Such attack may result in the closure of our facilities or render our backup data and recovery systems inoperable. Damage to our facilities due to terrorist attacks may be significantly in excess of any amount of insurance received, or we may not be able to insure against such damage at a reasonable price or at all. The threat of terrorist attacks may also negatively</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affect our ability to attract and retain employees. Any of these events could have a material adverse effect on our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damage our business.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Maintaining our reputation and brand is critical to attracting and retaining customers and investors and for maintaining our relationships with our regulators. Negative publicity regarding our company or actual, alleged or perceived issues regarding our products or services could give rise to reputational risk which could significantly harm our business prospects. These issues may include, but are not limited to, any of the risks discussed in this Item 1A, including risks from customer disputes, system failures or intrusions, failures to meet our regulatory obligations, failures of a clearing firm or other counterparty, issues relating to our third-party suppliers, misconduct and ineffective risk management.</w:t>
      </w:r>
    </w:p>
    <w:p>
      <w:pPr>
        <w:spacing w:after="0" w:line="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success of our markets depends on our ability to complete development of, successfully implement and maintain the electronic trading systems that have the functionality, performance, reliability and speed required by our customers.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success of our business depends in large part on our ability to create interactive electronic marketplaces, for a wide range of products, that have the required functionality, performance, capacity, security and speed to attract and retain customers. In 2018, 90% of our overall volume was generated through electronic trading on our CME Globex electronic platform. In connection with the acquisition of NEX, we acquired the BrokerTec and EBS trading platforms, which will eventually be migrated to CME Globex.</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must continue to enhance our electronic trading platforms and other technology offerings to remain competitive. As a result, we will continue to be subject to risks, expenses and uncertainties encountered in the rapidly evolving market for electronic transaction services. These risks include our failure or inability to:</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a manner that is competitive with the functionality supported by other electronic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the competitiveness of our fee structure;</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systems and automated order routing system;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platforms and other technology offerings.</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If we do not successfully enhance our electronic trading systems and technology offerings, if we are unable to develop them to include other products and markets or if they do not have the required functionality, performance, capacity, security and speed desired by our customers, our ability to successfully compete and our revenues and profits will be adversely affected.</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is highly dependent on our ability to process and monitor, on a daily basis, a large number of transactions which occur at high volume and frequencies across multiple systems. We are heavily reliant on the capacity, reliability and security of the computer and communications systems and software supporting our operations. Our systems, or those of our third-party providers, including cloud providers, may fail or be shut down or, due to capacity constraints, may operate slowly, causing one or more of the following to occur:</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response times and delays in our customers' trade execution and processing;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breaches;</w:t>
      </w:r>
    </w:p>
    <w:p>
      <w:pPr>
        <w:sectPr>
          <w:pgSz w:w="11900" w:h="16838" w:orient="portrait"/>
          <w:cols w:equalWidth="0" w:num="1">
            <w:col w:w="11400"/>
          </w:cols>
          <w:pgMar w:left="240" w:top="122" w:right="259" w:bottom="1054"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2" w:right="259" w:bottom="1054"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225"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cannot assure you that we will not experience systems failures from power or telecommunications failure, acts of God, war or terrorism, human error on our part or on the part of our vendors, natural disasters, fire, sabotage, hardware or software malfunctions or defects, computer viruses, cyber attacks, acts of vandalism or similar occurrences. If any of our systems or the systems of our third-party providers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have experienced system errors and failures that have resulted in some customers being unable to connect to our electronic trading platforms and technology offerings, or that resulted in erroneous reporting, such as transactions that were not authorized by any customer or reporting of filled orders as canceled. Such errors may result in CME Group being liable or in our voluntary assumption of financial liability. We cannot assure you that if we experience system errors or failures in the future that they will not have a material adverse impact on our business. Any such system failures that cause an interruption in service or decrease our responsiveness could impair our reputation, damage our brand or have a material adverse effect on our business, financial condition and operating results.</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Regulations relating to our derivatives exchange and clearing business generally require that our trade execution and communications systems be able to handle anticipated present and future peak trading volume. Similarly, our BrokerTec and EBS trading platforms are expected by our customers to be regularly available and able to handle peak volumes.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contract volume. However, we cannot assure you that our estimates of future trading volume and order messaging traffic will be accurate or that our systems will always be able to accommodate actual trading volume and order messaging traffic without failure or degradation of performance. Increased trading volume and order messaging traffic may result in connectivity problems or erroneous reports that may affect users of our platforms.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7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will need to continue to upgrade, expand and increase the capacity of our systems as our business grows and as we execute our business strategy.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cloud hosting providers, data center providers, and software and hardware vendors, for elements of our trading, clearing and other systems, as well as communications and networking equipment, computer hardware and software and related support and maintenance.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trading platforms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and the needs of our customers, we could experience decreased trading volume, lower revenues and higher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businesses acquired from NEX subject us to compliance and regulatory risks associated with being a regulated intermediary.</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Regulatory oversight of our business has historically been extensive and focused on the adequacy of our self-regulatory oversight of our derivatives exchange and clearing activities and the security and safeguards of our systems. The broker-dealer and multilateral trading facility businesses acquired from NEX (BrokerTec and EBS) are also extensively regulated, but with a focus on their role as intermediaries, which may create compliance and regulatory risks different than those to which we previously have been subject. These regulatory obligations generally include proper licensing and qualification of the firms and individuals, substantive conduct standards, communication and disclosure rules, monitoring and surveillance, training, capital requirements, supervisory obligations, maintenance of an anti-money laundering program, suspicious activity reporting, risk management standards, trade reporting, and ongoing examinations and reviews. The risks from failing to meet these compliance and regulatory obligations include potential liability, disciplinary action against the firm and individuals, monetary penalties, and restrictions on future activities.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exposes us to substantial credit risk of our clearing firms and other counterparties and, consequently, a decrease in their financial resources could adversely affect us.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our derivatives business, our clearing house operations expose us to counterparties with differing risk profiles. We routinely guarantee transactions submitted by our clearing firms with counterparties in the financial industry, including brokers and dealers, commercial banks, investment banks, mutual and hedge funds, and other institutional customers. We could be adversely impacted by the financial distress or failure of one or more of our clearing firms. Additionally, we are exposed to the risk of loss from the failure of a matched principal counterparty to settle its trades at BrokerTec.</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substantial part of our working capital may be at risk if a clearing firm defaults on its obligations to our clearing house and its margin and guaranty fund deposits are insufficient to meet its obligations. Additionally, BrokerTec is exposed to the potential risk of loss in the event a counterparty fails to meet its obligations. Although we have policies and procedures to help ensure that our clearing firms and other counterparties can satisfy their obligations, these policies and procedures may not succeed in detecting problems or preventing defaults. We also have in place various measures intended to enable us to cure any default and maintain liquidity. However, we cannot assure you that these measures will be sufficient to protect market participants from a default or that we will not be adversely affected in the event of a significant default. In addition, we have established a fund (currently $98.0 million) to provide payments, up to certain maximum levels, to qualified family farmers, ranchers and other agricultural industry participants who use our products and who suffer losses to their segregated account balances if their derivatives clearing firm member becomes insolvent.</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BrokerTec matched principal business is highly dependent on our status as a member in good standing of the Fixed Income Clearing Corporation (FICC), and our failure to maintain that status could adversely affect us.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BrokerTec’s matched principal platform facilitates anonymous trading in significant volumes from wholesale market participants who are FICC members and understand that BrokerTec is also a FICC member, such that their trades are expected to be novated promptly to FICC, who will be their ultimate counterparty. A failure of BrokerTec to maintain its membership could adversely impact the willingness of such participants to continue trading on the platform. As part of maintaining its membership, BrokerTec is required to timely and fully meet all margin calls and other obligations established by FICC, and as such must maintain ready access to sufficient liquidity to satisfy those obligations. BrokerTec maintains access to liquidity resources that it believes will satisfy these obligations in normal and stressed circumstances, but there can be no guarantee that it will never experience a shortfall.</w:t>
      </w:r>
    </w:p>
    <w:p>
      <w:pPr>
        <w:spacing w:after="0" w:line="16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Our Three-Month Eurodollar futures contracts are based on the three-month U.S. dollar LIBOR underlying rate. To the extent trading in Eurodollar contracts decreases and our alternative contracts are not successful, our revenues would be negatively impacted. Certain of our other businesses could also be negatively affected by changes to LIBOR.</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Eurodollar futures contracts are based on the three-month U.S. dollar ICE LIBOR (LIBOR) underlying rate. In 2018, average trading volume in our Eurodollar contracts was 4.5 million contracts and open interest was 53.9 million contracts. LIBOR is the subject of recent national and international proposals for reform which advocate for the transition of survey based interbank offered rates to alternative transaction-based reference rates. In particular, on July 27, 2017, the Chief Executive of the FCA, which regulates LIBOR, announced that it intends to stop persuading banks to submit rates for the calibration of LIBOR to the administrator of LIBOR after 2021. The announcement indicates that the continuation of LIBOR on the current basis cannot be guaranteed after 2021. While we are closely engaged with the industry, regulators, and market participants to launch products using alternative reference rates, including our SOFR and SONIA futures contracts launched in 2018, there is no guarantee that a transition to such contracts would be successful and would replace the revenue we derive from our Eurodollar contracts if the trading volume were to decline or discontinue altogether. Additionally, certain of our other businesses, including our Reset offering, could be negatively affected by changes to LIBOR.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become a clearing member at our clearing house, a firm must meet certain minimum capital requirements and must deposit collateral to meet performance bond and guaranty fund requirements. We accept a variety of collateral to satisfy these requirements, including cash, regulated money market mutual funds, U.S. Treasury securities, U.S. Government Agency securities, letters of credit, gold, equities and select ETFs, foreign sovereign debt, Canadian Provincials and corporate bonds, and subject them to established haircuts based on the type of collateral and maturity. There is no guarantee the collateral will maintain its value. To the extent a clearing firm is not compliant with capital, margin or guaranty fund requirements, it would be required to promptly come into compliance by adding capital or collateral, decreasing its proprietary trading activity and/or transferring customer accounts to another clearing firm. These actions could result in a decrease in trading activity in our derivatives products.</w:t>
      </w:r>
    </w:p>
    <w:p>
      <w:pPr>
        <w:spacing w:after="0" w:line="17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Intellectual property rights licensed from third-party price reporting agencies form the basis for many of our products from which we derive a significant portion of our volume and revenue. Regulatory scrutiny into such benchmarks could have a negative impact on our ability to offer such products.</w:t>
      </w:r>
    </w:p>
    <w:p>
      <w:pPr>
        <w:spacing w:after="0" w:line="10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are significantly dependent on the contract volume of products which are based on intellectual property rights of indexes derived from third-party price reporting agencies. To comply with CFTC core principles, we must be able to demonstrate that our products may not be readily susceptible to manipulation. Our inability to offer products based on these indexes could have a negative impact on our contract volume and revenues.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market data revenues may be reduced by decreased demand, poor overall economic conditions, regulatory changes or a significant change in how market participants trade and use market data.</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sell our market data to individuals, trading institutions and other organizations that use our information services to participate in our markets and/or monitor general economic conditions. Revenues from our market data and information services represented 10% and 11% of our total revenues during the years ended December 31, 2018 and 2017 respectively. A decrease in overall trading volume may lead to a decreased demand for our market data. For example, in recent years, we experienced a decrease in the average number of market data connections due to continued economic uncertainty, high unemployment levels in the financial services sector and aggressive cost cutting initiatives at customer firms and the continued impact of legacy incentive programs tied to trading terminals. We could also become subject to regulatory actions, which could have the potential to restrict how we charge for our market data. We also license our market data to be used in the creation of derivative financial products, and changes to regulation, including the impact of any changes in laws or government policy, may impact the demand of our market data for such derivative works.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22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continue to focus on strategic initiatives to grow our business, including our efforts to serve the OTC markets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Our growth strategy also may subject us to increased legal, compliance and regulatory obligations.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historical merger and acquisition activity in our industry. As a result, we may be unable to identify strategic opportunities or we may be unable to negotiate or finance future transactions on terms favorable to us, which could impact our ability to identify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 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which may have an adverse impact on our financial condition and operating results. We also may be required to take an impairment charge in our financial statements relating to our acquisitions and/or investments, which could negatively affect our stock price. Our recent acquisition of NEX is subject to many of these risks, including the potential we may not achieve the expected cost savings, synergies and other strategic benefits from the transaction within the anticipated time frames and the integration of NEX with our operations may not be successful or may be delayed or more costly than expected, or that our customers will be negatively affected by these changes.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of our global operations involves special challenges that we may not be able to meet, which could adversely affect our financial results.</w:t>
      </w:r>
    </w:p>
    <w:p>
      <w:pPr>
        <w:spacing w:after="0" w:line="24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We plan to continue to expand our global operations, including through our acquisition of NEX. We face certain risks inherent in doing business in international markets, particularly in our regulated businesses. These risks include:</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cannot assure you that we will be successful in marketing our products and services in international markets. We also may experience difficulty in managing our international operations because of, among other things, competitive conditions overseas, management of FX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ultimate impact of Brexit is contingent upon the terms of withdrawal and the ongoing relationship between the U.K. and the European Union. Brexit may result in legal uncertainty and potentially divergent national laws and regulations as the withdrawal process progresses. Additionally, the establishment of certain of our businesses in a European Union jurisdiction will result in increased legal, compliance and operational costs.</w:t>
      </w:r>
    </w:p>
    <w:p>
      <w:pPr>
        <w:spacing w:after="0" w:line="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programs might not be effective and may result in outcomes that could adversely affect our reputation, financial condition and operating results.</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normal course of our business, we discuss matters with our regulators including during regulatory examinations, or we may otherwise become subject to their inquiry and oversight. Our regulators have broad enforcement powers, including the power to censure, fine, issue cease-and-desist orders, prohibit us from engaging in some of our businesses or suspend or revoke our regulatory designations or the registration of any of our officers or employees who violate applicable laws or regulations. Our ability to comply with applicable laws and regulations is largely dependent on our establishment and maintenance of compliance, review and reporting systems, as well as our ability to attract and retain qualified compliance and other risk management personnel. We face the risk of significant intervention by regulatory authorities, including extensive examination and surveillance activity.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 For example, in 2013, the CFTC filed suit against NYMEX and two former employees alleging disclosure of confidential customer information in violation of the Commodity Exchange Act. Based on our review of the allegations, we believe that we have strong factual and legal defenses to the claim.</w:t>
      </w:r>
    </w:p>
    <w:p>
      <w:pPr>
        <w:spacing w:after="0" w:line="1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maintain policies and procedures to prevent, detect, monitor and manage our risks, but such policies and procedures may not be fully effective. Some of our risk management processes depend upon evaluation of information regarding markets, customers, employees or other matters or potential threats that are publicly available or otherwise accessible by us. That information may not in all cases be accurate, complete, up-to-date or properly evaluated. Management of operational, financial, legal and compliance, regulatory, reputational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of financial services firms in the past. Misconduct by our employees and agents could include hiding unauthorized activities from us, improper or unauthorized activities on behalf of customers or improper use or unauthorized disclosure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also may commit errors that could subject us to financial claims for negligence, as well as regulatory actions, or result in our voluntary assumption of financial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occurring on our OTC trading platforms.</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There have been a number of highly publicized cases involving manipulative activity or other misconduct in the OTC markets by wholesale market participants. Improper activity on our platform could include activities such as spoofing, layering, wash trading and manipulation. Such misconduct could subject us to financial losses and seriously harm our reputation, and could also result in regulatory sanctions, financial penalties, and restrictions on our activities for failure to properly identify, monitor, and respond to potentially problematic activity. It is not always possible to deter misconduct, and the precautions we take to prevent and detect this activity may not be effective in all cases.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attempt to protect our intellectual property rights by relying on trademarks, copyright, database rights, trade secrets, restrictions on disclosure and other methods. Notwithstanding the precautions we take to protect our intellectual property rights, it is possible that third parties may copy or otherwise obtain and use our proprietary technology without authorization or otherwise infringe on our rights. For example, one of our former employees pleaded guilty to theft of our trade secrets.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services.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Patents of third parties may have an important bearing on our ability to offer certain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2018, we had approximately $4.4 billion of total indebtedness and we had excess borrowing capacity for general corporate purposes under our existing facilities of approximately $2.0 billion.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225" w:lineRule="exact"/>
        <w:rPr>
          <w:sz w:val="20"/>
          <w:szCs w:val="20"/>
          <w:color w:val="auto"/>
        </w:rPr>
      </w:pPr>
    </w:p>
    <w:p>
      <w:pPr>
        <w:ind w:left="660" w:right="10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 Our U.S. exchanges, swap execution facility and clearing house also are required to maintain minimum capital levels as defined by the CFTC, and our BrokerTec broker-dealer is required to meet minimum capital requirements set by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there can be no assurance that we will maintain our current ratings. In the past, we have experienced ratings downgrades. Our failure to maintain our ratings could adversely affect the cost and other terms upon which we are able 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of, and investments in, businesses outside of the United States subject us to currency risk.</w:t>
      </w:r>
    </w:p>
    <w:p>
      <w:pPr>
        <w:spacing w:after="0" w:line="17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As a global company with operations outside of the United States, which have expanded as a result of our NEX acquisition, portions of our revenues and expenses are denominated in the local currency of the particular subsidiary. Because our consolidated financial statements are presented in U.S. dollars, we must translate non-U.S. dollar denominated revenues, income and expenses, as well as assets and liabilities, into U.S. dollars at exchange rates in effect during or at the end of each reporting period. Therefore, increases or decreases in the value of the U.S. dollar against the other currencies may affect our operating income and the value of balance sheet items denominated in foreign currencies.</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average rate per contract for our derivatives business is subject to fluctuation due to a number of factors. As a result, you may not be able to rely on our average rate per contract in any particular period as an indication of our future average rate per contract.</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average rate per contract for our derivatives business,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 structure is largely fixed. If our revenues decline and we are unable to reduce our costs, our profitability will be adversely affected.</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cost structure is largely fixed. If demand for our products and services and our resulting revenues decline, we may not be able to adjust our cost structure on a timely basis. In that event, our profitability would be adversely affected.</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Eleven of our board members own trading rights or are officers or directors of firms that own trading rights on our derivatives exchanges. As members, these individuals may have interests that differ from or conflict with those of shareholders who are not also members. Our dependence on the trading and clearing activities of our members, combined with the CME members' rights to elect six directors, may enable them to exert substantial influence over the operation of our business.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Eleven of our directors own or are officers or directors of firms that own trading rights on our exchanges. We are dependent on the revenues from the trading and clearing activities of our members. In 2018, 84% of our derivatives contract volume was derived from our members. This dependence may give them substantial influence over how we operate our business.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17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members have been granted special rights, which protect their trading privileges, require that we maintain open outcry for options products still meeting certain volume thresholds and, in the case of our Class B shareholders, provide them with special board representation.</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terms of the organizational documents of our exchanges, our exchange members have certain rights that relate primarily to trading right protections, certain trading fee protections and certain membership benefit protections. Additionally, our Class B shareholders, who are members of our CME exchange, are entitled to elect six directors to our board even if their Class A share ownership interest is very small or non-existent. We have limited ability to eliminate these election rights. In 2018, we held a special meeting of shareholders to eliminate all or some of these director election rights. While the proposal received majority support, it failed to achieve the required support under Delaware law from a majority of the outstanding owners of the Class B common stock.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121" w:right="25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1" w:right="259" w:bottom="73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corporate headquarters are located in Chicago, Illinois, at 20 South Wacker Drive. Our European headquarters are in London, where we plan to combine the NEX and CME Group offices at the London Fruit &amp; Wool Exchange in 2019. The following is a description of our key locations and facilities.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240" w:type="dxa"/>
            <w:vAlign w:val="bottom"/>
            <w:tcBorders>
              <w:top w:val="single" w:sz="8" w:color="auto"/>
              <w:left w:val="single" w:sz="8" w:color="auto"/>
              <w:right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Approximate Size</w:t>
            </w:r>
          </w:p>
        </w:tc>
      </w:tr>
      <w:tr>
        <w:trPr>
          <w:trHeight w:val="261"/>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Location</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Primary Use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2"/>
              </w:rPr>
              <w:t>Owned/Leased</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Lease Expiration</w:t>
            </w:r>
          </w:p>
        </w:tc>
        <w:tc>
          <w:tcPr>
            <w:tcW w:w="1880" w:type="dxa"/>
            <w:vAlign w:val="bottom"/>
            <w:tcBorders>
              <w:bottom w:val="single" w:sz="8" w:color="auto"/>
              <w:right w:val="single" w:sz="8" w:color="auto"/>
            </w:tcBorders>
          </w:tcPr>
          <w:p>
            <w:pPr>
              <w:jc w:val="right"/>
              <w:ind w:right="30"/>
              <w:spacing w:after="0" w:line="262" w:lineRule="exact"/>
              <w:rPr>
                <w:sz w:val="20"/>
                <w:szCs w:val="20"/>
                <w:color w:val="auto"/>
              </w:rPr>
            </w:pPr>
            <w:r>
              <w:rPr>
                <w:rFonts w:ascii="Arial" w:cs="Arial" w:eastAsia="Arial" w:hAnsi="Arial"/>
                <w:sz w:val="18"/>
                <w:szCs w:val="18"/>
                <w:b w:val="1"/>
                <w:bCs w:val="1"/>
                <w:color w:val="auto"/>
              </w:rPr>
              <w:t>(in square feet)</w:t>
            </w:r>
            <w:r>
              <w:rPr>
                <w:rFonts w:ascii="Arial" w:cs="Arial" w:eastAsia="Arial" w:hAnsi="Arial"/>
                <w:sz w:val="25"/>
                <w:szCs w:val="25"/>
                <w:b w:val="1"/>
                <w:bCs w:val="1"/>
                <w:color w:val="auto"/>
                <w:vertAlign w:val="superscript"/>
              </w:rPr>
              <w:t>(1)</w:t>
            </w:r>
          </w:p>
        </w:tc>
      </w:tr>
      <w:tr>
        <w:trPr>
          <w:trHeight w:val="222"/>
        </w:trPr>
        <w:tc>
          <w:tcPr>
            <w:tcW w:w="3240" w:type="dxa"/>
            <w:vAlign w:val="bottom"/>
            <w:tcBorders>
              <w:left w:val="single" w:sz="8" w:color="auto"/>
              <w:right w:val="single" w:sz="8" w:color="auto"/>
            </w:tcBorders>
            <w:shd w:val="clear" w:color="auto" w:fill="CCEEFF"/>
          </w:tcPr>
          <w:p>
            <w:pPr>
              <w:spacing w:after="0"/>
              <w:rPr>
                <w:sz w:val="19"/>
                <w:szCs w:val="19"/>
                <w:color w:val="auto"/>
              </w:rPr>
            </w:pP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Global headquarters and office</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20 South Wacker Drive Chicago, Illinois</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2032</w:t>
            </w:r>
            <w:r>
              <w:rPr>
                <w:rFonts w:ascii="Arial" w:cs="Arial" w:eastAsia="Arial" w:hAnsi="Arial"/>
                <w:sz w:val="25"/>
                <w:szCs w:val="25"/>
                <w:color w:val="auto"/>
                <w:vertAlign w:val="superscript"/>
              </w:rPr>
              <w:t>(2)</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512,000</w:t>
            </w:r>
          </w:p>
        </w:tc>
      </w:tr>
      <w:tr>
        <w:trPr>
          <w:trHeight w:val="222"/>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141 West Jackson</w:t>
            </w:r>
          </w:p>
        </w:tc>
        <w:tc>
          <w:tcPr>
            <w:tcW w:w="266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2027</w:t>
            </w:r>
            <w:r>
              <w:rPr>
                <w:rFonts w:ascii="Arial" w:cs="Arial" w:eastAsia="Arial" w:hAnsi="Arial"/>
                <w:sz w:val="25"/>
                <w:szCs w:val="25"/>
                <w:color w:val="auto"/>
                <w:vertAlign w:val="superscript"/>
              </w:rPr>
              <w:t>(3)</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333 S. LaSalle</w:t>
            </w: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Chicago trading floor and office</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62"/>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r>
      <w:tr>
        <w:trPr>
          <w:trHeight w:val="222"/>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550 West Washington</w:t>
            </w:r>
          </w:p>
        </w:tc>
        <w:tc>
          <w:tcPr>
            <w:tcW w:w="26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r>
      <w:tr>
        <w:trPr>
          <w:trHeight w:val="230"/>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2023</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250,000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One North End</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New York, New York</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2028</w:t>
            </w:r>
            <w:r>
              <w:rPr>
                <w:rFonts w:ascii="Arial" w:cs="Arial" w:eastAsia="Arial" w:hAnsi="Arial"/>
                <w:sz w:val="25"/>
                <w:szCs w:val="25"/>
                <w:color w:val="auto"/>
                <w:vertAlign w:val="superscript"/>
              </w:rPr>
              <w:t>(4)</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222,000</w:t>
            </w:r>
          </w:p>
        </w:tc>
      </w:tr>
      <w:tr>
        <w:trPr>
          <w:trHeight w:val="264"/>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 Times Square New York, New York</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tcPr>
          <w:p>
            <w:pPr>
              <w:ind w:left="20"/>
              <w:spacing w:after="0" w:line="264" w:lineRule="exact"/>
              <w:rPr>
                <w:sz w:val="20"/>
                <w:szCs w:val="20"/>
                <w:color w:val="auto"/>
              </w:rPr>
            </w:pPr>
            <w:r>
              <w:rPr>
                <w:rFonts w:ascii="Arial" w:cs="Arial" w:eastAsia="Arial" w:hAnsi="Arial"/>
                <w:sz w:val="18"/>
                <w:szCs w:val="18"/>
                <w:color w:val="auto"/>
              </w:rPr>
              <w:t>2032</w:t>
            </w:r>
            <w:r>
              <w:rPr>
                <w:rFonts w:ascii="Arial" w:cs="Arial" w:eastAsia="Arial" w:hAnsi="Arial"/>
                <w:sz w:val="25"/>
                <w:szCs w:val="25"/>
                <w:color w:val="auto"/>
                <w:vertAlign w:val="superscript"/>
              </w:rPr>
              <w:t>(5)</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83,000</w:t>
            </w: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 Broadgate</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62"/>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London</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174,000</w:t>
            </w:r>
          </w:p>
        </w:tc>
      </w:tr>
      <w:tr>
        <w:trPr>
          <w:trHeight w:val="222"/>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London Fruit and Wool Exchange</w:t>
            </w:r>
          </w:p>
        </w:tc>
        <w:tc>
          <w:tcPr>
            <w:tcW w:w="26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London</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2038</w:t>
            </w:r>
            <w:r>
              <w:rPr>
                <w:rFonts w:ascii="Arial" w:cs="Arial" w:eastAsia="Arial" w:hAnsi="Arial"/>
                <w:sz w:val="25"/>
                <w:szCs w:val="25"/>
                <w:color w:val="auto"/>
                <w:vertAlign w:val="superscript"/>
              </w:rPr>
              <w:t>(6)</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125,000</w:t>
            </w: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Data Center 3</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Chicagoland area</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Business continuity and co-location</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2031</w:t>
            </w:r>
            <w:r>
              <w:rPr>
                <w:rFonts w:ascii="Arial" w:cs="Arial" w:eastAsia="Arial" w:hAnsi="Arial"/>
                <w:sz w:val="25"/>
                <w:szCs w:val="25"/>
                <w:color w:val="auto"/>
                <w:vertAlign w:val="superscript"/>
              </w:rPr>
              <w:t>(7)</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83,000</w:t>
            </w:r>
          </w:p>
        </w:tc>
      </w:tr>
      <w:tr>
        <w:trPr>
          <w:trHeight w:val="264"/>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Bagmane Tech Park Bangalore, India</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tcPr>
          <w:p>
            <w:pPr>
              <w:ind w:left="20"/>
              <w:spacing w:after="0" w:line="264" w:lineRule="exact"/>
              <w:rPr>
                <w:sz w:val="20"/>
                <w:szCs w:val="20"/>
                <w:color w:val="auto"/>
              </w:rPr>
            </w:pPr>
            <w:r>
              <w:rPr>
                <w:rFonts w:ascii="Arial" w:cs="Arial" w:eastAsia="Arial" w:hAnsi="Arial"/>
                <w:sz w:val="18"/>
                <w:szCs w:val="18"/>
                <w:color w:val="auto"/>
              </w:rPr>
              <w:t>2020</w:t>
            </w:r>
            <w:r>
              <w:rPr>
                <w:rFonts w:ascii="Arial" w:cs="Arial" w:eastAsia="Arial" w:hAnsi="Arial"/>
                <w:sz w:val="25"/>
                <w:szCs w:val="25"/>
                <w:color w:val="auto"/>
                <w:vertAlign w:val="superscript"/>
              </w:rPr>
              <w:t>(8)</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72,000</w:t>
            </w:r>
          </w:p>
        </w:tc>
      </w:tr>
    </w:tbl>
    <w:p>
      <w:pPr>
        <w:spacing w:after="0" w:line="20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Size represents the amount of space leased or owned by us unless otherwise noted.</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extended lease expires in 2032 with various termination, extension, expansion and contraction options.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initial lease expires in 2027 and contains options to extend the term and expand the premises.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initial lease expires in 2028 and contains options to extend the term and expand the premises.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initial lease expires in 2032 and contains options to extend the term as well as options to expand.</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initial lease expires in 2038 and contains the option to renew the lease.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March 2016, the company sold its datacenter in the Chicago area for $130.0 million. At the time of the sale, the company leased back a portion of the property.</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initial lease expires in 2020 and contains an option to extend the term as well as an option to terminate early.</w:t>
      </w:r>
    </w:p>
    <w:p>
      <w:pPr>
        <w:spacing w:after="0" w:line="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See "Legal and Regulatory Matters" in note 14. Contingencies to the Consolidated Financial Statements beginning on page 77 for CME Group’s legal proceedings disclosure, which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300" w:right="1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Class A common stock is currently listed on NASDAQ under the ticker symbol "CME." As of February 6, 2019, there were approximately 7,100 holders of record of our Class A common stock.</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60"/>
          </w:cols>
          <w:pgMar w:left="240" w:top="121" w:right="29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200"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Arial" w:cs="Arial" w:eastAsia="Arial" w:hAnsi="Arial"/>
          <w:sz w:val="17"/>
          <w:szCs w:val="17"/>
          <w:color w:val="auto"/>
        </w:rPr>
        <w:t>.</w:t>
      </w:r>
      <w:r>
        <w:rPr>
          <w:rFonts w:ascii="Arial" w:cs="Arial" w:eastAsia="Arial" w:hAnsi="Arial"/>
          <w:sz w:val="16"/>
          <w:szCs w:val="16"/>
          <w:color w:val="auto"/>
        </w:rPr>
        <w:t xml:space="preserve"> As of February 6, 2019, there were approximately 1,560 holders of record of our Class B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graph and table compares the cumulative five-year total return provided to shareholders on our Class A common stock relative to the cumulative total returns of the S&amp;P 500 index and our customized peer group. The peer group includes CBOE Holdings, Inc., IntercontinentalExchange Group, Inc. and Nasdaq, Inc. An investment of $100 (with reinvestment of all dividends) is assumed to have been made in our Class A common stock, in the peer group and the S&amp;P 500 index on December 31, 2013, and its relative performance is tracked through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5848985" cy="4853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85394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300"/>
          </w:cols>
          <w:pgMar w:left="240" w:top="121" w:right="35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Inc.</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118.32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127.40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170.63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225.79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298.31</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S&amp;P 500</w:t>
            </w:r>
          </w:p>
        </w:tc>
        <w:tc>
          <w:tcPr>
            <w:tcW w:w="15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113.69</w:t>
            </w:r>
          </w:p>
        </w:tc>
        <w:tc>
          <w:tcPr>
            <w:tcW w:w="4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115.26</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129.05</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157.22</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150.33</w:t>
            </w:r>
          </w:p>
        </w:tc>
      </w:tr>
      <w:tr>
        <w:trPr>
          <w:trHeight w:val="27"/>
        </w:trPr>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5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106.16</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124.56</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141.16</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183.02</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187.01</w:t>
            </w:r>
          </w:p>
        </w:tc>
      </w:tr>
      <w:tr>
        <w:trPr>
          <w:trHeight w:val="27"/>
        </w:trPr>
        <w:tc>
          <w:tcPr>
            <w:tcW w:w="24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November 2, 2018, CME Group and CME London Limited, a wholly-owned subsidiary of the company, completed their previously announced acquisition of NEX Group plc (NEX). The acquisition of NEX was effected by means of a scheme of arrangement under Part 26 of the U.K. Companies Act 2006. On November 5, 2018, as part of the consideration for the acquisition, the Company issued to NEX shareholders 16,926,582 shares of Company Class A Common Stock following the completion of the acquisition on November 2, 2018. The issuance of these shares was not registered under the Securities Act of 1933, as amended (Securities Act) or any state securities laws and was made in reliance on an exemption from the registration requirements of the Securities Act pursuant to Section 3(a)(10) of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2500" w:type="dxa"/>
            <w:vAlign w:val="bottom"/>
            <w:gridSpan w:val="2"/>
            <w:vMerge w:val="restart"/>
          </w:tcPr>
          <w:p>
            <w:pPr>
              <w:jc w:val="center"/>
              <w:ind w:left="39"/>
              <w:spacing w:after="0"/>
              <w:rPr>
                <w:sz w:val="20"/>
                <w:szCs w:val="20"/>
                <w:color w:val="auto"/>
              </w:rPr>
            </w:pPr>
            <w:r>
              <w:rPr>
                <w:rFonts w:ascii="Arial" w:cs="Arial" w:eastAsia="Arial" w:hAnsi="Arial"/>
                <w:sz w:val="14"/>
                <w:szCs w:val="14"/>
                <w:b w:val="1"/>
                <w:bCs w:val="1"/>
                <w:color w:val="auto"/>
                <w:w w:val="96"/>
              </w:rPr>
              <w:t>Maximum Number (or Approximate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4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Average Price</w:t>
            </w:r>
          </w:p>
        </w:tc>
        <w:tc>
          <w:tcPr>
            <w:tcW w:w="15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5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Shares (or Units) that May Yet</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260" w:type="dxa"/>
            <w:vAlign w:val="bottom"/>
          </w:tcPr>
          <w:p>
            <w:pPr>
              <w:spacing w:after="0"/>
              <w:rPr>
                <w:sz w:val="12"/>
                <w:szCs w:val="12"/>
                <w:color w:val="auto"/>
              </w:rPr>
            </w:pPr>
          </w:p>
        </w:tc>
        <w:tc>
          <w:tcPr>
            <w:tcW w:w="14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Paid Per Share (or</w:t>
            </w:r>
          </w:p>
        </w:tc>
        <w:tc>
          <w:tcPr>
            <w:tcW w:w="15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Announced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Unit)</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Plans or Programs</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the Plans or Programs (in millions)</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181.22</w:t>
            </w: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November 1 to November 30</w:t>
            </w:r>
          </w:p>
        </w:tc>
        <w:tc>
          <w:tcPr>
            <w:tcW w:w="1620" w:type="dxa"/>
            <w:vAlign w:val="bottom"/>
          </w:tcPr>
          <w:p>
            <w:pPr>
              <w:jc w:val="right"/>
              <w:ind w:right="38"/>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1460" w:type="dxa"/>
            <w:vAlign w:val="bottom"/>
          </w:tcPr>
          <w:p>
            <w:pPr>
              <w:jc w:val="right"/>
              <w:ind w:right="139"/>
              <w:spacing w:after="0"/>
              <w:rPr>
                <w:sz w:val="20"/>
                <w:szCs w:val="20"/>
                <w:color w:val="auto"/>
              </w:rPr>
            </w:pPr>
            <w:r>
              <w:rPr>
                <w:rFonts w:ascii="Arial" w:cs="Arial" w:eastAsia="Arial" w:hAnsi="Arial"/>
                <w:sz w:val="18"/>
                <w:szCs w:val="18"/>
                <w:color w:val="auto"/>
              </w:rPr>
              <w:t>183.75</w:t>
            </w:r>
          </w:p>
        </w:tc>
        <w:tc>
          <w:tcPr>
            <w:tcW w:w="15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240</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187.64</w:t>
            </w:r>
          </w:p>
        </w:tc>
        <w:tc>
          <w:tcPr>
            <w:tcW w:w="15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Shares purchased consist of an aggregate of 261 shares of Class A common stock surrendered to satisfy employee tax obligations upon the vesting of restricted stock.</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2, 2018, CME Group completed its acquisition of NEX Group plc (NEX). The following data includes the financial results of NEX beginning November 3, 2018.</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first quarter of 2018, the company adopted the Financial Accounting Standards Board's (FASB) standards update on changes to the presentation of certain components of defined benefit pension costs. Under previous accounting guidance, the components of pension costs were aggregated for reporting in the financial statements within compensation and benefits expense on the consolidated statements of income. The amendments in the update require that the service cost component is reported in the same line as other compensation costs, whereas the other components of net benefit cost are required to be presented on the consolidated statements of income separately from the service cost component. The company has included the other components within non-operating income (expense). This update was adopted as of January 1, 2018 with retrospective application to the earliest period presented, as if the new accounting policy was in effect during those periods. The change in accounting policy has been reflected in the following table.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35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757"/>
        </w:trPr>
        <w:tc>
          <w:tcPr>
            <w:tcW w:w="102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or At December 31</w:t>
            </w: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4,309.4</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3,644.7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3,595.2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3,326.8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3,112.5</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2,607.6</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2,310.6</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2,200.5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1,984.9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1,764.6</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Non-operating income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170.2</w:t>
            </w:r>
          </w:p>
        </w:tc>
        <w:tc>
          <w:tcPr>
            <w:tcW w:w="4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215.7</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87.1</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2,777.8</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2,526.3</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2,287.6</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1,956.8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1,771.4</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CME Group</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1,962.2</w:t>
            </w:r>
          </w:p>
        </w:tc>
        <w:tc>
          <w:tcPr>
            <w:tcW w:w="4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4,063.4</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1,534.1</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1,247.0</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1,127.1</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12.00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3.71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11.94</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Cash dividends per share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4.55</w:t>
            </w:r>
          </w:p>
        </w:tc>
        <w:tc>
          <w:tcPr>
            <w:tcW w:w="4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6.14</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5.65</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3.88</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77,475.7</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75,791.2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69,369.4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67,359.4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72,228.6</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574.2</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3,826.8</w:t>
            </w:r>
          </w:p>
        </w:tc>
        <w:tc>
          <w:tcPr>
            <w:tcW w:w="4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2,233.1</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2,231.2</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2,229.3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2,095.0</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CME Group shareholders’ equity</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25,918.5</w:t>
            </w:r>
          </w:p>
        </w:tc>
        <w:tc>
          <w:tcPr>
            <w:tcW w:w="4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22,411.8</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20,340.7</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20,551.8</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20,923.5</w:t>
            </w:r>
          </w:p>
        </w:tc>
      </w:tr>
      <w:tr>
        <w:trPr>
          <w:trHeight w:val="27"/>
        </w:trPr>
        <w:tc>
          <w:tcPr>
            <w:tcW w:w="10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All amounts exclude our interest rate swaps and credit default swaps contracts as well as volume data for BrokerTec and EBS.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Year Ended or At December 31</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Product Lines: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7,009</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Equity indexes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Agricultural commodities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Energy</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Metals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19,224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16,292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Method of Trade: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CME Globex</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17,371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11,805</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Open outcry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Privately negotiated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19,224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16,292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13,963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13,663</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 Data:</w:t>
            </w: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Contract Volume (round turn trades)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4,844,406</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4,089,175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3,943,670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3,532,521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3,443,051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Open Interest at Year End (contracts)</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115,669</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108,043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102,930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91,369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93,644</w:t>
            </w: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80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86" w:lineRule="exact"/>
        <w:rPr>
          <w:sz w:val="20"/>
          <w:szCs w:val="20"/>
          <w:color w:val="auto"/>
        </w:rPr>
      </w:pPr>
    </w:p>
    <w:p>
      <w:pPr>
        <w:ind w:left="660" w:right="48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Executive Summary</w:t>
      </w:r>
      <w:r>
        <w:rPr>
          <w:rFonts w:ascii="Arial" w:cs="Arial" w:eastAsia="Arial" w:hAnsi="Arial"/>
          <w:sz w:val="18"/>
          <w:szCs w:val="18"/>
          <w:color w:val="auto"/>
        </w:rPr>
        <w:t>: Includes an overview of our business; current economic, competitive and regulatory trends relevant to our business; 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business strategy; and our primary sources of operating and non-operating revenues and expenses.</w:t>
      </w:r>
    </w:p>
    <w:p>
      <w:pPr>
        <w:spacing w:after="0" w:line="26"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2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26"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an analysis of our 2018, 2017 and 2016 financial results and a discussion of any known events or trends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likely to impact future results.</w:t>
      </w:r>
    </w:p>
    <w:p>
      <w:pPr>
        <w:spacing w:after="0" w:line="26"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5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November 2, 2018, we completed our acquisition of NEX Group plc (NEX). The following Management's Discussion and Analysis of Financial Condition and Results of Operations includes the financial results of NEX beginning on November 3, 2018.</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Commodity Exchange, Inc. (COMEX), and NEX, collectively, unless otherwise noted.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CME Group, a Delaware stock corporation, is the holding company for CME, CBOT, NYMEX, COMEX, NEX and their respective subsidiaries. The holding company structure is designed to provide strategic and operational flexibility. CME Group's Class A common stock is listed on the NASDAQ Global Select Market (NASDAQ) under the ticker symbol "CME."</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exchange consists of designated contract markets for the trading of futures and options on futures contracts. We also clear futures, options on futures and swaps contracts through our clearing house. Futures contracts, options on futures contracts and swaps contracts provide investors with vehicles for protecting against, and potentially profiting from, price changes in financial instruments and physical commodities.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are a global exchange with customer access available virtually all over the world. Our customers consist of professional traders, financial derivatives institutions, individual and institutional investors, major corporations, manufacturers, producers and governments. Customers include both members of the exchange and non-members.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offer our customers the opportunity to trade futures contracts and options on futures contracts on a range of products including those based on interest rates, equity indexes, foreign exchange, agricultural commodities, energy and metals. Through our acquisition of NEX, we now offer fixed income trading through BrokerTec and foreign currency trading through EBS, which are both included in the cash markets business. Our products provide a means for hedging, speculating and allocating assets. We identify new products by monitoring economic trends and their impact on the risk management and speculative needs of our existing and prospective customers.</w:t>
      </w:r>
    </w:p>
    <w:p>
      <w:pPr>
        <w:spacing w:after="0" w:line="188"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Most of our products are available for trading through our electronic trading platforms. These execution facilities offer our customers immediate trade execution and price transparency. In addition, trades can be executed through privately negotiated transactions that are cleared and settled through our clearing house.</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Through the acquisition with NEX, we now provide optimization services that deliver transaction lifecycle management and information services to help our customers optimize their capital, mitigate their risk and reduce operational costs. Optimization services includes Traiana and TriOptima.</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clearing house clears, settles and guarantees futures and options contracts traded through our exchanges,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clearing house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 Certain BrokerTec and EBS contracts are cleared at third-party clearing houses.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Economic Environment. </w:t>
      </w:r>
      <w:r>
        <w:rPr>
          <w:rFonts w:ascii="Arial" w:cs="Arial" w:eastAsia="Arial" w:hAnsi="Arial"/>
          <w:sz w:val="17"/>
          <w:szCs w:val="17"/>
          <w:color w:val="auto"/>
        </w:rPr>
        <w:t>Our customers continue to use our markets as an effective and transparent means to manage risk and meet their investment needs</w:t>
      </w:r>
      <w:r>
        <w:rPr>
          <w:rFonts w:ascii="Arial" w:cs="Arial" w:eastAsia="Arial" w:hAnsi="Arial"/>
          <w:sz w:val="17"/>
          <w:szCs w:val="17"/>
          <w:b w:val="1"/>
          <w:bCs w:val="1"/>
          <w:color w:val="auto"/>
        </w:rPr>
        <w:t xml:space="preserve"> </w:t>
      </w:r>
      <w:r>
        <w:rPr>
          <w:rFonts w:ascii="Arial" w:cs="Arial" w:eastAsia="Arial" w:hAnsi="Arial"/>
          <w:sz w:val="17"/>
          <w:szCs w:val="17"/>
          <w:color w:val="auto"/>
        </w:rPr>
        <w:t>despite economic uncertainty and volatility. Trading activity in our centralized markets has fluctuated due to the ongoing uncertainty in the financial markets caused by the United States and European credit crises, fluctuations in the availability of credit, variations in the amount of assets under management as well as the Federal Reserve Bank’s interest rate policy and quantitative easing. We continue to maintain high quality and diverse products as well as various clearing and market data services which support our customers in any economic environment.</w:t>
      </w:r>
    </w:p>
    <w:p>
      <w:pPr>
        <w:spacing w:after="0" w:line="22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 xml:space="preserve">Competitive Environment. </w:t>
      </w:r>
      <w:r>
        <w:rPr>
          <w:rFonts w:ascii="Arial" w:cs="Arial" w:eastAsia="Arial" w:hAnsi="Arial"/>
          <w:sz w:val="17"/>
          <w:szCs w:val="17"/>
          <w:color w:val="auto"/>
        </w:rPr>
        <w:t>Our industry is competitive and we continue to encounter competition in all aspects of our business. We expect competition to</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intensify, especially in light of ongoing regulatory reform in the financial services industry. Competition is influenced by our brand and reputation; the efficiency and security of our services; depth and liquidity of our markets; diversity of product offerings including rate and quality of new product development and innovative services; our ability to position and expand upon existing products; efficient and seamless customer experience; transparency, reliability and anonymity of transaction processing; the regulatory environment; connectivity, accessibility, flexibility in execution methods; efficient and innovative technology and connectivity, as well as transaction costs. We believe we are very well positioned with respect to these factors. Our asset classes contain products designed to address differing risk management needs, and customers are able to achieve operational and capital efficiencies by accessing our diverse products through our platforms and our clearing house. We face competition from other futures, securities and securities option exchanges; clearing organizations; swap execution facilities; alternative trade execution facilities; technology firms, including market data distributors and electronic trading system developers; and others. As markets continue to evolve, we will continue to adapt our trading technology and clearing services to meet the needs of our customers.</w:t>
      </w:r>
    </w:p>
    <w:p>
      <w:pPr>
        <w:spacing w:after="0" w:line="12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Regulatory Environment. </w:t>
      </w:r>
      <w:r>
        <w:rPr>
          <w:rFonts w:ascii="Arial" w:cs="Arial" w:eastAsia="Arial" w:hAnsi="Arial"/>
          <w:sz w:val="18"/>
          <w:szCs w:val="18"/>
          <w:color w:val="auto"/>
        </w:rPr>
        <w:t>Exchange-traded derivatives have historically been subject to extensive regulation. Developments in the regulatory environment</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potential to significantly impact our business. Compliance with regulations may require us and our customers to dedicate significant financial and operational resources which could adversely affect our profitability. The regulatory environment to which we are subject is discussed in "Item 1. Business" on page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strategy focuses on maximizing futures and options growth globally, diversifying our business and revenues, and delivering unparalleled capital and cost efficiency solutions. We focus specifically on opportunities created by increased market awareness and acceptance of derivatives, increased price volatility, technological advances and the increasing need for counterparty risk mitigation and clearing services. This strategy allows us to continue to develop into a more broadly diversified financial exchange that provides trading and clearing solutions across a wide range of products and asset classes. Our strategic initiatives are discussed in "Item 1. Business" on page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b w:val="1"/>
          <w:bCs w:val="1"/>
          <w:color w:val="auto"/>
        </w:rPr>
        <w:t xml:space="preserve">Clearing and transaction fees. </w:t>
      </w:r>
      <w:r>
        <w:rPr>
          <w:rFonts w:ascii="Arial" w:cs="Arial" w:eastAsia="Arial" w:hAnsi="Arial"/>
          <w:sz w:val="16"/>
          <w:szCs w:val="16"/>
          <w:color w:val="auto"/>
        </w:rPr>
        <w:t>A majority of our revenue is derived from clearing and transaction fees, which include electronic trading fees, surcharges for</w:t>
      </w:r>
      <w:r>
        <w:rPr>
          <w:rFonts w:ascii="Arial" w:cs="Arial" w:eastAsia="Arial" w:hAnsi="Arial"/>
          <w:sz w:val="16"/>
          <w:szCs w:val="16"/>
          <w:b w:val="1"/>
          <w:bCs w:val="1"/>
          <w:color w:val="auto"/>
        </w:rPr>
        <w:t xml:space="preserve"> </w:t>
      </w:r>
      <w:r>
        <w:rPr>
          <w:rFonts w:ascii="Arial" w:cs="Arial" w:eastAsia="Arial" w:hAnsi="Arial"/>
          <w:sz w:val="16"/>
          <w:szCs w:val="16"/>
          <w:color w:val="auto"/>
        </w:rPr>
        <w:t>privately negotiated transactions and other volume-related charges for exchange-traded and over-the-counter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While volume has the most significant impact on our clearing and transaction fees revenue, there are four other factors that also influence this source of revenue:</w:t>
      </w:r>
    </w:p>
    <w:p>
      <w:pPr>
        <w:spacing w:after="0" w:line="14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venue,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i w:val="1"/>
          <w:iCs w:val="1"/>
          <w:color w:val="auto"/>
        </w:rPr>
        <w:t xml:space="preserve">Rate structure. </w:t>
      </w:r>
      <w:r>
        <w:rPr>
          <w:rFonts w:ascii="Arial" w:cs="Arial" w:eastAsia="Arial" w:hAnsi="Arial"/>
          <w:sz w:val="17"/>
          <w:szCs w:val="17"/>
          <w:color w:val="auto"/>
        </w:rPr>
        <w:t>Customers benefit from volume discounts and limits on fees as part of our effort to increase liquidity in certain products. We offer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exchange-traded futures and options on futures contracts as well as cleared-only interest rate swap contracts. Through our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NEX, we also offer foreign exchange spot and forward contracts and fixed income products. Rates are varied by product in order to optimize revenue on existing products and to encourage contract volume upon introduction of new products.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Our exchange and platforms are an international marketplace that brings together buyers and sellers mainly through our electronic trading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outcry trading and privately negotiated transactions. Any customer who is guaranteed by a clearing firm and who agrees to be bound by our exchange rules is able to obtain direct access to our CME electronic platforms. Open outcry trading is conducted exclusively by our members, who may execute trades on behalf of customers or for themselves.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 xml:space="preserve">Member/non-member mix. </w:t>
      </w:r>
      <w:r>
        <w:rPr>
          <w:rFonts w:ascii="Arial" w:cs="Arial" w:eastAsia="Arial" w:hAnsi="Arial"/>
          <w:sz w:val="17"/>
          <w:szCs w:val="17"/>
          <w:color w:val="auto"/>
        </w:rPr>
        <w:t>Generally, member customers are charged lower fees than our non-member customers. Holding all other factors constant,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if the percentage of trades executed by members increases, and increases if the percentage of non-member trades increases.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Clearing and transaction fees for cash markets business</w:t>
      </w:r>
      <w:r>
        <w:rPr>
          <w:rFonts w:ascii="Arial" w:cs="Arial" w:eastAsia="Arial" w:hAnsi="Arial"/>
          <w:sz w:val="18"/>
          <w:szCs w:val="18"/>
          <w:color w:val="auto"/>
        </w:rPr>
        <w:t>. Our cash markets business provides matching services whereby we match a buyer and seller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to allow both parties to complete the trade bilaterally or through a third-party clearing house. We are not involved in the settlement of the contract but charge a transaction fee generally based on volume or notional value of the trade for providing the matching service. The cash markets business also includes BrokerTec U.S., which generates revenue from a matched principal business. Matched principal trades involve BrokerTec U.S. purchasing a financial instrument from one market participant and selling it to another market participant. Revenue is generated from this business generally on a transaction fee basis.</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and other various services related to our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 party distributors.</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Pricing for our market data services is based on the value of the service provided and the price of comparable services offered by our competitors. Increases or decreases in our market data and information services revenue are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7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 includes access and communication fees. Access and communication fees are connectivity fees charged to members and</w:t>
      </w:r>
      <w:r>
        <w:rPr>
          <w:rFonts w:ascii="Arial" w:cs="Arial" w:eastAsia="Arial" w:hAnsi="Arial"/>
          <w:sz w:val="18"/>
          <w:szCs w:val="18"/>
          <w:i w:val="1"/>
          <w:iCs w:val="1"/>
          <w:color w:val="auto"/>
        </w:rPr>
        <w:t xml:space="preserve"> </w:t>
      </w:r>
      <w:r>
        <w:rPr>
          <w:rFonts w:ascii="Arial" w:cs="Arial" w:eastAsia="Arial" w:hAnsi="Arial"/>
          <w:sz w:val="18"/>
          <w:szCs w:val="18"/>
          <w:color w:val="auto"/>
        </w:rPr>
        <w:t>clearing firms that utilize our various telecommunications 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Beginning on November 3, 2018, other revenues include revenues from NEX's optimization services, which include fees for risk management and information services for the over-the-counter markets, including portfolio reconciliation and post-trade processing. Revenue earned from these services is typically generated through subscriptions or transaction fees.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revenues also include fees for post-trade services, fees for collateral management, equity subscription fees and fees for trade order routing through agreements from various strategic relationships as well as other services to members and clearing firms.</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60"/>
          </w:cols>
          <w:pgMar w:left="240" w:top="121" w:right="29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majority of our expenses do not vary directly with changes in our contract volume. However, licensing and other fee agreements can vary directly with certain equity, energy and swap volumes as well as the majority of our employee bonuses vary directly with overall contract volume.</w:t>
      </w:r>
    </w:p>
    <w:p>
      <w:pPr>
        <w:spacing w:after="0" w:line="14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workforce. The expense associated with our bonus and stock-based compensation plans can also have a significant impact on this expense category.</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general, stock-based compensation is a non-cash expense related to restricted stock and performance share grants. Stock-based compensation varies depending on the quantity and fair value of awards granted. The fair value of restricted stock awards and other performance share grants is based on either the share price on the date of the grant or a model of expected future stock prices. As part of the acquisition of NEX, some of the expense associated with NEX awards will be settled in cash.</w:t>
      </w:r>
    </w:p>
    <w:p>
      <w:pPr>
        <w:spacing w:after="0" w:line="183"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color w:val="auto"/>
        </w:rPr>
        <w:t xml:space="preserve">Professional fees and outside services. </w:t>
      </w:r>
      <w:r>
        <w:rPr>
          <w:rFonts w:ascii="Arial" w:cs="Arial" w:eastAsia="Arial" w:hAnsi="Arial"/>
          <w:sz w:val="17"/>
          <w:szCs w:val="17"/>
          <w:color w:val="auto"/>
        </w:rPr>
        <w:t>This expense includes fees for consulting services received on strategic and technology initiatives; regulatory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compliance matters; temporary labor as well as legal and accounting fees. This expense may fluctuate as a result of changes in services required to complete initiatives, handle legal proceedings and comply with regulatory and compliance requirements.</w:t>
      </w:r>
    </w:p>
    <w:p>
      <w:pPr>
        <w:spacing w:after="0" w:line="158"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results from the depreciation of long-lived assets such as buildings,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furniture, fixtures and equipment. This expense also includes the amortization of purchased and internally developed software.</w:t>
      </w:r>
    </w:p>
    <w:p>
      <w:pPr>
        <w:spacing w:after="0" w:line="116"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Amortization of purchased intangibles includes amortization of intangible assets obtained in our acquisitions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CBOT Holdings, Inc., NYMEX Holdings, Inc. and NEX as well as other asset and business acquisitions. Intangible assets subject to amortization consist primarily of clearing firm, market data and other customer relationships.</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12" w:lineRule="exact"/>
        <w:rPr>
          <w:sz w:val="20"/>
          <w:szCs w:val="20"/>
          <w:color w:val="auto"/>
        </w:rPr>
      </w:pPr>
    </w:p>
    <w:p>
      <w:pPr>
        <w:jc w:val="both"/>
        <w:ind w:left="660" w:right="60" w:hanging="328"/>
        <w:spacing w:after="0" w:line="27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Technology expense consists of costs related to maintenance of the hardware and software required to support our technology. It also includes costs for network connections for our electronic platforms and some market data customers; telecommunications costs of our exchange, and fees paid for access to external market data. This expense may be driven by system capacity, functionality and redundancy requirements. It also may be impacted by growth in electronic contract volume and changes in the number of telecommunications hubs and connections which allow customers outside the United States to access our electronic platforms directly.</w:t>
      </w:r>
    </w:p>
    <w:p>
      <w:pPr>
        <w:spacing w:after="0" w:line="10" w:lineRule="exact"/>
        <w:rPr>
          <w:rFonts w:ascii="Arial" w:cs="Arial" w:eastAsia="Arial" w:hAnsi="Arial"/>
          <w:sz w:val="17"/>
          <w:szCs w:val="17"/>
          <w:color w:val="auto"/>
        </w:rPr>
      </w:pPr>
    </w:p>
    <w:p>
      <w:pPr>
        <w:ind w:left="660" w:right="6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Licensing and other fee agreements expense includes license fees paid as a result of contract volume in equity index products. This expense also includes royalty fees and broker rebates on energy and metals products as well as revenue sharing on cleared swaps contracts and some new product launches. This expense fluctuates with changes in contract volumes as well as changes in fee structures.</w:t>
      </w:r>
    </w:p>
    <w:p>
      <w:pPr>
        <w:spacing w:after="0" w:line="3" w:lineRule="exact"/>
        <w:rPr>
          <w:rFonts w:ascii="Arial" w:cs="Arial" w:eastAsia="Arial" w:hAnsi="Arial"/>
          <w:sz w:val="17"/>
          <w:szCs w:val="17"/>
          <w:color w:val="auto"/>
        </w:rPr>
      </w:pPr>
    </w:p>
    <w:p>
      <w:pPr>
        <w:ind w:left="660" w:right="40" w:hanging="328"/>
        <w:spacing w:after="0" w:line="29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expenses include occupancy and building operations expenses including rent, maintenance, real estate taxes, utilities and other related costs related to leased property in Chicago, New York, the United Kingdom, India as well as other smaller locations throughout the world. Other expenses also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operating assets, and foreign currency transaction gains and losses resulting from changes in exchange rates on certain foreign monetary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non-core investing and financing activities.</w:t>
      </w:r>
    </w:p>
    <w:p>
      <w:pPr>
        <w:spacing w:after="0" w:line="143" w:lineRule="exact"/>
        <w:rPr>
          <w:sz w:val="20"/>
          <w:szCs w:val="20"/>
          <w:color w:val="auto"/>
        </w:rPr>
      </w:pPr>
    </w:p>
    <w:p>
      <w:pPr>
        <w:jc w:val="both"/>
        <w:ind w:left="660" w:right="140" w:hanging="328"/>
        <w:spacing w:after="0" w:line="288"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Investment income includes income from short-term investment of clearing firms' cash performance bonds and guaranty fund contributions as well as excess operating cash; interest income and realized gains and losses from our marketable securities; realized gains and losses as well as dividend income from our strategic equity investments, and gains and losses on trading securities in our non-qualified deferred compensation plans.</w:t>
      </w: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Investment income is influenced by market interest rates, changes in the levels of cash performance bonds deposited by clearing firms, the amount of dividends distributed by our strategic investments and the availability of funds generated by operations.</w:t>
      </w:r>
    </w:p>
    <w:p>
      <w:pPr>
        <w:spacing w:after="0" w:line="48" w:lineRule="exact"/>
        <w:rPr>
          <w:rFonts w:ascii="Arial" w:cs="Arial" w:eastAsia="Arial" w:hAnsi="Arial"/>
          <w:sz w:val="16"/>
          <w:szCs w:val="16"/>
          <w:color w:val="auto"/>
        </w:rPr>
      </w:pPr>
    </w:p>
    <w:p>
      <w:pPr>
        <w:ind w:left="660" w:right="8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and other borrowing costs expense includes charges associated with various short-term and long-term funding facilities, including commitment fees on lines of credit agreements.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in net earnings (losses) of unconsolidated subsidiaries includes income and losses from our investments in S&amp;P/Dow Jones Indices LLC (S&amp;P/DJI), Dubai Mercantile Exchange and Bursa Malaysia Derivatives Berhad.</w:t>
      </w:r>
    </w:p>
    <w:p>
      <w:pPr>
        <w:spacing w:after="0" w:line="35"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 income (expense) includes expenses related to the distribution of interest earned on performance bond collateral reinvestment to the clearing firms, gains and losses on derivative contracts as well as other various income and expenses outside our core operations.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174"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Valuation of financial instruments. </w:t>
      </w:r>
      <w:r>
        <w:rPr>
          <w:rFonts w:ascii="Arial" w:cs="Arial" w:eastAsia="Arial" w:hAnsi="Arial"/>
          <w:sz w:val="16"/>
          <w:szCs w:val="16"/>
          <w:color w:val="auto"/>
        </w:rPr>
        <w:t>Fair value is defined as the price that would be received to sell an asset or paid to transfer a liability in an orderly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11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35" w:lineRule="exact"/>
        <w:rPr>
          <w:rFonts w:ascii="Arial" w:cs="Arial" w:eastAsia="Arial" w:hAnsi="Arial"/>
          <w:sz w:val="18"/>
          <w:szCs w:val="18"/>
          <w:color w:val="auto"/>
        </w:rPr>
      </w:pPr>
    </w:p>
    <w:p>
      <w:pPr>
        <w:ind w:left="660" w:right="42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3—Inputs are unobservable and reflect management’s best estimate of what market participants would use in pricing the asset or liability. Assets and liabilities carried at level 3 fair value generally include assets and liabilities with inputs that require management’s judgment.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regarding the fair value of financial assets and liabilities, see note 19 of the notes to the consolidated financial statements.</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We review goodwill for impairment on a quarterly basis and whenever events or circumstances indicate that its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 assumptions about forecasts of revenue growth, operating margins and economic conditions as well as overall market and industry-specific trends.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also review indefinite-lived intangible assets on a quarterly basis or more frequently when events and circumstances indicate that their carrying values may not be recoverable. Indefinite-lived intangible assets may be tested quantitatively for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 assets may rely on significant assumptions about forecasts of revenue growth, operating margins and economic conditions as well as overall market and industry-specific trends.</w:t>
      </w:r>
    </w:p>
    <w:p>
      <w:pPr>
        <w:spacing w:after="0" w:line="16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Intangible assets subject to amortization are also assessed for impairment on a quarterly basis or more frequently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 and annually challenge the useful lives.</w:t>
      </w:r>
    </w:p>
    <w:p>
      <w:pPr>
        <w:spacing w:after="0" w:line="16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A significant portion of our revenue is derived from the clearing and transaction fees we assess on each contract executed through our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venues and cleared through our clearing house.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w:t>
      </w:r>
    </w:p>
    <w:p>
      <w:pPr>
        <w:spacing w:after="0" w:line="1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Calculation of the income tax provision includes an estimate of the income taxes that will be paid for the current year as well as an estimate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We recognize potential liabilities for anticipated tax audit issues in the United States and other applicable foreign tax jurisdictions using a more-likely-than-not recognition threshold based on the technical merits of the tax position taken or expected to be taken. If the actual obligation of these amounts varies from our estimate, our income tax provision would be reduced or increased at the time that determination is made. This determination may not be known for several years. Past tax audits have not resulted in tax adjustments that resulted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17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Internal use software costs. </w:t>
      </w:r>
      <w:r>
        <w:rPr>
          <w:rFonts w:ascii="Arial" w:cs="Arial" w:eastAsia="Arial" w:hAnsi="Arial"/>
          <w:sz w:val="18"/>
          <w:szCs w:val="18"/>
          <w:color w:val="auto"/>
        </w:rPr>
        <w:t>Certain internal and external costs that are incurred in connection with developing or obtaining computer software for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use are capitalized. We also enter into software hosting arrangements for software projects maintained in the cloud. Software development costs incurred during the planning or maintenance stages of a software project are expensed as incurred, while costs incurred during the application development stage are capitalized and are amortized over the estimated useful life of the software, generally two to four years. Amortization of capitalized costs begins only when the software becomes ready for its intended use.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 to Note 2 in our notes to the consolidated financial statements for information on newly adopted and recently issued accounting pronouncements that are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years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60" w:type="dxa"/>
            <w:vAlign w:val="bottom"/>
            <w:tcBorders>
              <w:bottom w:val="single" w:sz="8" w:color="auto"/>
            </w:tcBorders>
            <w:gridSpan w:val="2"/>
          </w:tcPr>
          <w:p>
            <w:pPr>
              <w:jc w:val="right"/>
              <w:ind w:right="75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w:t>
            </w:r>
          </w:p>
        </w:tc>
        <w:tc>
          <w:tcPr>
            <w:tcW w:w="3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2018-2017</w:t>
            </w: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4,309.4</w:t>
            </w:r>
          </w:p>
        </w:tc>
        <w:tc>
          <w:tcPr>
            <w:tcW w:w="4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3,644.7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3,595.2</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18 %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1,701.8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1,334.1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1,394.7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right"/>
              <w:ind w:right="395"/>
              <w:spacing w:after="0"/>
              <w:rPr>
                <w:sz w:val="20"/>
                <w:szCs w:val="20"/>
                <w:color w:val="auto"/>
              </w:rPr>
            </w:pPr>
            <w:r>
              <w:rPr>
                <w:rFonts w:ascii="Arial" w:cs="Arial" w:eastAsia="Arial" w:hAnsi="Arial"/>
                <w:sz w:val="18"/>
                <w:szCs w:val="18"/>
                <w:color w:val="auto"/>
              </w:rPr>
              <w:t>28</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(4)</w:t>
            </w:r>
          </w:p>
        </w:tc>
      </w:tr>
      <w:tr>
        <w:trPr>
          <w:trHeight w:val="27"/>
        </w:trPr>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170.2</w:t>
            </w: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right"/>
              <w:ind w:right="335"/>
              <w:spacing w:after="0"/>
              <w:rPr>
                <w:sz w:val="20"/>
                <w:szCs w:val="20"/>
                <w:color w:val="auto"/>
              </w:rPr>
            </w:pPr>
            <w:r>
              <w:rPr>
                <w:rFonts w:ascii="Arial" w:cs="Arial" w:eastAsia="Arial" w:hAnsi="Arial"/>
                <w:sz w:val="18"/>
                <w:szCs w:val="18"/>
                <w:color w:val="auto"/>
              </w:rPr>
              <w:t>(21)</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147</w:t>
            </w:r>
          </w:p>
        </w:tc>
      </w:tr>
      <w:tr>
        <w:trPr>
          <w:trHeight w:val="27"/>
        </w:trPr>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expense (benefit) rate</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1,962.2</w:t>
            </w: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4,063.4</w:t>
            </w:r>
          </w:p>
        </w:tc>
        <w:tc>
          <w:tcPr>
            <w:tcW w:w="12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1,534.1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right"/>
              <w:ind w:right="335"/>
              <w:spacing w:after="0"/>
              <w:rPr>
                <w:sz w:val="20"/>
                <w:szCs w:val="20"/>
                <w:color w:val="auto"/>
              </w:rPr>
            </w:pPr>
            <w:r>
              <w:rPr>
                <w:rFonts w:ascii="Arial" w:cs="Arial" w:eastAsia="Arial" w:hAnsi="Arial"/>
                <w:sz w:val="18"/>
                <w:szCs w:val="18"/>
                <w:color w:val="auto"/>
              </w:rPr>
              <w:t>(52)</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165</w:t>
            </w:r>
          </w:p>
        </w:tc>
      </w:tr>
      <w:tr>
        <w:trPr>
          <w:trHeight w:val="27"/>
        </w:trPr>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8"/>
                <w:szCs w:val="18"/>
                <w:color w:val="auto"/>
              </w:rPr>
              <w:t>(52)</w:t>
            </w:r>
          </w:p>
        </w:tc>
        <w:tc>
          <w:tcPr>
            <w:tcW w:w="13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164</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2,440.8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1,751.1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1,732.0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right"/>
              <w:ind w:right="395"/>
              <w:spacing w:after="0"/>
              <w:rPr>
                <w:sz w:val="20"/>
                <w:szCs w:val="20"/>
                <w:color w:val="auto"/>
              </w:rPr>
            </w:pPr>
            <w:r>
              <w:rPr>
                <w:rFonts w:ascii="Arial" w:cs="Arial" w:eastAsia="Arial" w:hAnsi="Arial"/>
                <w:sz w:val="18"/>
                <w:szCs w:val="18"/>
                <w:color w:val="auto"/>
              </w:rPr>
              <w:t>39</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w:t>
            </w:r>
          </w:p>
        </w:tc>
      </w:tr>
      <w:tr>
        <w:trPr>
          <w:trHeight w:val="459"/>
        </w:trPr>
        <w:tc>
          <w:tcPr>
            <w:tcW w:w="31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15"/>
        </w:trPr>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
          </w:tcPr>
          <w:p>
            <w:pPr>
              <w:jc w:val="right"/>
              <w:ind w:right="79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2018-2017</w:t>
            </w:r>
          </w:p>
        </w:tc>
        <w:tc>
          <w:tcPr>
            <w:tcW w:w="13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6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3,667.0</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3,036.4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ind w:left="1100"/>
              <w:spacing w:after="0"/>
              <w:rPr>
                <w:sz w:val="20"/>
                <w:szCs w:val="20"/>
                <w:color w:val="auto"/>
              </w:rPr>
            </w:pPr>
            <w:r>
              <w:rPr>
                <w:rFonts w:ascii="Arial" w:cs="Arial" w:eastAsia="Arial" w:hAnsi="Arial"/>
                <w:sz w:val="18"/>
                <w:szCs w:val="18"/>
                <w:color w:val="auto"/>
              </w:rPr>
              <w:t>15</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(4)</w:t>
            </w:r>
          </w:p>
        </w:tc>
      </w:tr>
      <w:tr>
        <w:trPr>
          <w:trHeight w:val="27"/>
        </w:trPr>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25</w:t>
            </w:r>
          </w:p>
        </w:tc>
        <w:tc>
          <w:tcPr>
            <w:tcW w:w="13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r>
      <w:tr>
        <w:trPr>
          <w:trHeight w:val="257"/>
        </w:trPr>
        <w:tc>
          <w:tcPr>
            <w:tcW w:w="31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4,309.4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3,644.7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3,595.2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ind w:left="1100"/>
              <w:spacing w:after="0"/>
              <w:rPr>
                <w:sz w:val="20"/>
                <w:szCs w:val="20"/>
                <w:color w:val="auto"/>
              </w:rPr>
            </w:pPr>
            <w:r>
              <w:rPr>
                <w:rFonts w:ascii="Arial" w:cs="Arial" w:eastAsia="Arial" w:hAnsi="Arial"/>
                <w:sz w:val="18"/>
                <w:szCs w:val="18"/>
                <w:color w:val="auto"/>
              </w:rPr>
              <w:t>18</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w:t>
            </w:r>
          </w:p>
        </w:tc>
      </w:tr>
      <w:tr>
        <w:trPr>
          <w:trHeight w:val="20"/>
        </w:trPr>
        <w:tc>
          <w:tcPr>
            <w:tcW w:w="3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Futures and Options</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below exclude trading volume for the cash markets business as well as credit default swaps and interest rate swaps.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8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2018-2017</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4,844.4</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4,089.2</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3,943.7</w:t>
            </w:r>
          </w:p>
        </w:tc>
        <w:tc>
          <w:tcPr>
            <w:tcW w:w="18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18 %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97"/>
              </w:rPr>
              <w:t>Clearing and transaction fees (in millions)</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3,513.9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3,029.9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2,974.4</w:t>
            </w:r>
          </w:p>
        </w:tc>
        <w:tc>
          <w:tcPr>
            <w:tcW w:w="1840" w:type="dxa"/>
            <w:vAlign w:val="bottom"/>
          </w:tcPr>
          <w:p>
            <w:pPr>
              <w:jc w:val="right"/>
              <w:ind w:right="417"/>
              <w:spacing w:after="0"/>
              <w:rPr>
                <w:sz w:val="20"/>
                <w:szCs w:val="20"/>
                <w:color w:val="auto"/>
              </w:rPr>
            </w:pPr>
            <w:r>
              <w:rPr>
                <w:rFonts w:ascii="Arial" w:cs="Arial" w:eastAsia="Arial" w:hAnsi="Arial"/>
                <w:sz w:val="18"/>
                <w:szCs w:val="18"/>
                <w:color w:val="auto"/>
              </w:rPr>
              <w:t>16</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2</w:t>
            </w:r>
          </w:p>
        </w:tc>
      </w:tr>
      <w:tr>
        <w:trPr>
          <w:trHeight w:val="27"/>
        </w:trPr>
        <w:tc>
          <w:tcPr>
            <w:tcW w:w="3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0.725</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0.741</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0.754</w:t>
            </w:r>
          </w:p>
        </w:tc>
        <w:tc>
          <w:tcPr>
            <w:tcW w:w="18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r>
      <w:tr>
        <w:trPr>
          <w:trHeight w:val="27"/>
        </w:trPr>
        <w:tc>
          <w:tcPr>
            <w:tcW w:w="3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changes in total contract volume and changes in average rate per contract during 2018 compared with 2017, and during 2017 compared with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 in total contract volume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Decrease due to change in average rate per contract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increases in clearing and transaction fees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55.5</w:t>
            </w:r>
          </w:p>
        </w:tc>
      </w:tr>
      <w:tr>
        <w:trPr>
          <w:trHeight w:val="27"/>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Average rate per contract is impacted by our rate structure, including volume-based incentives, product mix, trading venue and the percentage of volume executed by customers who are members compared with non-member customers. Due to the</w:t>
      </w:r>
    </w:p>
    <w:p>
      <w:pPr>
        <w:sectPr>
          <w:pgSz w:w="11900" w:h="16838" w:orient="portrait"/>
          <w:cols w:equalWidth="0" w:num="1">
            <w:col w:w="11420"/>
          </w:cols>
          <w:pgMar w:left="240" w:top="122"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relationship between average rate per contract and contract volume, the change in clearing and transaction fees attributable to changes in each is only an approximation.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Volume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771"/>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9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2018-2017</w:t>
            </w: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Average Daily Volume by Product Line: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Interest rates</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9,951</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8,189</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7,517</w:t>
            </w:r>
          </w:p>
        </w:tc>
        <w:tc>
          <w:tcPr>
            <w:tcW w:w="1920" w:type="dxa"/>
            <w:vAlign w:val="bottom"/>
            <w:gridSpan w:val="2"/>
          </w:tcPr>
          <w:p>
            <w:pPr>
              <w:jc w:val="right"/>
              <w:ind w:right="228"/>
              <w:spacing w:after="0"/>
              <w:rPr>
                <w:sz w:val="20"/>
                <w:szCs w:val="20"/>
                <w:color w:val="auto"/>
              </w:rPr>
            </w:pPr>
            <w:r>
              <w:rPr>
                <w:rFonts w:ascii="Arial" w:cs="Arial" w:eastAsia="Arial" w:hAnsi="Arial"/>
                <w:sz w:val="18"/>
                <w:szCs w:val="18"/>
                <w:color w:val="auto"/>
              </w:rPr>
              <w:t>22 %</w:t>
            </w:r>
          </w:p>
        </w:tc>
        <w:tc>
          <w:tcPr>
            <w:tcW w:w="13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indexes</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3,589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3,061</w:t>
            </w:r>
          </w:p>
        </w:tc>
        <w:tc>
          <w:tcPr>
            <w:tcW w:w="192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34</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858</w:t>
            </w:r>
          </w:p>
        </w:tc>
        <w:tc>
          <w:tcPr>
            <w:tcW w:w="1920" w:type="dxa"/>
            <w:vAlign w:val="bottom"/>
            <w:gridSpan w:val="2"/>
          </w:tcPr>
          <w:p>
            <w:pPr>
              <w:jc w:val="right"/>
              <w:ind w:right="428"/>
              <w:spacing w:after="0"/>
              <w:rPr>
                <w:sz w:val="20"/>
                <w:szCs w:val="20"/>
                <w:color w:val="auto"/>
              </w:rPr>
            </w:pPr>
            <w:r>
              <w:rPr>
                <w:rFonts w:ascii="Arial" w:cs="Arial" w:eastAsia="Arial" w:hAnsi="Arial"/>
                <w:sz w:val="18"/>
                <w:szCs w:val="18"/>
                <w:color w:val="auto"/>
              </w:rPr>
              <w:t>9</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commodities</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1,321</w:t>
            </w:r>
          </w:p>
        </w:tc>
        <w:tc>
          <w:tcPr>
            <w:tcW w:w="192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9</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Energy</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2,561</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2,432</w:t>
            </w:r>
          </w:p>
        </w:tc>
        <w:tc>
          <w:tcPr>
            <w:tcW w:w="1920" w:type="dxa"/>
            <w:vAlign w:val="bottom"/>
            <w:gridSpan w:val="2"/>
          </w:tcPr>
          <w:p>
            <w:pPr>
              <w:jc w:val="right"/>
              <w:ind w:right="368"/>
              <w:spacing w:after="0"/>
              <w:rPr>
                <w:sz w:val="20"/>
                <w:szCs w:val="20"/>
                <w:color w:val="auto"/>
              </w:rPr>
            </w:pPr>
            <w:r>
              <w:rPr>
                <w:rFonts w:ascii="Arial" w:cs="Arial" w:eastAsia="Arial" w:hAnsi="Arial"/>
                <w:sz w:val="18"/>
                <w:szCs w:val="18"/>
                <w:color w:val="auto"/>
              </w:rPr>
              <w:t>(1)</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Metals</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460</w:t>
            </w:r>
          </w:p>
        </w:tc>
        <w:tc>
          <w:tcPr>
            <w:tcW w:w="192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12</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19,224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16,292</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15,649</w:t>
            </w:r>
          </w:p>
        </w:tc>
        <w:tc>
          <w:tcPr>
            <w:tcW w:w="1920" w:type="dxa"/>
            <w:vAlign w:val="bottom"/>
            <w:gridSpan w:val="2"/>
          </w:tcPr>
          <w:p>
            <w:pPr>
              <w:jc w:val="right"/>
              <w:ind w:right="428"/>
              <w:spacing w:after="0"/>
              <w:rPr>
                <w:sz w:val="20"/>
                <w:szCs w:val="20"/>
                <w:color w:val="auto"/>
              </w:rPr>
            </w:pPr>
            <w:r>
              <w:rPr>
                <w:rFonts w:ascii="Arial" w:cs="Arial" w:eastAsia="Arial" w:hAnsi="Arial"/>
                <w:sz w:val="18"/>
                <w:szCs w:val="18"/>
                <w:color w:val="auto"/>
              </w:rPr>
              <w:t>18</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4</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3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Globex</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17,371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14,513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13,766</w:t>
            </w:r>
          </w:p>
        </w:tc>
        <w:tc>
          <w:tcPr>
            <w:tcW w:w="192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20</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Open outcry</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1,149</w:t>
            </w:r>
          </w:p>
        </w:tc>
        <w:tc>
          <w:tcPr>
            <w:tcW w:w="1920" w:type="dxa"/>
            <w:vAlign w:val="bottom"/>
            <w:gridSpan w:val="2"/>
          </w:tcPr>
          <w:p>
            <w:pPr>
              <w:jc w:val="right"/>
              <w:ind w:right="428"/>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Privately negotiated</w:t>
            </w: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734</w:t>
            </w:r>
          </w:p>
        </w:tc>
        <w:tc>
          <w:tcPr>
            <w:tcW w:w="192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19,224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16,292</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15,649</w:t>
            </w:r>
          </w:p>
        </w:tc>
        <w:tc>
          <w:tcPr>
            <w:tcW w:w="1920" w:type="dxa"/>
            <w:vAlign w:val="bottom"/>
            <w:gridSpan w:val="2"/>
          </w:tcPr>
          <w:p>
            <w:pPr>
              <w:jc w:val="right"/>
              <w:ind w:right="428"/>
              <w:spacing w:after="0"/>
              <w:rPr>
                <w:sz w:val="20"/>
                <w:szCs w:val="20"/>
                <w:color w:val="auto"/>
              </w:rPr>
            </w:pPr>
            <w:r>
              <w:rPr>
                <w:rFonts w:ascii="Arial" w:cs="Arial" w:eastAsia="Arial" w:hAnsi="Arial"/>
                <w:sz w:val="18"/>
                <w:szCs w:val="18"/>
                <w:color w:val="auto"/>
              </w:rPr>
              <w:t>18</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4</w:t>
            </w:r>
          </w:p>
        </w:tc>
      </w:tr>
      <w:tr>
        <w:trPr>
          <w:trHeight w:val="27"/>
        </w:trPr>
        <w:tc>
          <w:tcPr>
            <w:tcW w:w="3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Electronic Volume as a Percentage of Total</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7"/>
        </w:trPr>
        <w:tc>
          <w:tcPr>
            <w:tcW w:w="33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Overall contract volume increased from 2016 through 2018. Overall market volatility remained high throughout the last two years as the markets continued to experience uncertainty surrounding the Federal Reserve's interest rate policy, the United States' foreign trade policies and future rates of inflation. Throughout 2017 and 2018, the Federal Open Markets Committee raised the federal funds rate seven times, but raised the expectation of slower rate increases in 2019. We believe these factors led to the overall increases in contract volumes from 2016 to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contracts include contracts expiring within two years. Eurodollar back 32 contracts include contracts expiring within three to ten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82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2018</w:t>
            </w:r>
          </w:p>
        </w:tc>
        <w:tc>
          <w:tcPr>
            <w:tcW w:w="15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18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2018-2017</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8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2,131</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1,745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1,828</w:t>
            </w:r>
          </w:p>
        </w:tc>
        <w:tc>
          <w:tcPr>
            <w:tcW w:w="1820" w:type="dxa"/>
            <w:vAlign w:val="bottom"/>
          </w:tcPr>
          <w:p>
            <w:pPr>
              <w:jc w:val="right"/>
              <w:ind w:right="234"/>
              <w:spacing w:after="0"/>
              <w:rPr>
                <w:sz w:val="20"/>
                <w:szCs w:val="20"/>
                <w:color w:val="auto"/>
              </w:rPr>
            </w:pPr>
            <w:r>
              <w:rPr>
                <w:rFonts w:ascii="Arial" w:cs="Arial" w:eastAsia="Arial" w:hAnsi="Arial"/>
                <w:sz w:val="18"/>
                <w:szCs w:val="18"/>
                <w:color w:val="auto"/>
              </w:rPr>
              <w:t>22%</w:t>
            </w: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8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839</w:t>
            </w:r>
          </w:p>
        </w:tc>
        <w:tc>
          <w:tcPr>
            <w:tcW w:w="15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769</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729</w:t>
            </w:r>
          </w:p>
        </w:tc>
        <w:tc>
          <w:tcPr>
            <w:tcW w:w="18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9</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Options</w:t>
            </w: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1,416</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1,368</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1,225</w:t>
            </w:r>
          </w:p>
        </w:tc>
        <w:tc>
          <w:tcPr>
            <w:tcW w:w="1820" w:type="dxa"/>
            <w:vAlign w:val="bottom"/>
          </w:tcPr>
          <w:p>
            <w:pPr>
              <w:jc w:val="right"/>
              <w:ind w:right="394"/>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12</w:t>
            </w:r>
          </w:p>
        </w:tc>
      </w:tr>
      <w:tr>
        <w:trPr>
          <w:trHeight w:val="27"/>
        </w:trPr>
        <w:tc>
          <w:tcPr>
            <w:tcW w:w="3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8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10-Year</w:t>
            </w: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2,363</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1,914</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1,717</w:t>
            </w:r>
          </w:p>
        </w:tc>
        <w:tc>
          <w:tcPr>
            <w:tcW w:w="1820" w:type="dxa"/>
            <w:vAlign w:val="bottom"/>
          </w:tcPr>
          <w:p>
            <w:pPr>
              <w:jc w:val="right"/>
              <w:ind w:right="394"/>
              <w:spacing w:after="0"/>
              <w:rPr>
                <w:sz w:val="20"/>
                <w:szCs w:val="20"/>
                <w:color w:val="auto"/>
              </w:rPr>
            </w:pPr>
            <w:r>
              <w:rPr>
                <w:rFonts w:ascii="Arial" w:cs="Arial" w:eastAsia="Arial" w:hAnsi="Arial"/>
                <w:sz w:val="18"/>
                <w:szCs w:val="18"/>
                <w:color w:val="auto"/>
              </w:rPr>
              <w:t>23</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11</w:t>
            </w:r>
          </w:p>
        </w:tc>
      </w:tr>
      <w:tr>
        <w:trPr>
          <w:trHeight w:val="27"/>
        </w:trPr>
        <w:tc>
          <w:tcPr>
            <w:tcW w:w="3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8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1,285</w:t>
            </w:r>
          </w:p>
        </w:tc>
        <w:tc>
          <w:tcPr>
            <w:tcW w:w="15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1,003</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886</w:t>
            </w:r>
          </w:p>
        </w:tc>
        <w:tc>
          <w:tcPr>
            <w:tcW w:w="18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28</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2-Year</w:t>
            </w: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560</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396</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331</w:t>
            </w:r>
          </w:p>
        </w:tc>
        <w:tc>
          <w:tcPr>
            <w:tcW w:w="1820" w:type="dxa"/>
            <w:vAlign w:val="bottom"/>
          </w:tcPr>
          <w:p>
            <w:pPr>
              <w:jc w:val="right"/>
              <w:ind w:right="394"/>
              <w:spacing w:after="0"/>
              <w:rPr>
                <w:sz w:val="20"/>
                <w:szCs w:val="20"/>
                <w:color w:val="auto"/>
              </w:rPr>
            </w:pPr>
            <w:r>
              <w:rPr>
                <w:rFonts w:ascii="Arial" w:cs="Arial" w:eastAsia="Arial" w:hAnsi="Arial"/>
                <w:sz w:val="18"/>
                <w:szCs w:val="18"/>
                <w:color w:val="auto"/>
              </w:rPr>
              <w:t>41</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20</w:t>
            </w:r>
          </w:p>
        </w:tc>
      </w:tr>
      <w:tr>
        <w:trPr>
          <w:trHeight w:val="27"/>
        </w:trPr>
        <w:tc>
          <w:tcPr>
            <w:tcW w:w="3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bond</w:t>
            </w:r>
          </w:p>
        </w:tc>
        <w:tc>
          <w:tcPr>
            <w:tcW w:w="18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484</w:t>
            </w:r>
          </w:p>
        </w:tc>
        <w:tc>
          <w:tcPr>
            <w:tcW w:w="15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380</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347</w:t>
            </w:r>
          </w:p>
        </w:tc>
        <w:tc>
          <w:tcPr>
            <w:tcW w:w="18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28</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Federal Funds futures and options</w:t>
            </w:r>
          </w:p>
        </w:tc>
        <w:tc>
          <w:tcPr>
            <w:tcW w:w="1820" w:type="dxa"/>
            <w:vAlign w:val="bottom"/>
          </w:tcPr>
          <w:p>
            <w:pPr>
              <w:jc w:val="right"/>
              <w:ind w:right="272"/>
              <w:spacing w:after="0"/>
              <w:rPr>
                <w:sz w:val="20"/>
                <w:szCs w:val="20"/>
                <w:color w:val="auto"/>
              </w:rPr>
            </w:pPr>
            <w:r>
              <w:rPr>
                <w:rFonts w:ascii="Arial" w:cs="Arial" w:eastAsia="Arial" w:hAnsi="Arial"/>
                <w:sz w:val="18"/>
                <w:szCs w:val="18"/>
                <w:color w:val="auto"/>
              </w:rPr>
              <w:t>259</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191</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133</w:t>
            </w:r>
          </w:p>
        </w:tc>
        <w:tc>
          <w:tcPr>
            <w:tcW w:w="1820" w:type="dxa"/>
            <w:vAlign w:val="bottom"/>
          </w:tcPr>
          <w:p>
            <w:pPr>
              <w:jc w:val="right"/>
              <w:ind w:right="394"/>
              <w:spacing w:after="0"/>
              <w:rPr>
                <w:sz w:val="20"/>
                <w:szCs w:val="20"/>
                <w:color w:val="auto"/>
              </w:rPr>
            </w:pPr>
            <w:r>
              <w:rPr>
                <w:rFonts w:ascii="Arial" w:cs="Arial" w:eastAsia="Arial" w:hAnsi="Arial"/>
                <w:sz w:val="18"/>
                <w:szCs w:val="18"/>
                <w:color w:val="auto"/>
              </w:rPr>
              <w:t>36</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44</w:t>
            </w: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From 2016 to 2018, overall interest rate contract volumes increased due to volatility caused by continued uncertainty surrounding the Federal Reserve's interest rate policy, including volatility resulting from the Federal Open Markets Committee raising the federal funds rate seven times in 2017 and 2018. We also believe the increases in contract volumes were due to volatility caused by increased issuance of U.S. Treasury bills by the U.S. Department of Treasury as well as increased</w:t>
      </w:r>
    </w:p>
    <w:p>
      <w:pPr>
        <w:sectPr>
          <w:pgSz w:w="11900" w:h="16838" w:orient="portrait"/>
          <w:cols w:equalWidth="0" w:num="1">
            <w:col w:w="11420"/>
          </w:cols>
          <w:pgMar w:left="240" w:top="121"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uncertainty surrounding the United States' foreign trade policies, future rates of inflation and the potential for increased government spending.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Index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index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6"/>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7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2018</w:t>
            </w: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c>
          <w:tcPr>
            <w:tcW w:w="182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2018-2017</w:t>
            </w: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72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2,527</w:t>
            </w:r>
          </w:p>
        </w:tc>
        <w:tc>
          <w:tcPr>
            <w:tcW w:w="15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2,062</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2,449</w:t>
            </w:r>
          </w:p>
        </w:tc>
        <w:tc>
          <w:tcPr>
            <w:tcW w:w="182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23%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720" w:type="dxa"/>
            <w:vAlign w:val="bottom"/>
          </w:tcPr>
          <w:p>
            <w:pPr>
              <w:jc w:val="right"/>
              <w:ind w:right="276"/>
              <w:spacing w:after="0"/>
              <w:rPr>
                <w:sz w:val="20"/>
                <w:szCs w:val="20"/>
                <w:color w:val="auto"/>
              </w:rPr>
            </w:pPr>
            <w:r>
              <w:rPr>
                <w:rFonts w:ascii="Arial" w:cs="Arial" w:eastAsia="Arial" w:hAnsi="Arial"/>
                <w:sz w:val="18"/>
                <w:szCs w:val="18"/>
                <w:color w:val="auto"/>
              </w:rPr>
              <w:t>504</w:t>
            </w: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289</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271</w:t>
            </w:r>
          </w:p>
        </w:tc>
        <w:tc>
          <w:tcPr>
            <w:tcW w:w="1820" w:type="dxa"/>
            <w:vAlign w:val="bottom"/>
          </w:tcPr>
          <w:p>
            <w:pPr>
              <w:ind w:left="1160"/>
              <w:spacing w:after="0"/>
              <w:rPr>
                <w:sz w:val="20"/>
                <w:szCs w:val="20"/>
                <w:color w:val="auto"/>
              </w:rPr>
            </w:pPr>
            <w:r>
              <w:rPr>
                <w:rFonts w:ascii="Arial" w:cs="Arial" w:eastAsia="Arial" w:hAnsi="Arial"/>
                <w:sz w:val="18"/>
                <w:szCs w:val="18"/>
                <w:color w:val="auto"/>
              </w:rPr>
              <w:t>75</w:t>
            </w:r>
          </w:p>
        </w:tc>
        <w:tc>
          <w:tcPr>
            <w:tcW w:w="1420" w:type="dxa"/>
            <w:vAlign w:val="bottom"/>
          </w:tcPr>
          <w:p>
            <w:pPr>
              <w:jc w:val="right"/>
              <w:ind w:right="156"/>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2018 when compared with 2017, the increase in equity index contract volume was largely attributable to periods of higher equity market volatility, as measured by the CBOE Volatility Index and the CBOE Nasdaq-100 Volatility Index, throughout 2018. We believe the higher volatility was caused by greater market uncertainty, including uncertainty surrounding the United States' foreign trade policies and other political and economic policies of the United States.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decrease in overall equity index contract volume in 2017 when compared with 2016 resulted from periods of lower equity market volatility. The comparatively low volatility was believed to be caused by fewer market-moving geopolitical and macro-level events that impacted these indexes in 2017. During 2016, there were periods of higher volatility within the equity markets due to uncertainty regarding the Federal Open Markets Committee's decision to start raising interest rates in 2016, the deceleration of the Chinese economy, the results of the U.S. presidential and congressional elections, and declining global crude oil prices.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4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8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2018-2017</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308</w:t>
            </w:r>
          </w:p>
        </w:tc>
        <w:tc>
          <w:tcPr>
            <w:tcW w:w="15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261</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226</w:t>
            </w:r>
          </w:p>
        </w:tc>
        <w:tc>
          <w:tcPr>
            <w:tcW w:w="184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18 %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159</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181</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159</w:t>
            </w:r>
          </w:p>
        </w:tc>
        <w:tc>
          <w:tcPr>
            <w:tcW w:w="1840" w:type="dxa"/>
            <w:vAlign w:val="bottom"/>
          </w:tcPr>
          <w:p>
            <w:pPr>
              <w:jc w:val="right"/>
              <w:ind w:right="355"/>
              <w:spacing w:after="0"/>
              <w:rPr>
                <w:sz w:val="20"/>
                <w:szCs w:val="20"/>
                <w:color w:val="auto"/>
              </w:rPr>
            </w:pPr>
            <w:r>
              <w:rPr>
                <w:rFonts w:ascii="Arial" w:cs="Arial" w:eastAsia="Arial" w:hAnsi="Arial"/>
                <w:sz w:val="18"/>
                <w:szCs w:val="18"/>
                <w:color w:val="auto"/>
              </w:rPr>
              <w:t>(12)</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14</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142</w:t>
            </w:r>
          </w:p>
        </w:tc>
        <w:tc>
          <w:tcPr>
            <w:tcW w:w="15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137</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w:t>
            </w:r>
          </w:p>
        </w:tc>
        <w:tc>
          <w:tcPr>
            <w:tcW w:w="18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118</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102</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106</w:t>
            </w:r>
          </w:p>
        </w:tc>
        <w:tc>
          <w:tcPr>
            <w:tcW w:w="1840" w:type="dxa"/>
            <w:vAlign w:val="bottom"/>
          </w:tcPr>
          <w:p>
            <w:pPr>
              <w:jc w:val="right"/>
              <w:ind w:right="415"/>
              <w:spacing w:after="0"/>
              <w:rPr>
                <w:sz w:val="20"/>
                <w:szCs w:val="20"/>
                <w:color w:val="auto"/>
              </w:rPr>
            </w:pPr>
            <w:r>
              <w:rPr>
                <w:rFonts w:ascii="Arial" w:cs="Arial" w:eastAsia="Arial" w:hAnsi="Arial"/>
                <w:sz w:val="18"/>
                <w:szCs w:val="18"/>
                <w:color w:val="auto"/>
              </w:rPr>
              <w:t>15</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(4)</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91</w:t>
            </w:r>
          </w:p>
        </w:tc>
        <w:tc>
          <w:tcPr>
            <w:tcW w:w="15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84</w:t>
            </w: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w:t>
            </w:r>
          </w:p>
        </w:tc>
        <w:tc>
          <w:tcPr>
            <w:tcW w:w="184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8</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r>
      <w:tr>
        <w:trPr>
          <w:trHeight w:val="27"/>
        </w:trPr>
        <w:tc>
          <w:tcPr>
            <w:tcW w:w="27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Foreign exchange contract volumes increased from 2016 through 2018, primarily due to higher euro contract volumes resulting from market uncertainty caused by differences in monetary policies by the European Central Bank and the Federal Reserve. We believe the increases in British pound contract volumes were attributable to the ongoing uncertainty from the United Kingdom European Union membership referendum as well as the potential for future interest rate hikes. Japanese yen contract volume increased in 2017 when compared with 2016 as market participants turned to the yen as a safe-haven currency when currency rates steadied but decreased in 2018 due to stagnant economic growth for Japan in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8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2018-2017</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482</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449</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424</w:t>
            </w:r>
          </w:p>
        </w:tc>
        <w:tc>
          <w:tcPr>
            <w:tcW w:w="18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Soybean</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305</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283</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323</w:t>
            </w:r>
          </w:p>
        </w:tc>
        <w:tc>
          <w:tcPr>
            <w:tcW w:w="1800" w:type="dxa"/>
            <w:vAlign w:val="bottom"/>
          </w:tcPr>
          <w:p>
            <w:pPr>
              <w:jc w:val="right"/>
              <w:ind w:right="377"/>
              <w:spacing w:after="0"/>
              <w:rPr>
                <w:sz w:val="20"/>
                <w:szCs w:val="20"/>
                <w:color w:val="auto"/>
              </w:rPr>
            </w:pPr>
            <w:r>
              <w:rPr>
                <w:rFonts w:ascii="Arial" w:cs="Arial" w:eastAsia="Arial" w:hAnsi="Arial"/>
                <w:sz w:val="18"/>
                <w:szCs w:val="18"/>
                <w:color w:val="auto"/>
              </w:rPr>
              <w:t>8</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(12)</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2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248</w:t>
            </w:r>
          </w:p>
        </w:tc>
        <w:tc>
          <w:tcPr>
            <w:tcW w:w="15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217</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191</w:t>
            </w:r>
          </w:p>
        </w:tc>
        <w:tc>
          <w:tcPr>
            <w:tcW w:w="180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14</w:t>
            </w: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w:t>
            </w:r>
          </w:p>
        </w:tc>
      </w:tr>
      <w:tr>
        <w:trPr>
          <w:trHeight w:val="27"/>
        </w:trPr>
        <w:tc>
          <w:tcPr>
            <w:tcW w:w="27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2018 when compared with 2017, the increase in agricultural commodity contract volume was due to periods of higher price volatility throughout 2018, which we believe resulted from uncertainty surrounding crop production due to drought conditions in both South America and Australia. We also believe the increase in contract volume was attributable to volatility caused by concern surrounding the United States' foreign trade policies.</w:t>
      </w:r>
    </w:p>
    <w:p>
      <w:pPr>
        <w:sectPr>
          <w:pgSz w:w="11900" w:h="16838" w:orient="portrait"/>
          <w:cols w:equalWidth="0" w:num="1">
            <w:col w:w="11420"/>
          </w:cols>
          <w:pgMar w:left="240" w:top="12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Agricultural commodity contract volume increased in 2017 when compared with 2016 largely due to higher corn and wheat volumes resulting from greater uncertainty related to weather conditions in 2017. The increase was partially offset by lower soybean volume due to lower uncertainty related to expectations of crop production versus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8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2018-2017</w:t>
            </w: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1,439</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1,442</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1,321</w:t>
            </w:r>
          </w:p>
        </w:tc>
        <w:tc>
          <w:tcPr>
            <w:tcW w:w="18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9%</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594</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597</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549</w:t>
            </w:r>
          </w:p>
        </w:tc>
        <w:tc>
          <w:tcPr>
            <w:tcW w:w="1840" w:type="dxa"/>
            <w:vAlign w:val="bottom"/>
          </w:tcPr>
          <w:p>
            <w:pPr>
              <w:jc w:val="right"/>
              <w:ind w:right="357"/>
              <w:spacing w:after="0"/>
              <w:rPr>
                <w:sz w:val="20"/>
                <w:szCs w:val="20"/>
                <w:color w:val="auto"/>
              </w:rPr>
            </w:pPr>
            <w:r>
              <w:rPr>
                <w:rFonts w:ascii="Arial" w:cs="Arial" w:eastAsia="Arial" w:hAnsi="Arial"/>
                <w:sz w:val="18"/>
                <w:szCs w:val="18"/>
                <w:color w:val="auto"/>
              </w:rPr>
              <w:t>(1)</w:t>
            </w:r>
          </w:p>
        </w:tc>
        <w:tc>
          <w:tcPr>
            <w:tcW w:w="1380" w:type="dxa"/>
            <w:vAlign w:val="bottom"/>
          </w:tcPr>
          <w:p>
            <w:pPr>
              <w:ind w:left="1100"/>
              <w:spacing w:after="0"/>
              <w:rPr>
                <w:sz w:val="20"/>
                <w:szCs w:val="20"/>
                <w:color w:val="auto"/>
              </w:rPr>
            </w:pPr>
            <w:r>
              <w:rPr>
                <w:rFonts w:ascii="Arial" w:cs="Arial" w:eastAsia="Arial" w:hAnsi="Arial"/>
                <w:sz w:val="18"/>
                <w:szCs w:val="18"/>
                <w:color w:val="auto"/>
              </w:rPr>
              <w:t>9</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2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398</w:t>
            </w:r>
          </w:p>
        </w:tc>
        <w:tc>
          <w:tcPr>
            <w:tcW w:w="15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392</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363</w:t>
            </w:r>
          </w:p>
        </w:tc>
        <w:tc>
          <w:tcPr>
            <w:tcW w:w="18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2</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8</w:t>
            </w:r>
          </w:p>
        </w:tc>
      </w:tr>
      <w:tr>
        <w:trPr>
          <w:trHeight w:val="27"/>
        </w:trPr>
        <w:tc>
          <w:tcPr>
            <w:tcW w:w="27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2018 when compared with 2017, overall energy contract volume remained relatively flat. Crude oil contract volume remained flat due to lower price volatility, which we believe was the result of stability within the crude oil markets as supply was meeting global demand.</w:t>
      </w:r>
    </w:p>
    <w:p>
      <w:pPr>
        <w:spacing w:after="0" w:line="1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Overall energy contract volume increased in 2017 when compared with 2016 largely due to an increase in crude oil contract volume caused by higher volatility in 2017. We believe the increased volatility was caused by a shift in crude oil supplies as United States crude oil production rose along with the Organization of Petroleum Exporting Countries' decision to cut oil supplies in the fourth quarter of 2016. Natural gas and refined products contract volumes also increased in 2017 due to higher price volatility caused by shifts in supply and demand in the underlying markets.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8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2018-2017</w:t>
            </w: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375</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335</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w:t>
            </w:r>
          </w:p>
        </w:tc>
        <w:tc>
          <w:tcPr>
            <w:tcW w:w="18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12%</w:t>
            </w:r>
          </w:p>
        </w:tc>
        <w:tc>
          <w:tcPr>
            <w:tcW w:w="1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4"/>
              </w:rPr>
              <w:t>23%</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Copper</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131</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108</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820" w:type="dxa"/>
            <w:vAlign w:val="bottom"/>
          </w:tcPr>
          <w:p>
            <w:pPr>
              <w:jc w:val="right"/>
              <w:ind w:right="377"/>
              <w:spacing w:after="0"/>
              <w:rPr>
                <w:sz w:val="20"/>
                <w:szCs w:val="20"/>
                <w:color w:val="auto"/>
              </w:rPr>
            </w:pPr>
            <w:r>
              <w:rPr>
                <w:rFonts w:ascii="Arial" w:cs="Arial" w:eastAsia="Arial" w:hAnsi="Arial"/>
                <w:sz w:val="18"/>
                <w:szCs w:val="18"/>
                <w:color w:val="auto"/>
              </w:rPr>
              <w:t>21</w:t>
            </w:r>
          </w:p>
        </w:tc>
        <w:tc>
          <w:tcPr>
            <w:tcW w:w="1400" w:type="dxa"/>
            <w:vAlign w:val="bottom"/>
          </w:tcPr>
          <w:p>
            <w:pPr>
              <w:ind w:left="1040"/>
              <w:spacing w:after="0"/>
              <w:rPr>
                <w:sz w:val="20"/>
                <w:szCs w:val="20"/>
                <w:color w:val="auto"/>
              </w:rPr>
            </w:pPr>
            <w:r>
              <w:rPr>
                <w:rFonts w:ascii="Arial" w:cs="Arial" w:eastAsia="Arial" w:hAnsi="Arial"/>
                <w:sz w:val="18"/>
                <w:szCs w:val="18"/>
                <w:color w:val="auto"/>
              </w:rPr>
              <w:t>26</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2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103</w:t>
            </w:r>
          </w:p>
        </w:tc>
        <w:tc>
          <w:tcPr>
            <w:tcW w:w="15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98</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82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5</w:t>
            </w:r>
          </w:p>
        </w:tc>
        <w:tc>
          <w:tcPr>
            <w:tcW w:w="1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25</w:t>
            </w:r>
          </w:p>
        </w:tc>
      </w:tr>
      <w:tr>
        <w:trPr>
          <w:trHeight w:val="27"/>
        </w:trPr>
        <w:tc>
          <w:tcPr>
            <w:tcW w:w="27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The overall increases in metal contract volumes from 2016 to 2018 were due to investors using gold and other precious metals as safe-haven alternative investments to other markets. We believe the increases in metal contract volumes were driven by consistent periods of high price volatility within other markets caused by the uncertainties surrounding the policies of the political administration in the United States and future rates of inflation.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Rate per Contract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slight decrease in average rate per contract in 2018 when compared with 2017 was largely due to a shift in product mix. Interest rate and equity contract volumes collectively increased by 4 percentage points as a percentage of total volume, while energy and agricultural commodity contract volumes collectively decreased by 3 percentage points. In general, interest rate and equity products have a lower rate per contract compared with energy and agricultural commodity products. The decrease resulting from a shift in product mix was partially offset by lower incentives.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average rate per contract decreased in 2017 when compared with 2016 due to a shift in product mix as interest rate volume increased by 2 percentage points as a percentage of total volume, while equity contract volume decreased by 3 percentage points. In general, interest rate products have a lower rate per contract compared with equity contracts. The overall decrease in average rate per contract was partially offset by a rate increase that was effective in the first quarter of 2017 and lower incentives.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Markets Business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Total clearing and transaction fees revenue in 2018 includes transaction fees of $91.2 million attributable to businesses acquired from NEX for the period of November 3, 2018 through December 31, 2018. This revenue includes $32.9 million in transaction fees from BrokerTec U.S.'s fixed income volume and $37.5 million from EBS's foreign exchange volume.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related average daily notional value for November 3, 2018 through December 31, 2018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billions)</w:t>
            </w:r>
          </w:p>
        </w:tc>
        <w:tc>
          <w:tcPr>
            <w:tcW w:w="38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Average Daily Notional Value</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European Repo (in euros)</w:t>
            </w:r>
          </w:p>
        </w:tc>
        <w:tc>
          <w:tcPr>
            <w:tcW w:w="3800" w:type="dxa"/>
            <w:vAlign w:val="bottom"/>
          </w:tcPr>
          <w:p>
            <w:pPr>
              <w:spacing w:after="0"/>
              <w:rPr>
                <w:sz w:val="21"/>
                <w:szCs w:val="21"/>
                <w:color w:val="auto"/>
              </w:rPr>
            </w:pPr>
          </w:p>
        </w:tc>
        <w:tc>
          <w:tcPr>
            <w:tcW w:w="2100" w:type="dxa"/>
            <w:vAlign w:val="bottom"/>
          </w:tcPr>
          <w:p>
            <w:pPr>
              <w:jc w:val="right"/>
              <w:ind w:right="14"/>
              <w:spacing w:after="0"/>
              <w:rPr>
                <w:sz w:val="20"/>
                <w:szCs w:val="20"/>
                <w:color w:val="auto"/>
              </w:rPr>
            </w:pPr>
            <w:r>
              <w:rPr>
                <w:rFonts w:ascii="Arial" w:cs="Arial" w:eastAsia="Arial" w:hAnsi="Arial"/>
                <w:sz w:val="18"/>
                <w:szCs w:val="18"/>
                <w:color w:val="auto"/>
              </w:rPr>
              <w:t>253.6</w:t>
            </w:r>
          </w:p>
        </w:tc>
      </w:tr>
      <w:tr>
        <w:trPr>
          <w:trHeight w:val="27"/>
        </w:trPr>
        <w:tc>
          <w:tcPr>
            <w:tcW w:w="55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Spot FX</w:t>
            </w:r>
          </w:p>
        </w:tc>
        <w:tc>
          <w:tcPr>
            <w:tcW w:w="380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79.0</w:t>
            </w:r>
          </w:p>
        </w:tc>
      </w:tr>
      <w:tr>
        <w:trPr>
          <w:trHeight w:val="27"/>
        </w:trPr>
        <w:tc>
          <w:tcPr>
            <w:tcW w:w="552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bill a significant portion of our clearing and transaction fees to our clearing firms. The majority of clearing and transaction fees received from clearing firms represent charges for trades executed and cleared on behalf of their customers. One firm represented 10% of our clearing and transaction fee revenue in 2018. One firm represented 13% and another firm represented 12% of our clearing and transaction fees revenue in 2017. One firm represented 13% and another firm represented 11% of our clearing and transaction fees revenue in 2016.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In 2018 when compared with 2017, the increase in market data and information services revenue was attributable to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fees for basic real-time market data service to $105 per month from $85 per month beginning in the second quarter of 2018. The increase was partially offset by modest declines in screen counts due to cost-cutting initiatives at member firms. The increase in market data and information services revenue was also attributable to additional market data revenue generated by NEX subsequent to the acquisition of NEX on November 2, 2018.</w:t>
      </w:r>
    </w:p>
    <w:p>
      <w:pPr>
        <w:spacing w:after="0" w:line="1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decrease in market data and information services revenue in 2017 when compared with 2016 was due to a decline in screen counts from cost-cutting initiatives at member firms.</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two largest resellers of our market data represented, in aggregate, 41%, 45% and 40% of our market data and information services revenue in 2018, 2017 and 2016, respectively.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The increase in other revenues for 2018 when compared with 2017 is largely attributable to the additional other revenue contributed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NEX acquisition. Other revenues from NEX primarily include optimization services such as portfolio management, analytics, and trade and regulatory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9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2018-2017</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w:t>
            </w:r>
          </w:p>
        </w:tc>
        <w:tc>
          <w:tcPr>
            <w:tcW w:w="19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97.6</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15</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7"/>
        </w:trPr>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144.4</w:t>
            </w:r>
          </w:p>
        </w:tc>
        <w:tc>
          <w:tcPr>
            <w:tcW w:w="192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41</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96.1</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36</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7"/>
        </w:trPr>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w:t>
            </w:r>
          </w:p>
        </w:tc>
        <w:tc>
          <w:tcPr>
            <w:tcW w:w="192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5</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135.8</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17</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7"/>
        </w:trPr>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248.4</w:t>
            </w:r>
          </w:p>
        </w:tc>
        <w:tc>
          <w:tcPr>
            <w:tcW w:w="192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67</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r>
      <w:tr>
        <w:trPr>
          <w:trHeight w:val="257"/>
        </w:trPr>
        <w:tc>
          <w:tcPr>
            <w:tcW w:w="34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1,701.8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1,334.1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1,394.7</w:t>
            </w:r>
          </w:p>
        </w:tc>
        <w:tc>
          <w:tcPr>
            <w:tcW w:w="1920" w:type="dxa"/>
            <w:vAlign w:val="bottom"/>
            <w:gridSpan w:val="2"/>
          </w:tcPr>
          <w:p>
            <w:pPr>
              <w:jc w:val="right"/>
              <w:ind w:right="388"/>
              <w:spacing w:after="0"/>
              <w:rPr>
                <w:sz w:val="20"/>
                <w:szCs w:val="20"/>
                <w:color w:val="auto"/>
              </w:rPr>
            </w:pPr>
            <w:r>
              <w:rPr>
                <w:rFonts w:ascii="Arial" w:cs="Arial" w:eastAsia="Arial" w:hAnsi="Arial"/>
                <w:sz w:val="18"/>
                <w:szCs w:val="18"/>
                <w:color w:val="auto"/>
              </w:rPr>
              <w:t>28</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(4)</w:t>
            </w:r>
          </w:p>
        </w:tc>
      </w:tr>
      <w:tr>
        <w:trPr>
          <w:trHeight w:val="20"/>
        </w:trPr>
        <w:tc>
          <w:tcPr>
            <w:tcW w:w="3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554"/>
        </w:trPr>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6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expenses increased by $367.7 million in 2018 when compared with 2017. The following table shows the estimated impact of key factors resulting in the net increase in operating expenses.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Year-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Over-Year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2017 Expenses</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 from NEX operations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Foreign currency exchange rate fluctuation</w:t>
            </w: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NEX transaction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Salaries, benefits and employer taxes</w:t>
            </w: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82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expenses increased in 2018 when compared with 2017 due to the following reasons:</w:t>
      </w:r>
    </w:p>
    <w:p>
      <w:pPr>
        <w:spacing w:after="0" w:line="225" w:lineRule="exact"/>
        <w:rPr>
          <w:sz w:val="20"/>
          <w:szCs w:val="20"/>
          <w:color w:val="auto"/>
        </w:rPr>
      </w:pPr>
    </w:p>
    <w:p>
      <w:pPr>
        <w:ind w:left="660" w:right="4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2018, we recognized operating expenses beginning on November 3, 2018, from our operations of NEX, which was acquired on November 2, 2018.</w:t>
      </w:r>
    </w:p>
    <w:p>
      <w:pPr>
        <w:spacing w:after="0" w:line="170" w:lineRule="exact"/>
        <w:rPr>
          <w:rFonts w:ascii="Arial" w:cs="Arial" w:eastAsia="Arial" w:hAnsi="Arial"/>
          <w:sz w:val="18"/>
          <w:szCs w:val="18"/>
          <w:color w:val="auto"/>
        </w:rPr>
      </w:pPr>
    </w:p>
    <w:p>
      <w:pPr>
        <w:ind w:left="660" w:right="160" w:hanging="328"/>
        <w:spacing w:after="0" w:line="30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2018, we recognized a net loss of $73.6 million primarily due to the decline in the British pound versus U.S. dollar exchange rate on $1.6 billion of restricted cash held for the acquisition of NEX, which was denominated in British pounds, compared to a net gain of $9.4 million on favorable changes in exchange rates on foreign cash balances in 2017. Gains and losses from exchange rate fluctuations result when subsidiaries with a U.S. dollar functional currency hold cash as well as certain other monetary assets and liabilities denominated in foreign currencies.</w:t>
      </w:r>
    </w:p>
    <w:p>
      <w:pPr>
        <w:spacing w:after="0" w:line="154"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Transaction costs incurred by CME Group pertaining to the NEX acquisition primarily include professional fees and transfer taxes. These costs accounted for a $75.5 million increase in operating expenses in 2018 when compared with 2017.</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Licensing and other fee agreements expense increased during 2018 due to higher fees related to an increase in volume and an increase in license rates for certain products.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Bonus expense increased in 2018 due to improved performance relative to our cash earnings target in 2018 when compared with 2017 performance relative to our 2017 cash earnings target.</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and benefits expense increased as a result of higher average headcount primarily in our international locations as well as normal cost of living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expenses decreased by $60.6 million in 2017 when compared with 2016. The following table shows the estimated impact of key factors resulting in the net decrease in operating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Year-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Over-Year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2016 Expenses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Loss on datacenter and related legal fees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60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784"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Decreases in operating expenses in 2017 when compared with 2016 were as follows:</w:t>
      </w:r>
    </w:p>
    <w:p>
      <w:pPr>
        <w:spacing w:after="0" w:line="225" w:lineRule="exact"/>
        <w:rPr>
          <w:sz w:val="20"/>
          <w:szCs w:val="20"/>
          <w:color w:val="auto"/>
        </w:rPr>
      </w:pPr>
    </w:p>
    <w:p>
      <w:pPr>
        <w:jc w:val="both"/>
        <w:ind w:left="660" w:right="12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2017, we recognized a net gain of $9.4 million due to a favorable change in exchange rates on foreign cash balances, compared with a net loss of $24.5 million in 2016. Gains and losses from exchange rate fluctuations result when subsidiaries with a U.S. dollar functional currency hold cash as well as certain other monetary assets and liabilities denominated in foreign currencies.</w:t>
      </w:r>
    </w:p>
    <w:p>
      <w:pPr>
        <w:spacing w:after="0" w:line="181" w:lineRule="exact"/>
        <w:rPr>
          <w:rFonts w:ascii="Arial" w:cs="Arial" w:eastAsia="Arial" w:hAnsi="Arial"/>
          <w:sz w:val="18"/>
          <w:szCs w:val="18"/>
          <w:color w:val="auto"/>
        </w:rPr>
      </w:pPr>
    </w:p>
    <w:p>
      <w:pPr>
        <w:jc w:val="both"/>
        <w:ind w:left="660" w:right="100" w:hanging="328"/>
        <w:spacing w:after="0" w:line="31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first quarter of 2016, we sold and leased back our datacenter in the Chicago area. The transaction was recognized under the financing method under generally accepted accounting principles. We recognized total losses and expenses of $28.6 million, including a net loss on write-down to fair value of the assets and certain other transaction fees of $27.1 million within other expenses and $1.5 million of legal and other fees.</w:t>
      </w:r>
    </w:p>
    <w:p>
      <w:pPr>
        <w:spacing w:after="0" w:line="146"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Professional fees and outside services expense decreased in 2017 compared to 2016, largely due to higher legal and regulatory fees in 2016 related to our business activities and product offerings as well as higher professional fees related to a greater reliance on consultants for security and systems enhancement work.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overall decrease in operating expenses in 2017 when compared with 2016 was partially offset by the following increases:</w:t>
      </w:r>
    </w:p>
    <w:p>
      <w:pPr>
        <w:spacing w:after="0" w:line="225" w:lineRule="exact"/>
        <w:rPr>
          <w:sz w:val="20"/>
          <w:szCs w:val="20"/>
          <w:color w:val="auto"/>
        </w:rPr>
      </w:pPr>
    </w:p>
    <w:p>
      <w:pPr>
        <w:ind w:left="660" w:right="24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Licensing and other fee agreements expense increased due to higher expense resulting from incentive payments made to facilitate the transition of the Russell contract open interest, as well as increased costs of revenue sharing agreements for certain licensed products. The overall increase in 2017 was partially offset by lower expense related to revenue sharing agreements for certain equity and energy contracts due to lower volume for these products compared to 2016.</w:t>
      </w:r>
    </w:p>
    <w:p>
      <w:pPr>
        <w:spacing w:after="0" w:line="18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and benefits expense increased as a result of higher average headcount primarily in our international locations as well as normal cost of living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77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94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2018-2017</w:t>
            </w:r>
          </w:p>
        </w:tc>
        <w:tc>
          <w:tcPr>
            <w:tcW w:w="13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2017-2016</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w:t>
            </w:r>
          </w:p>
        </w:tc>
        <w:tc>
          <w:tcPr>
            <w:tcW w:w="194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40 %</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(123.5)</w:t>
            </w:r>
          </w:p>
        </w:tc>
        <w:tc>
          <w:tcPr>
            <w:tcW w:w="1940" w:type="dxa"/>
            <w:vAlign w:val="bottom"/>
            <w:gridSpan w:val="2"/>
          </w:tcPr>
          <w:p>
            <w:pPr>
              <w:jc w:val="right"/>
              <w:ind w:right="388"/>
              <w:spacing w:after="0"/>
              <w:rPr>
                <w:sz w:val="20"/>
                <w:szCs w:val="20"/>
                <w:color w:val="auto"/>
              </w:rPr>
            </w:pPr>
            <w:r>
              <w:rPr>
                <w:rFonts w:ascii="Arial" w:cs="Arial" w:eastAsia="Arial" w:hAnsi="Arial"/>
                <w:sz w:val="18"/>
                <w:szCs w:val="18"/>
                <w:color w:val="auto"/>
              </w:rPr>
              <w:t>35</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earnings (losses) of</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subsidiaries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110.2</w:t>
            </w:r>
          </w:p>
        </w:tc>
        <w:tc>
          <w:tcPr>
            <w:tcW w:w="194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18</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w:t>
            </w:r>
          </w:p>
        </w:tc>
        <w:tc>
          <w:tcPr>
            <w:tcW w:w="1940" w:type="dxa"/>
            <w:vAlign w:val="bottom"/>
            <w:gridSpan w:val="2"/>
          </w:tcPr>
          <w:p>
            <w:pPr>
              <w:jc w:val="right"/>
              <w:ind w:right="388"/>
              <w:spacing w:after="0"/>
              <w:rPr>
                <w:sz w:val="20"/>
                <w:szCs w:val="20"/>
                <w:color w:val="auto"/>
              </w:rPr>
            </w:pPr>
            <w:r>
              <w:rPr>
                <w:rFonts w:ascii="Arial" w:cs="Arial" w:eastAsia="Arial" w:hAnsi="Arial"/>
                <w:sz w:val="18"/>
                <w:szCs w:val="18"/>
                <w:color w:val="auto"/>
              </w:rPr>
              <w:t>74</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87.1</w:t>
            </w:r>
          </w:p>
        </w:tc>
        <w:tc>
          <w:tcPr>
            <w:tcW w:w="19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(21)</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The increases in investment income from 2016 to 2018 were largely due to increases in earnings from cash performance bond and</w:t>
      </w:r>
      <w:r>
        <w:rPr>
          <w:rFonts w:ascii="Arial" w:cs="Arial" w:eastAsia="Arial" w:hAnsi="Arial"/>
          <w:sz w:val="17"/>
          <w:szCs w:val="17"/>
          <w:i w:val="1"/>
          <w:iCs w:val="1"/>
          <w:color w:val="auto"/>
        </w:rPr>
        <w:t xml:space="preserve"> </w:t>
      </w:r>
      <w:r>
        <w:rPr>
          <w:rFonts w:ascii="Arial" w:cs="Arial" w:eastAsia="Arial" w:hAnsi="Arial"/>
          <w:sz w:val="17"/>
          <w:szCs w:val="17"/>
          <w:color w:val="auto"/>
        </w:rPr>
        <w:t>guaranty fund contributions that are reinvested, which primarily resulted from higher rates of interest earned on the cash account at the Federal Reserve Bank of Chicago. In 2018, we recognized net realized and unrealized gains of $97.4 million on certain privately-held equity investments. In 2017, we sold our remaining ownership interest in BM&amp;FBOVESPA S.A. (BM&amp;FBOVESPA) and recognized a gain of $86.5 million, net of transaction costs. We also sold our 2% interest in Bolsa Mexicana de Valores, S.A.B. de C.V. and recognized a gain of $2.3 million, net of transaction costs. In 2016, we recognized a net gain of $48.4 million on sales of 28.0 million shares of our investment in BM&amp;FBOVESPA.</w:t>
      </w:r>
    </w:p>
    <w:p>
      <w:pPr>
        <w:spacing w:after="0" w:line="17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Interest and other borrowing costs. </w:t>
      </w:r>
      <w:r>
        <w:rPr>
          <w:rFonts w:ascii="Arial" w:cs="Arial" w:eastAsia="Arial" w:hAnsi="Arial"/>
          <w:sz w:val="16"/>
          <w:szCs w:val="16"/>
          <w:color w:val="auto"/>
        </w:rPr>
        <w:t>Interest and other borrowing costs were higher in 2018 when compared with 2017 and 2016 due to the issuance of $500.0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of 3.75% fixed rate notes due June 2028 and $700.0 million of 4.15% fixed rate notes due June 2048 during the second quarter of 2018. Interest and other borrowing costs were also higher due to issuance of commercial paper and the assumption of the outstanding NEX debt as part of the acquisition.</w:t>
      </w:r>
    </w:p>
    <w:p>
      <w:pPr>
        <w:spacing w:after="0" w:line="12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Equity in net earnings (losses) of unconsolidated subsidiaries. </w:t>
      </w:r>
      <w:r>
        <w:rPr>
          <w:rFonts w:ascii="Arial" w:cs="Arial" w:eastAsia="Arial" w:hAnsi="Arial"/>
          <w:sz w:val="18"/>
          <w:szCs w:val="18"/>
          <w:color w:val="auto"/>
        </w:rPr>
        <w:t>Higher income generated from our S&amp;P/DJI business venture contributed to increases in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 net earnings (losses) of unconsolidated subsidiaries from 2016 through 2018.</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From 2016 to 2018, we recognized higher expenses related to the distribution of interest earned on performance bond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reinvestment to the clearing firms. In 2018, we recognized net losses of $62.3 million on various derivative contracts, which included our foreign exchange option and forward contracts used to mitigate certain exposure to foreign exchange rate fluctuation on the currency required to facilitate the NEX acquisition as well as derivative contracts that we assumed in our acquisition of NEX.</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2017</w:t>
            </w: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17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2018-2017</w:t>
            </w: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2017-2016</w:t>
            </w:r>
          </w:p>
        </w:tc>
      </w:tr>
      <w:tr>
        <w:trPr>
          <w:trHeight w:val="243"/>
        </w:trPr>
        <w:tc>
          <w:tcPr>
            <w:tcW w:w="4420" w:type="dxa"/>
            <w:vAlign w:val="bottom"/>
            <w:shd w:val="clear" w:color="auto" w:fill="CCEEFF"/>
          </w:tcPr>
          <w:p>
            <w:pPr>
              <w:jc w:val="right"/>
              <w:ind w:right="2479"/>
              <w:spacing w:after="0"/>
              <w:rPr>
                <w:sz w:val="20"/>
                <w:szCs w:val="20"/>
                <w:color w:val="auto"/>
              </w:rPr>
            </w:pPr>
            <w:r>
              <w:rPr>
                <w:rFonts w:ascii="Arial" w:cs="Arial" w:eastAsia="Arial" w:hAnsi="Arial"/>
                <w:sz w:val="18"/>
                <w:szCs w:val="18"/>
                <w:color w:val="auto"/>
                <w:w w:val="89"/>
              </w:rPr>
              <w:t>Year ended December 31</w:t>
            </w: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7"/>
              </w:rPr>
              <w:t>29.3%</w:t>
            </w: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(60.8)%</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32.9%</w:t>
            </w:r>
          </w:p>
        </w:tc>
        <w:tc>
          <w:tcPr>
            <w:tcW w:w="17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n.m.</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4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2018 when compared with 2017, the effective tax rate increased primarily due to the remeasurement of the deferred tax liabilities recognized in 2017 from the U.S. income tax reform and state tax charges in 2018 related to the NEX acquisition.</w:t>
      </w:r>
    </w:p>
    <w:p>
      <w:pPr>
        <w:spacing w:after="0" w:line="11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overall decrease in the effective tax rate in 2017 when compared with 2016 was primarily due to the remeasurement of the deferred tax liabilities as a result of the U.S. income tax reform. The decrease was partially offset by expense from a state and local tax law change recorded in the third quarter of 2017 as well as from reclassifying income tax expense from other comprehensive income for the sale of the remaining BM&amp;FBOVESPA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historically met our funding requirements with cash generated by our ongoing operations. While our cost structure is fixed in the short term, our sources of operating cash are largely dependent on contract trading volume levels. We believe that our existing cash, cash equivalents, marketable securities and cash generated from operations will be sufficient to cover our working capital needs, capital expenditures and other commitments. However, it is possible that we may need to raise additional funds to finance our activities through issuances of commercial paper, future public debt offerings or by direct borrowings from financial institutions through our committed revolving credit facilities.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will also be required for operating leases and non-cancellable purchase obligations as well as other obligations reflected as long-term liabilities on our consolidated balance sheet at December 31, 2018. These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Purchase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Debt Obligations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Long-Term</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 xml:space="preserve">Liabilities </w:t>
            </w:r>
            <w:r>
              <w:rPr>
                <w:rFonts w:ascii="Arial" w:cs="Arial" w:eastAsia="Arial" w:hAnsi="Arial"/>
                <w:sz w:val="12"/>
                <w:szCs w:val="12"/>
                <w:b w:val="1"/>
                <w:bCs w:val="1"/>
                <w:color w:val="auto"/>
                <w:w w:val="96"/>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720.4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2020-2021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2022-2023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1,401.1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1,574.0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4,911.1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974.4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6,713.0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7,787.0</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660" w:right="60" w:hanging="652"/>
        <w:spacing w:after="0" w:line="26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liability for gross unrecognized income tax benefits, including interest and penalties, of $459.7 million for uncertain tax positions is not included in the table due to uncertainty about the date of their settlement. It also excludes liabilities for lease arrangements as well as liabilities that have uncertainty associated with timing of payments, including liabilities for benefit plans. It also excludes liabilities that will not be settled in cash.</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leases include rent payments for office space in Chicago, New York and other smaller offices in the United States and in various foreign countries. The operating lease for our headquarters in Chicago expires in 2032. Annual minimum rental payments under this lease range from $12.9 million to $20.8 million. We also maintain operating leases for datacenter space in Chicago, which expires in March 2031. Annual minimum rental payments under this lease range from $16.8 million to $18.3 million. The operating lease for our office space in New York expires in December 2028. Annual minimum rental payments under this lease range from $13.3 million to $14.5 million.</w:t>
      </w:r>
    </w:p>
    <w:p>
      <w:pPr>
        <w:spacing w:after="0" w:line="18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Purchase obligations include minimum payments due under agreements for advertising, licensing, hardware, software and maintenance as well as telecommunication services. Debt obligations include repayment of principal and interest associated with the debt obligations. Other long-term liabilities include deferred payments for previous acquisitions completed by NEX before being acquired by CME Group.</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Future capital expenditures for technology are anticipated as we continue to support our growth through increased system capacity, performance improvements as well as improvements to some of our office spaces. Each year, capital expenditures are incurred for improvements to and expansion of our offices, remote data centers, telecommunications network and other</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operating equipment. In 2019, we expect capital expenditures to total approximately $180.0 million to $190.0 million. We continue to monitor our capital needs and may revise our forecasted expenditures as necessary in the future.</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intend to continue to pay a regular quarterly dividend to our shareholders, which is set at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CME Group is also required to comply with restrictions contained in the general corporation laws of its state of incorporation, which could also limit its ability to declare and pay dividends. On February 6, 2019 the board of directors declared a regular quarterly dividend of $0.75 per share. The dividend will be payable on March 25, 2019 to shareholders of record on March 8, 2019. Assuming no changes in the number of shares outstanding, the first quarter dividend payment will total approximately $270.0 million. The board of directors also declared an additional, annual variable dividend of $1.75 per share on December 5, 2018 paid on January 16, 2019 to the shareholders of record on December 28, 2018. In general, the amount of the annual variable dividend will be determined by the end of each year, and the level will increase or decrease from year to year based on operating results, capitalization expenditures, potential merger and acquisition activity and other forms of capital return including regular dividends and share buybacks during the prior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from operating, investing and financing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8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2018-2017</w:t>
            </w: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cash provided by operating activities</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2,440.8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1,751.1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1,732.0</w:t>
            </w:r>
          </w:p>
        </w:tc>
        <w:tc>
          <w:tcPr>
            <w:tcW w:w="18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39 %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w w:val="98"/>
              </w:rPr>
              <w:t>Net cash (used by) provided by investing</w:t>
            </w:r>
          </w:p>
        </w:tc>
        <w:tc>
          <w:tcPr>
            <w:tcW w:w="58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(1,889.6)</w:t>
            </w:r>
          </w:p>
        </w:tc>
        <w:tc>
          <w:tcPr>
            <w:tcW w:w="42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179.9</w:t>
            </w:r>
          </w:p>
        </w:tc>
        <w:tc>
          <w:tcPr>
            <w:tcW w:w="4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53.7</w:t>
            </w:r>
          </w:p>
        </w:tc>
        <w:tc>
          <w:tcPr>
            <w:tcW w:w="1840" w:type="dxa"/>
            <w:vAlign w:val="bottom"/>
          </w:tcPr>
          <w:p>
            <w:pPr>
              <w:jc w:val="right"/>
              <w:ind w:right="417"/>
              <w:spacing w:after="0"/>
              <w:rPr>
                <w:sz w:val="20"/>
                <w:szCs w:val="20"/>
                <w:color w:val="auto"/>
              </w:rPr>
            </w:pPr>
            <w:r>
              <w:rPr>
                <w:rFonts w:ascii="Arial" w:cs="Arial" w:eastAsia="Arial" w:hAnsi="Arial"/>
                <w:sz w:val="18"/>
                <w:szCs w:val="18"/>
                <w:color w:val="auto"/>
              </w:rPr>
              <w:t>n.m.</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n.m.</w:t>
            </w: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(1,080.0)</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w:t>
            </w: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(1,620.5)</w:t>
            </w:r>
          </w:p>
        </w:tc>
        <w:tc>
          <w:tcPr>
            <w:tcW w:w="18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(46)</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w:t>
            </w:r>
          </w:p>
        </w:tc>
      </w:tr>
      <w:tr>
        <w:trPr>
          <w:trHeight w:val="27"/>
        </w:trPr>
        <w:tc>
          <w:tcPr>
            <w:tcW w:w="3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increases in net cash provided by operating activities from 2016 through 2018 were largely attributable to increases in trading volumes, lower overall tax payments due to a reduction in the federal tax rate as well as higher investment income related to our reinvestment of cash performance bonds and guaranty fund collateral, net of the distribution of interest earned to the clearing firms.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increase in cash used in investing activities in 2018 when compared with 2017 was largely due to the cash consideration required for the acquisition of NEX, net of cash received.</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increase in cash provided by investing activities in 2017 when compared with 2016 was due to proceeds from the sale of BM&amp;FBOVESPA and Bolsa Mexicana de Valores, S.A.B. de C.V.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decrease in cash used in financing activities in 2018 when compared with 2017 was due to proceeds from the debt offering in the second quarter of 2018 as well as the net proceeds from issuance of commercial paper, which was used to finance the cash consideration for the acquisition of NEX. The decrease in cash used in financing activities was partially offset by an increase in cash dividends and the repayment of outstanding debt assumed in the acquisition of NEX.</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increase in cash used by financing activities in 2017 when compared with 2016 was attributable to higher cash dividends declared in 2017. The increase was partially offset by proceeds from a finance lease obligation related to the sale leaseback of the datacenter in the first quarter of 2016.</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outstanding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Par Value</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2019, stated rate of 3.13% </w:t>
            </w:r>
            <w:r>
              <w:rPr>
                <w:rFonts w:ascii="Arial" w:cs="Arial" w:eastAsia="Arial" w:hAnsi="Arial"/>
                <w:sz w:val="25"/>
                <w:szCs w:val="25"/>
                <w:color w:val="auto"/>
                <w:vertAlign w:val="superscript"/>
              </w:rPr>
              <w:t>(1)</w:t>
            </w:r>
          </w:p>
        </w:tc>
        <w:tc>
          <w:tcPr>
            <w:tcW w:w="3060" w:type="dxa"/>
            <w:vAlign w:val="bottom"/>
            <w:shd w:val="clear" w:color="auto" w:fill="CCEEFF"/>
          </w:tcPr>
          <w:p>
            <w:pPr>
              <w:ind w:left="29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350.0</w:t>
            </w:r>
          </w:p>
        </w:tc>
      </w:tr>
      <w:tr>
        <w:trPr>
          <w:trHeight w:val="270"/>
        </w:trPr>
        <w:tc>
          <w:tcPr>
            <w:tcW w:w="7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Term loan due March 2019, stated rate at 0.81% </w:t>
            </w:r>
            <w:r>
              <w:rPr>
                <w:rFonts w:ascii="Arial" w:cs="Arial" w:eastAsia="Arial" w:hAnsi="Arial"/>
                <w:sz w:val="25"/>
                <w:szCs w:val="25"/>
                <w:color w:val="auto"/>
                <w:vertAlign w:val="superscript"/>
              </w:rPr>
              <w:t>(2)</w:t>
            </w:r>
          </w:p>
        </w:tc>
        <w:tc>
          <w:tcPr>
            <w:tcW w:w="3060" w:type="dxa"/>
            <w:vAlign w:val="bottom"/>
          </w:tcPr>
          <w:p>
            <w:pPr>
              <w:ind w:left="29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19,100.0</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(3)</w:t>
            </w:r>
          </w:p>
        </w:tc>
        <w:tc>
          <w:tcPr>
            <w:tcW w:w="3060" w:type="dxa"/>
            <w:vAlign w:val="bottom"/>
            <w:shd w:val="clear" w:color="auto" w:fill="CCEEFF"/>
          </w:tcPr>
          <w:p>
            <w:pPr>
              <w:ind w:left="29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Fixed rate notes due May 2023, stated rate of 4.30%</w:t>
            </w:r>
          </w:p>
        </w:tc>
        <w:tc>
          <w:tcPr>
            <w:tcW w:w="3060" w:type="dxa"/>
            <w:vAlign w:val="bottom"/>
          </w:tcPr>
          <w:p>
            <w:pPr>
              <w:ind w:left="29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
        </w:trPr>
        <w:tc>
          <w:tcPr>
            <w:tcW w:w="7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(4)</w:t>
            </w:r>
          </w:p>
        </w:tc>
        <w:tc>
          <w:tcPr>
            <w:tcW w:w="3060" w:type="dxa"/>
            <w:vAlign w:val="bottom"/>
            <w:shd w:val="clear" w:color="auto" w:fill="CCEEFF"/>
          </w:tcPr>
          <w:p>
            <w:pPr>
              <w:ind w:left="29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Fixed rate notes due June 2028, stated rate of 3.75%</w:t>
            </w:r>
          </w:p>
        </w:tc>
        <w:tc>
          <w:tcPr>
            <w:tcW w:w="3060" w:type="dxa"/>
            <w:vAlign w:val="bottom"/>
          </w:tcPr>
          <w:p>
            <w:pPr>
              <w:ind w:left="29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500.0</w:t>
            </w:r>
          </w:p>
        </w:tc>
      </w:tr>
      <w:tr>
        <w:trPr>
          <w:trHeight w:val="27"/>
        </w:trPr>
        <w:tc>
          <w:tcPr>
            <w:tcW w:w="7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(5)</w:t>
            </w:r>
          </w:p>
        </w:tc>
        <w:tc>
          <w:tcPr>
            <w:tcW w:w="3060" w:type="dxa"/>
            <w:vAlign w:val="bottom"/>
            <w:shd w:val="clear" w:color="auto" w:fill="CCEEFF"/>
          </w:tcPr>
          <w:p>
            <w:pPr>
              <w:ind w:left="29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Fixed rate notes due June 2048, stated rate of 4.15%</w:t>
            </w:r>
          </w:p>
        </w:tc>
        <w:tc>
          <w:tcPr>
            <w:tcW w:w="3060" w:type="dxa"/>
            <w:vAlign w:val="bottom"/>
          </w:tcPr>
          <w:p>
            <w:pPr>
              <w:ind w:left="29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700.0</w:t>
            </w:r>
          </w:p>
        </w:tc>
      </w:tr>
      <w:tr>
        <w:trPr>
          <w:trHeight w:val="27"/>
        </w:trPr>
        <w:tc>
          <w:tcPr>
            <w:tcW w:w="7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060" w:type="dxa"/>
            <w:vAlign w:val="bottom"/>
            <w:tcBorders>
              <w:bottom w:val="single" w:sz="8" w:color="CCEEFF"/>
            </w:tcBorders>
            <w:shd w:val="clear" w:color="auto" w:fill="CCEEFF"/>
          </w:tcPr>
          <w:p>
            <w:pPr>
              <w:ind w:left="29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390.0</w:t>
            </w:r>
          </w:p>
        </w:tc>
      </w:tr>
      <w:tr>
        <w:trPr>
          <w:trHeight w:val="230"/>
        </w:trPr>
        <w:tc>
          <w:tcPr>
            <w:tcW w:w="73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30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2" w:lineRule="exact"/>
        <w:rPr>
          <w:sz w:val="20"/>
          <w:szCs w:val="20"/>
          <w:color w:val="auto"/>
        </w:rPr>
      </w:pPr>
    </w:p>
    <w:p>
      <w:pPr>
        <w:ind w:left="660" w:right="420" w:hanging="328"/>
        <w:spacing w:after="0" w:line="27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maintain a cross-currency swap contract, which swaps a euro-based stated interest rate of 3.13% for a pound-based interest rate of 4.40% and a euro-based principal repayment for a pound-based principal repayment on €250.0 million fixed rate notes.</w:t>
      </w:r>
    </w:p>
    <w:p>
      <w:pPr>
        <w:spacing w:after="0" w:line="172"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maintain a hedge contract to fix the exchange rate for the maturing principal and interest at a fixed British pound to Japanese yen exchange rate.</w:t>
      </w:r>
    </w:p>
    <w:p>
      <w:pPr>
        <w:spacing w:after="0" w:line="221" w:lineRule="exact"/>
        <w:rPr>
          <w:rFonts w:ascii="Arial" w:cs="Arial" w:eastAsia="Arial" w:hAnsi="Arial"/>
          <w:sz w:val="16"/>
          <w:szCs w:val="16"/>
          <w:color w:val="auto"/>
        </w:rPr>
      </w:pPr>
    </w:p>
    <w:p>
      <w:pPr>
        <w:ind w:left="660" w:right="40" w:hanging="328"/>
        <w:spacing w:after="0" w:line="27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maintain a forward-starting interest rate swap agreement that modified the interest obligation associated with these notes so that the interest payable on the notes effectively became fixed at a rate of 3.32%.</w:t>
      </w:r>
    </w:p>
    <w:p>
      <w:pPr>
        <w:spacing w:after="0" w:line="172" w:lineRule="exact"/>
        <w:rPr>
          <w:rFonts w:ascii="Arial" w:cs="Arial" w:eastAsia="Arial" w:hAnsi="Arial"/>
          <w:sz w:val="16"/>
          <w:szCs w:val="16"/>
          <w:color w:val="auto"/>
        </w:rPr>
      </w:pPr>
    </w:p>
    <w:p>
      <w:pPr>
        <w:ind w:left="660" w:right="40" w:hanging="328"/>
        <w:spacing w:after="0" w:line="27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maintain a forward-starting interest rate swap agreement that modified the interest obligation associated with these notes so that the interest payable on the notes effectively became fixed at a rate of 3.11%.</w:t>
      </w:r>
    </w:p>
    <w:p>
      <w:pPr>
        <w:spacing w:after="0" w:line="172" w:lineRule="exact"/>
        <w:rPr>
          <w:rFonts w:ascii="Arial" w:cs="Arial" w:eastAsia="Arial" w:hAnsi="Arial"/>
          <w:sz w:val="16"/>
          <w:szCs w:val="16"/>
          <w:color w:val="auto"/>
        </w:rPr>
      </w:pPr>
    </w:p>
    <w:p>
      <w:pPr>
        <w:ind w:left="660" w:right="140" w:hanging="328"/>
        <w:spacing w:after="0" w:line="27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maintain a forward-starting interest rate swap agreement that modified the interest obligation associated with these notes so that the interest payable effectively became fixed at a rate of 4.73%.</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2018, we completed offerings of $500.0 million of 3.75% fixed rate notes due June 2028 and $700.0 million of 4.15% fixed rate notes due June 2048. We used the net proceeds from the offering, together with cash on hand, to finance the cash consideration for the acquisition of NEX. In connection with the acquisition, we issued commercial paper in the fourth quarter of 2018 and have an outstanding balance of $389.9 million at December 31, 2018. The commercial paper is backed by the $2.4 billion multi-currency revolving senior credit facility.</w:t>
      </w:r>
    </w:p>
    <w:p>
      <w:pPr>
        <w:spacing w:after="0" w:line="16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part of our acquisition of NEX, we assumed their outstanding debt, which included a €350.0 million Eurobond maturing in March 2019, a ¥19.1 billion term loan maturing in March 2019 and a €15.0 million fixed rate note maturing in May 2023. NEX maintained a £350.0 million revolving credit facility that was paid down and terminated in November 2018.</w:t>
      </w:r>
    </w:p>
    <w:p>
      <w:pPr>
        <w:spacing w:after="0" w:line="1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maintain a $2.4 billion multi-currency revolving senior credit facility with various financial institutions, which matures in November 2022.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2017, giving effect to share repurchases made and special dividends paid during the term of the agreements (and in no event greater than $2.0 billion in aggregate), multiplied by 0.65. We currently do not have any borrowings outstanding under this facility, but the outstanding commercial paper balance is backstopped against this facility.</w:t>
      </w:r>
    </w:p>
    <w:p>
      <w:pPr>
        <w:spacing w:after="0" w:line="1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cash or U.S. Treasury securities as well as the performance bond assets of a defaulting firm can be used to collateralize the facility. At December 31, 2018, guaranty funds available to collateralize the facility totaled $7.4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w:t>
      </w:r>
    </w:p>
    <w:p>
      <w:pPr>
        <w:sectPr>
          <w:pgSz w:w="11900" w:h="16838" w:orient="portrait"/>
          <w:cols w:equalWidth="0" w:num="1">
            <w:col w:w="11360"/>
          </w:cols>
          <w:pgMar w:left="240" w:top="122" w:right="299" w:bottom="1440" w:gutter="0" w:footer="0" w:header="0"/>
        </w:sect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60"/>
          </w:cols>
          <w:pgMar w:left="240" w:top="122" w:right="29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currently do not have any borrowings outstanding under this facility. On November 1, 2018, we amended and extended the agreement to include two extension dates, which allow us to terminate or extend the agreement within six or nine months.</w:t>
      </w:r>
    </w:p>
    <w:p>
      <w:pPr>
        <w:spacing w:after="0" w:line="11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$2.4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31, 2018, we have excess borrowing capacity for general corporate purposes of approximately $2.0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were in compliance with the various covenant requirements of all our debt facilities.</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CME-owned U.S. Treasury securities or U.S. dollars in lieu of, or in combination with, irrevocable letters of credit. At December 31, 2018, we had pledged letters of credit totaling $285.0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Rating Agency</w:t>
            </w:r>
          </w:p>
        </w:tc>
        <w:tc>
          <w:tcPr>
            <w:tcW w:w="3740" w:type="dxa"/>
            <w:vAlign w:val="bottom"/>
          </w:tcPr>
          <w:p>
            <w:pPr>
              <w:ind w:left="2560"/>
              <w:spacing w:after="0"/>
              <w:rPr>
                <w:sz w:val="20"/>
                <w:szCs w:val="20"/>
                <w:color w:val="auto"/>
              </w:rPr>
            </w:pPr>
            <w:r>
              <w:rPr>
                <w:rFonts w:ascii="Arial" w:cs="Arial" w:eastAsia="Arial" w:hAnsi="Arial"/>
                <w:sz w:val="14"/>
                <w:szCs w:val="14"/>
                <w:b w:val="1"/>
                <w:bCs w:val="1"/>
                <w:color w:val="auto"/>
              </w:rPr>
              <w:t>Short-Term</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vMerge w:val="continue"/>
          </w:tcPr>
          <w:p>
            <w:pPr>
              <w:spacing w:after="0"/>
              <w:rPr>
                <w:sz w:val="16"/>
                <w:szCs w:val="16"/>
                <w:color w:val="auto"/>
              </w:rPr>
            </w:pPr>
          </w:p>
        </w:tc>
        <w:tc>
          <w:tcPr>
            <w:tcW w:w="374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Debt Rating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740" w:type="dxa"/>
            <w:vAlign w:val="bottom"/>
            <w:tcBorders>
              <w:bottom w:val="single" w:sz="8" w:color="CCEEFF"/>
            </w:tcBorders>
            <w:shd w:val="clear" w:color="auto" w:fill="CCEEFF"/>
          </w:tcPr>
          <w:p>
            <w:pPr>
              <w:jc w:val="center"/>
              <w:ind w:left="2039"/>
              <w:spacing w:after="0"/>
              <w:rPr>
                <w:sz w:val="20"/>
                <w:szCs w:val="20"/>
                <w:color w:val="auto"/>
              </w:rPr>
            </w:pPr>
            <w:r>
              <w:rPr>
                <w:rFonts w:ascii="Arial" w:cs="Arial" w:eastAsia="Arial" w:hAnsi="Arial"/>
                <w:sz w:val="18"/>
                <w:szCs w:val="18"/>
                <w:color w:val="auto"/>
              </w:rPr>
              <w:t>A1+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740" w:type="dxa"/>
            <w:vAlign w:val="bottom"/>
          </w:tcPr>
          <w:p>
            <w:pPr>
              <w:jc w:val="center"/>
              <w:ind w:left="2039"/>
              <w:spacing w:after="0"/>
              <w:rPr>
                <w:sz w:val="20"/>
                <w:szCs w:val="20"/>
                <w:color w:val="auto"/>
              </w:rPr>
            </w:pPr>
            <w:r>
              <w:rPr>
                <w:rFonts w:ascii="Arial" w:cs="Arial" w:eastAsia="Arial" w:hAnsi="Arial"/>
                <w:sz w:val="18"/>
                <w:szCs w:val="18"/>
                <w:color w:val="auto"/>
                <w:w w:val="81"/>
              </w:rPr>
              <w:t>P1</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CME Group fixed rate notes at a price equal to 101% of the principal amount, plus accrued and unpaid interest.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we did not have any off-balance sheet arrangements as defined by Securities and Exchange Commission rules and regulations.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Cash and cash equivalents totaled $1.4 billion at December 31, 2018 and $1.9 billion at December 31, 2017. 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on the consolidated balance sheets.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no contribution will be necessary in 2019 as we exceeded our funding goal by $50.7 million in 2018. However, the amount of the actual contribution is contingent on various factors, including the actual rate of return on our plan assets during 2019 and the December 31, 2019 discount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Requirements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CME is regulated by the CFTC as a U.S.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Dodd-Frank. As a result, CME must comply with CFTC regulations applicable to a systemically important DCO for financial resources and liquidity resources. CME is in compliance with all DCO financial requirements.</w:t>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ectPr>
          <w:pgSz w:w="11900" w:h="16838" w:orient="portrait"/>
          <w:cols w:equalWidth="0" w:num="1">
            <w:col w:w="11420"/>
          </w:cols>
          <w:pgMar w:left="240" w:top="12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BrokerTec Americas LLC is required to maintain sufficient net capital under Securities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Since the firm does not hold any customer securities or funds, the firm received approval from the Financial Industry Regulatory Authority and the SEC to become a (k)(2)(i) broker dealer in November 2017. A company operating under the (k)(2)(i) exemption is not required to lock up customer funds as would otherwise be required under Rule 15c3-3 of the Securities Exchange Act.</w:t>
      </w:r>
    </w:p>
    <w:p>
      <w:pPr>
        <w:spacing w:after="0" w:line="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various market risks, including those caused by changes in interest rates, credit, foreign currency exchange rates and equity prices.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Debt outstanding at December 31, 2018 consisted of fixed-rate borrowings of $4.4 billion (in U.S. dollar equivalent). Changes in interest rates impact the fair values of fixed-rate debt, but do not impact earnings or cash flows. We did not have any variable-rate borrowings at December 31, 2018. At December 31, 2018, we maintained $389.9 million of commercial paper. Commercial paper is considered a fixed rate borrowing; however, because maturities for commercial paper are generally less than 90 days, commercial paper is considered subject to interest rate fluctuations.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CME Clearing House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clearing house acts as the counterparty to all trades consummated on our exchanges as well as through third party exchanges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order to ensure performance, we establish and monitor financial requirements for our clearing firms. We set minimum performance bond requirements for exchange-traded and interest rate swaps products. For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w:t>
      </w:r>
    </w:p>
    <w:p>
      <w:pPr>
        <w:spacing w:after="0" w:line="16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our safeguards, we cannot assure you that these measures will be sufficient to protect us from a default or that we will not be materially and adversely affected in the event of a significant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maintain two separate financial safeguard packages:</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financial safeguard package for all futures and options contracts other than cleared interest rate swap contracts (base package);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financial safeguard package for cleared interest rate swap contracts.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In addition, we would make a demand for payment pursuant to any applicable guarantee provided to us by the parent company of the clearing firm. Thereafter, if the payment default remains unsatisfied, we would use our corporate contributions designated for the respective financial safeguard package. We would then use guaranty fund contributions of other clearing firms within the</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respective financial safeguard package and funds collected through an assessment against solvent clearing firms within the respective financial safeguard package to satisfy the deficit.</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maintain a $7.0 billion 364-day multi-currency line of credit with a consortium of domestic and international banks to be used in certain situations by CME Clearing.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$2.4 billion multi-currency revolving senior credit facility to provide liquidity for our clearing house in the unlikely event of default.</w:t>
      </w:r>
    </w:p>
    <w:p>
      <w:pPr>
        <w:spacing w:after="0" w:line="17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At December 31, 2018, aggregate performance bond deposits for clearing firms for both financial safeguard packages was $143.2 billion including $38.2 billion of cash performance bond deposits and $2.7 billion of letters of credit. A defaulting firm's performance bond deposits can be used in the event of default of that clearing firm.</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shows the available assets at December 31, 2018 in the event of a payment default by a clearing firm for the base financial safeguard package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60" w:type="dxa"/>
            <w:vAlign w:val="bottom"/>
          </w:tcPr>
          <w:p>
            <w:pPr>
              <w:spacing w:after="0"/>
              <w:rPr>
                <w:sz w:val="14"/>
                <w:szCs w:val="14"/>
                <w:color w:val="auto"/>
              </w:rPr>
            </w:pPr>
          </w:p>
        </w:tc>
        <w:tc>
          <w:tcPr>
            <w:tcW w:w="1560" w:type="dxa"/>
            <w:vAlign w:val="bottom"/>
          </w:tcPr>
          <w:p>
            <w:pPr>
              <w:jc w:val="right"/>
              <w:ind w:right="37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futures and options</w:t>
            </w:r>
            <w:r>
              <w:rPr>
                <w:rFonts w:ascii="Arial" w:cs="Arial" w:eastAsia="Arial" w:hAnsi="Arial"/>
                <w:sz w:val="25"/>
                <w:szCs w:val="25"/>
                <w:color w:val="auto"/>
                <w:vertAlign w:val="superscript"/>
              </w:rPr>
              <w:t>(1)</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70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86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4,096.0</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8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11,264.0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660" w:hanging="652"/>
        <w:spacing w:after="0" w:line="249"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CME Clearing designates $100.0 million of corporate contributions to satisfy a clearing firm default in the event that the defaulting clearing firm's guaranty contributions and performance bonds do not satisfy the deficit.</w:t>
      </w:r>
    </w:p>
    <w:p>
      <w:pPr>
        <w:ind w:left="660" w:right="80" w:hanging="652"/>
        <w:spacing w:after="0" w:line="24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Guaranty fund contributions of clearing firms include guaranty fund contributions required of clearing firms, but do not include any excess deposits held by us at the direction of clearing firms.</w:t>
      </w:r>
    </w:p>
    <w:p>
      <w:pPr>
        <w:ind w:left="660" w:right="20" w:hanging="652"/>
        <w:spacing w:after="0" w:line="248"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clearing firms' guaranty fund contributions, we would assess all non-defaulting clearing members as provided in the rules governing the guaranty fund. We could assess non-defaulting clearing members 275% of their existing guaranty fund requirements up to a maximum of 550% of their existing guaranty fund requirements as provided in the rules. Assessment powers are calculated to reflect the potential obligation that each clearing member could be called for in the event clearing member defaults exhaust the guaranty fund, however the total amount available would be reduced by the defaulted clearing members assessment obligations since they would no longer be able to satisfy their obligations.</w:t>
      </w:r>
    </w:p>
    <w:p>
      <w:pPr>
        <w:spacing w:after="0" w:line="1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shows the available assets for the interest rate swap financial safeguard package at December 31, 2018 in the event of a payment default by a clearing firm that clears interest rate swap contracts,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560" w:type="dxa"/>
            <w:vAlign w:val="bottom"/>
          </w:tcPr>
          <w:p>
            <w:pPr>
              <w:spacing w:after="0"/>
              <w:rPr>
                <w:sz w:val="14"/>
                <w:szCs w:val="14"/>
                <w:color w:val="auto"/>
              </w:rPr>
            </w:pPr>
          </w:p>
        </w:tc>
        <w:tc>
          <w:tcPr>
            <w:tcW w:w="1560" w:type="dxa"/>
            <w:vAlign w:val="bottom"/>
          </w:tcPr>
          <w:p>
            <w:pPr>
              <w:jc w:val="right"/>
              <w:ind w:right="39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interest rate swap contracts</w:t>
            </w:r>
            <w:r>
              <w:rPr>
                <w:rFonts w:ascii="Arial" w:cs="Arial" w:eastAsia="Arial" w:hAnsi="Arial"/>
                <w:sz w:val="25"/>
                <w:szCs w:val="25"/>
                <w:color w:val="auto"/>
                <w:vertAlign w:val="superscript"/>
              </w:rPr>
              <w:t>(1)</w:t>
            </w:r>
          </w:p>
        </w:tc>
        <w:tc>
          <w:tcPr>
            <w:tcW w:w="2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73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56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3,319.5</w:t>
            </w:r>
          </w:p>
        </w:tc>
        <w:tc>
          <w:tcPr>
            <w:tcW w:w="0" w:type="dxa"/>
            <w:vAlign w:val="bottom"/>
          </w:tcPr>
          <w:p>
            <w:pPr>
              <w:spacing w:after="0"/>
              <w:rPr>
                <w:sz w:val="1"/>
                <w:szCs w:val="1"/>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5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1,121.9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660" w:hanging="652"/>
        <w:spacing w:after="0" w:line="249"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CME Clearing designates $150.0 million of corporate contributions to satisfy a clearing firm default in the event that the defaulting clearing firm's guaranty contributions and performance bonds do not satisfy the deficit.</w:t>
      </w: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interest rate swap contracts include guaranty fund contributions required of those clearing firms.</w:t>
      </w:r>
    </w:p>
    <w:p>
      <w:pPr>
        <w:spacing w:after="0" w:line="5" w:lineRule="exact"/>
        <w:rPr>
          <w:rFonts w:ascii="Arial" w:cs="Arial" w:eastAsia="Arial" w:hAnsi="Arial"/>
          <w:sz w:val="16"/>
          <w:szCs w:val="16"/>
          <w:color w:val="auto"/>
        </w:rPr>
      </w:pPr>
    </w:p>
    <w:p>
      <w:pPr>
        <w:ind w:left="660" w:right="240" w:hanging="652"/>
        <w:spacing w:after="0" w:line="25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members as provided in the rules governing the interest rate swap guaranty fund.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BrokerTec Matched Principal Business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BrokerTec maintains a matched principal business, where it serves as a fully matched counterparty to offsetting positions entered into by clients on its electronic trading platform to facilitate anonymity and access to clearing and settlement. BrokerTec uses Fixed Income Clearing Corporation (FICC), a third-party central clearing house as well as a third-party clearing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bank for the settlement of transactions and is required to post short-term margin requirements twice a day that can vary based on the size of unsettled transactions and any adverse market changes. At December 31, 2018, the balance of the collateral at FICC was $100.0 million, which was included in other current assets on the consolidated balance sheet.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Without sufficient funds to meet its obligations, BrokerTec could be exposed to risk of breach of contract with the counterparties and the inability to continue as a member of the third-party central clearing house. Transactions with clearing house members are typically confirmed and novated shortly after execution, at which point the clearing house assumes the risk of settlement. For transactions with counterparties that are not members of the clearing house, settlement typically occurs on the day following execution and, prior to settlement, BrokerTec is exposed to the risk of loss in the event a counterparty fails to meet its obligations. If that were to occur, BrokerTec would have the right to cover or liquidate the open position but could incur a loss as a result of market movements.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19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foreign currency transaction risk related to changes in exchange rates on monetary assets, liabilities, revenues and expenses held at subsidiaries where those balances and activity are denominated in a currency other than the subsidiary's functional currency. Gains and losses on foreign currency transactions result primarily from cash, debt and other monetary assets, liabilities, revenues and expenses denominated in British pounds, euros and Japanese yen. During 2018, we maintained a restricted cash balance of $1.6 billion held for the acquisition of NEX, which was denominated in British pounds. This cash balance contributed to a significant portion of the net foreign currency transaction loss incurred in 2018.</w:t>
      </w:r>
    </w:p>
    <w:p>
      <w:pPr>
        <w:spacing w:after="0" w:line="11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conjunction with the acquisition, we assumed the outstanding debt of NEX on the acquisition date, which includes a €350.0 million Eurobond maturing in March 2019, a ¥19.1 billion term loan due in March 2019 and a €15.0 million fixed rate note maturing in May 2023. Since the debt is denominated in euros and Japanese yen, we have foreign currency transaction risk related to changes in these currencies until the debt is repaid. We maintain a hedge contract on the exchange rate risk between the Japanese yen and the British pound on the maturing principal and interest payments of the Japanese yen-based term loan, but we have foreign currency transaction risk between the U.S. dollar and the British pound until the Japanese yen-based term loan is repaid. We also maintain a cross-currency swap on part of the outstanding par value on our €350.0 million Eurobond maturing in March 2019, which swaps our euro-based principal and interest payments for British pound-based payments.</w:t>
      </w:r>
    </w:p>
    <w:p>
      <w:pPr>
        <w:spacing w:after="0" w:line="12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Aggregate transaction gains (losses) for 2018, 2017 and 2016 were $(73.6) million, $9.4 million and $(24.5) million, respectively. We expect the foreign currency gain/loss to continue to fluctuate as long as we continue to hold monetary assets and liabilities at those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foreign currency translation risk related to the translation of our foreign subsidiaries' assets, liabilities, revenues and expenses from their respective functional currencies to the U.S. dollar at each reporting date. Fluctuations in exchange rates may impact the amount of assets, liabilities, revenues and expenses we report on our consolidated balance sheets and consolidated statements of income. The financial statements of those foreign subsidiaries with functional currencies other than the U.S. dollar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net of tax, for 2018, 2017 and 2016 were $(2.5) million, $7.5 million and $(6.9)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 Related to Customer Collateral</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 portion of performance bond deposits is denominated in various foreign currencies.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122" w:right="31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124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CME GROUP INC. AND SUBSIDIARIES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3"/>
        </w:trPr>
        <w:tc>
          <w:tcPr>
            <w:tcW w:w="124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100" w:type="dxa"/>
            <w:vAlign w:val="bottom"/>
          </w:tcPr>
          <w:p>
            <w:pPr>
              <w:jc w:val="center"/>
              <w:ind w:left="1750"/>
              <w:spacing w:after="0"/>
              <w:rPr>
                <w:sz w:val="20"/>
                <w:szCs w:val="20"/>
                <w:color w:val="auto"/>
              </w:rPr>
            </w:pPr>
            <w:r>
              <w:rPr>
                <w:rFonts w:ascii="Arial" w:cs="Arial" w:eastAsia="Arial" w:hAnsi="Arial"/>
                <w:sz w:val="18"/>
                <w:szCs w:val="18"/>
                <w:color w:val="auto"/>
                <w:w w:val="90"/>
              </w:rPr>
              <w:t>(dollars in millions, except per share data; shares 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2"/>
        </w:trPr>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1240" w:type="dxa"/>
            <w:vAlign w:val="bottom"/>
            <w:tcBorders>
              <w:bottom w:val="single" w:sz="8" w:color="CCEEFF"/>
            </w:tcBorders>
          </w:tcPr>
          <w:p>
            <w:pPr>
              <w:spacing w:after="0"/>
              <w:rPr>
                <w:sz w:val="22"/>
                <w:szCs w:val="22"/>
                <w:color w:val="auto"/>
              </w:rPr>
            </w:pPr>
          </w:p>
        </w:tc>
        <w:tc>
          <w:tcPr>
            <w:tcW w:w="7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90.1</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$2.7 and $2.2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$1.5 and $0 in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367.8</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39,455.5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44,185.3</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41,886.7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46,906.5</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net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2,346.3</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10,805.3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$1.2 and $2.4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1,394.4</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7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77,475.7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75,791.2</w:t>
            </w:r>
          </w:p>
        </w:tc>
      </w:tr>
      <w:tr>
        <w:trPr>
          <w:trHeight w:val="67"/>
        </w:trPr>
        <w:tc>
          <w:tcPr>
            <w:tcW w:w="834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70"/>
        </w:trPr>
        <w:tc>
          <w:tcPr>
            <w:tcW w:w="1240" w:type="dxa"/>
            <w:vAlign w:val="bottom"/>
            <w:shd w:val="clear" w:color="auto" w:fill="CCEEFF"/>
          </w:tcPr>
          <w:p>
            <w:pPr>
              <w:spacing w:after="0"/>
              <w:rPr>
                <w:sz w:val="14"/>
                <w:szCs w:val="14"/>
                <w:color w:val="auto"/>
              </w:rPr>
            </w:pPr>
          </w:p>
        </w:tc>
        <w:tc>
          <w:tcPr>
            <w:tcW w:w="7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1,456.3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39,455.5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44,185.3</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41,272.6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45,672.9</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Long-term debt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2,233.1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5,665.9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4,857.7</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liabilities</w:t>
            </w:r>
          </w:p>
        </w:tc>
        <w:tc>
          <w:tcPr>
            <w:tcW w:w="7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615.7</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color w:val="auto"/>
                <w:w w:val="99"/>
              </w:rPr>
              <w:t>Total Liabilities</w:t>
            </w: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51,510.4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53,379.4</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1240" w:type="dxa"/>
            <w:vAlign w:val="bottom"/>
            <w:shd w:val="clear" w:color="auto" w:fill="CCEEFF"/>
          </w:tcPr>
          <w:p>
            <w:pPr>
              <w:spacing w:after="0"/>
              <w:rPr>
                <w:sz w:val="15"/>
                <w:szCs w:val="15"/>
                <w:color w:val="auto"/>
              </w:rPr>
            </w:pPr>
          </w:p>
        </w:tc>
        <w:tc>
          <w:tcPr>
            <w:tcW w:w="7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1"/>
              </w:rPr>
              <w:t>Preferred stock, $0.01 par value, 10,000 shares authorized as of December 31, 2018 and 2017; none issued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3"/>
              </w:rPr>
              <w:t>Class A common stock, $0.01 par value, 1,000,000 shares authorized as of December 31, 2018 and 2017,</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7"/>
              </w:rPr>
              <w:t>356,824 and 339,235 shares issued and outstanding as of December 31, 2018 and 2017, 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Class B common stock, $0.01 par value, 3 shares authorized, issued and outstanding as of December 31, 2018</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1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2017</w:t>
            </w:r>
          </w:p>
        </w:tc>
        <w:tc>
          <w:tcPr>
            <w:tcW w:w="7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21,054.3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17,896.9</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4,497.2</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CME Group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25,918.5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22,411.8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4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7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25,965.3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22,411.8</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77,475.7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75,791.2</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3,667.0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3,098.6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3,036.4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3,595.2</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1,394.7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2,200.5</w:t>
            </w:r>
          </w:p>
        </w:tc>
      </w:tr>
      <w:tr>
        <w:trPr>
          <w:trHeight w:val="176"/>
        </w:trPr>
        <w:tc>
          <w:tcPr>
            <w:tcW w:w="6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Non-Operating Income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753.5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1,962.2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337,496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343,737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340,226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338,966</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1,963.7</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170.0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gains (losses) on sale included in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440" w:type="dxa"/>
            <w:vAlign w:val="bottom"/>
          </w:tcPr>
          <w:p>
            <w:pPr>
              <w:ind w:left="280"/>
              <w:spacing w:after="0"/>
              <w:rPr>
                <w:sz w:val="20"/>
                <w:szCs w:val="20"/>
                <w:color w:val="auto"/>
              </w:rPr>
            </w:pPr>
            <w:r>
              <w:rPr>
                <w:rFonts w:ascii="Arial" w:cs="Arial" w:eastAsia="Arial" w:hAnsi="Arial"/>
                <w:sz w:val="18"/>
                <w:szCs w:val="18"/>
                <w:color w:val="auto"/>
                <w:w w:val="97"/>
              </w:rPr>
              <w:t>Amortization of net actuarial (gains) losses and prior service costs included in compensation</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and benefits 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Amortization of effective portion of net (gains) losses on cash flow hedges included in interest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1,949.4</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4,091.8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1,600.8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1" w:name="page52"/>
    <w:bookmarkEnd w:id="51"/>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336,938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1,534.1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Dividends on common stock of $5.65 per share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(1,917.2)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4"/>
              </w:rPr>
              <w:t>Excess tax benefits from option exercises and restricted stock</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vesting</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17,830.3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2,524.5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338,240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1"/>
              </w:rPr>
              <w:t>$ 17,830.3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4,063.4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4,063.4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on common stock of $6.14 per share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4"/>
              </w:rPr>
              <w:t>(2,088.5)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(2,088.5)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Impact of adoption of standards update on employee share-based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net of tax</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339,235</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1"/>
              </w:rPr>
              <w:t>$ 17,900.3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4,497.2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22,411.8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00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40" w:type="dxa"/>
            <w:vAlign w:val="bottom"/>
          </w:tcPr>
          <w:p>
            <w:pPr>
              <w:spacing w:after="0"/>
              <w:rPr>
                <w:sz w:val="12"/>
                <w:szCs w:val="12"/>
                <w:color w:val="auto"/>
              </w:rPr>
            </w:pPr>
          </w:p>
        </w:tc>
        <w:tc>
          <w:tcPr>
            <w:tcW w:w="10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Balance at December 31, 2017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339,235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3"/>
              </w:rPr>
              <w:t>$ 17,900.3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22,411.8</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1,962.2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$4.55 per share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(1,591.6)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(1,591.6)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Impact of adoption of standards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update on tax effects related to</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and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recognition</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Common stock issued to</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w w:val="96"/>
              </w:rPr>
              <w:t>complete the acquisition of NEX</w:t>
            </w:r>
          </w:p>
        </w:tc>
        <w:tc>
          <w:tcPr>
            <w:tcW w:w="820" w:type="dxa"/>
            <w:vAlign w:val="bottom"/>
          </w:tcPr>
          <w:p>
            <w:pPr>
              <w:jc w:val="right"/>
              <w:spacing w:after="0"/>
              <w:rPr>
                <w:sz w:val="20"/>
                <w:szCs w:val="20"/>
                <w:color w:val="auto"/>
              </w:rPr>
            </w:pPr>
            <w:r>
              <w:rPr>
                <w:rFonts w:ascii="Arial" w:cs="Arial" w:eastAsia="Arial" w:hAnsi="Arial"/>
                <w:sz w:val="18"/>
                <w:szCs w:val="18"/>
                <w:color w:val="auto"/>
              </w:rPr>
              <w:t>16,927</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3,105.8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3,105.8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3,105.8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Non-controlling interest resulting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the acquisition of NEX</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Vesting of issued restricted Class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 common stock</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Shares issued to Board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Directors</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Shares issued under Employee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Balance at December 31, 2018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356,824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93"/>
              </w:rPr>
              <w:t>$ 21,057.9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4,855.3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25,918.5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25,965.3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1,963.7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4,063.4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1,534.1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datacenter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on sale of BM&amp;FBOVESPA shares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Bolsa Mexicana de Valores, S.A.B de C.V.</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3"/>
              </w:rPr>
              <w:t>Income tax expense reclassified from accumulated other comprehensive income upon</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final sale of BM&amp;FBOVESPA shares</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derivative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realized and unrealized gains on privately-held equity investments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1,732.0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and sales of available-for-sale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 in business ventures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business ventures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Bolsa Mexicana de Valores, S.A.B de C.V.</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to acquire NEX, net of cash received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r>
      <w:tr>
        <w:trPr>
          <w:trHeight w:val="20"/>
        </w:trPr>
        <w:tc>
          <w:tcPr>
            <w:tcW w:w="6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Issuance of commercial paper, net of maturities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386.9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other borrowings, net of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Repayment of other borrowings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Premium payment for derivative contract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lease financing obligation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Excess tax benefits related to employee option exercises and restricted stock vesting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Employee taxes paid on restricted stock vesting</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1,795.1</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1,377.2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1,906.0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1,960.3</w:t>
            </w:r>
          </w:p>
        </w:tc>
      </w:tr>
      <w:tr>
        <w:trPr>
          <w:trHeight w:val="284"/>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1,374.5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Short-term restricted cash</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restricted cash</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1,960.3</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97"/>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577.4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Non-cash financing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stock issued for the acquisition of NEX</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500"/>
              <w:spacing w:after="0"/>
              <w:rPr>
                <w:sz w:val="20"/>
                <w:szCs w:val="20"/>
                <w:color w:val="auto"/>
              </w:rPr>
            </w:pPr>
            <w:r>
              <w:rPr>
                <w:rFonts w:ascii="Arial" w:cs="Arial" w:eastAsia="Arial" w:hAnsi="Arial"/>
                <w:sz w:val="18"/>
                <w:szCs w:val="18"/>
                <w:color w:val="auto"/>
                <w:w w:val="92"/>
              </w:rPr>
              <w:t>Declaration of annual variable dividend, payable in January 2019, January 2018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January 2017</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1,099.3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CME Group Inc. (CME Group) offer the widest range of global benchmark products across all major asset classes based on interest rates, equity indexes, foreign exchange, energy, agricultural commodities and metals. The company offers futures and options on futures trading across asset classes through the CME Globex platform, fixed income trading via BrokerTec and FX trading on the EBS platform. In addition, it operates one of the world’s leading central counterparty clearing houses. Through its clearing house, CME Group offers clearing, settlement and guarantees for all products cleared through the clearing house.</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Chicago Mercantile Exchange Inc. (CME), the Board of Trade of the City of Chicago, Inc. (CBOT), New York Mercantile Exchange, Inc. (NYMEX) and Commodity Exchange, Inc. (COMEX), wholly-owned subsidiaries of CME Group, are designated contract markets for the trading of futures and options on futures contracts.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November 2, 2018, CME Group completed its acquisition of NEX Group plc (NEX). NEX offers electronic trade execution platforms for the foreign exchange and fixed income over-the-counter markets as well as other services across the transaction lifecycle, including trade and portfolio management and portfolio compression. The financial statements and accompanying notes presented in this report include the financial results of NEX and its subsidiaries beginning on November 3,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CME Group and its subsidiaries are referred to collectively as “the company” in the notes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accompanying consolidated financial statements are prepared in accordance with accounting principles generally accepted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and include the accounts of the company and its subsidiaries. All intercompany transactions and balances have been eliminated.</w:t>
      </w:r>
    </w:p>
    <w:p>
      <w:pPr>
        <w:spacing w:after="0" w:line="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requires management to make estimates and assumptions that affect the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the disclosure of contingent amounts on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7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and highly liquid investments with a maturity of three months or less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w:t>
      </w:r>
    </w:p>
    <w:p>
      <w:pPr>
        <w:spacing w:after="0" w:line="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Financial Investments. </w:t>
      </w:r>
      <w:r>
        <w:rPr>
          <w:rFonts w:ascii="Arial" w:cs="Arial" w:eastAsia="Arial" w:hAnsi="Arial"/>
          <w:sz w:val="18"/>
          <w:szCs w:val="18"/>
          <w:color w:val="auto"/>
        </w:rPr>
        <w:t>The company maintains short-term and long-term investments, classified as equity method investments, equity securities, available-for-sale debt securities, and trading securities. Available-for-sale debt securities are carried at fair value, with unrealized gains and losses, net of deferred income taxes, reported as a component of accumulated other comprehensive income. Trading securities held in connection with non-qualified deferred compensation plans and equity securities are recorded at fair value, with net realized and unrealized gains and losses and dividend income reported as investment income. For equity investments in privately-held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movements. Also, the company maintains long-term investments accounted for under the equity method, which requires that the company recognize our share of net income (loss) in the investee as an adjustment to the carrying amount of the investment each reporting period.</w:t>
      </w:r>
    </w:p>
    <w:p>
      <w:pPr>
        <w:spacing w:after="0" w:line="8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reviews its investment portfolio to determine whether a decline in fair value below the carrying value is other-than-temporary. If events and circumstances indicate that a decline in the value of one or more assets has occurred and is deemed to be other-than-temporary, the carrying value of the investment is reduced to its fair value and a corresponding impairment expense is charged to earnings.</w:t>
      </w:r>
    </w:p>
    <w:p>
      <w:pPr>
        <w:spacing w:after="0" w:line="69"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The company uses a three-level classification hierarchy of fair value measurements that establishes the quality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4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Derivative Investments. </w:t>
      </w:r>
      <w:r>
        <w:rPr>
          <w:rFonts w:ascii="Arial" w:cs="Arial" w:eastAsia="Arial" w:hAnsi="Arial"/>
          <w:sz w:val="18"/>
          <w:szCs w:val="18"/>
          <w:color w:val="auto"/>
        </w:rPr>
        <w:t>The company uses derivative instruments to limit exposure to changes in interest rates and foreign currency exchange rates.</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are recorded at fair value on the consolidated balance sheets. For those derivatives that meet the criteria for hedge accounting and are classified as effective cash flow hedges, changes in the fair value of the hedges is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2" w:right="25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deferred in accumulated other comprehensive income. Any realized gains and losses from effective hedges are classified within the same financial statement line item on the consolidated statements of income as the hedge risk. For any hedges no longer deemed effective or for which hedge accounting is not applied, changes in fair value of the derivative instruments are recognized in earnings immediately.</w:t>
      </w:r>
    </w:p>
    <w:p>
      <w:pPr>
        <w:spacing w:after="0" w:line="69"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comprised of trade receivables and unbilled revenue. All accounts receivable are stated at cost. Exposure to</w:t>
      </w:r>
      <w:r>
        <w:rPr>
          <w:rFonts w:ascii="Arial" w:cs="Arial" w:eastAsia="Arial" w:hAnsi="Arial"/>
          <w:sz w:val="18"/>
          <w:szCs w:val="18"/>
          <w:b w:val="1"/>
          <w:bCs w:val="1"/>
          <w:color w:val="auto"/>
        </w:rPr>
        <w:t xml:space="preserve"> </w:t>
      </w:r>
      <w:r>
        <w:rPr>
          <w:rFonts w:ascii="Arial" w:cs="Arial" w:eastAsia="Arial" w:hAnsi="Arial"/>
          <w:sz w:val="18"/>
          <w:szCs w:val="18"/>
          <w:color w:val="auto"/>
        </w:rPr>
        <w:t>losses on receivables for clearing and transaction fees and other amounts owed by clearing and trading firms is dependent on each firm's financial condition. With respect to clearing firms, our credit loss exposure is mitigated by the memberships that collateralize fees owed to the company. The company retains the right to liquidate clearing firm memberships to satisfy an outstanding receivable. The allowance for doubtful accounts is calculated based on historical losses and management's assessment of probable future collections.</w:t>
      </w:r>
    </w:p>
    <w:p>
      <w:pPr>
        <w:spacing w:after="0" w:line="76" w:lineRule="exact"/>
        <w:rPr>
          <w:sz w:val="20"/>
          <w:szCs w:val="20"/>
          <w:color w:val="auto"/>
        </w:rPr>
      </w:pPr>
    </w:p>
    <w:p>
      <w:pPr>
        <w:jc w:val="both"/>
        <w:ind w:right="80"/>
        <w:spacing w:after="0" w:line="282" w:lineRule="auto"/>
        <w:rPr>
          <w:sz w:val="20"/>
          <w:szCs w:val="20"/>
          <w:color w:val="auto"/>
        </w:rPr>
      </w:pPr>
      <w:r>
        <w:rPr>
          <w:rFonts w:ascii="Arial" w:cs="Arial" w:eastAsia="Arial" w:hAnsi="Arial"/>
          <w:sz w:val="18"/>
          <w:szCs w:val="18"/>
          <w:b w:val="1"/>
          <w:bCs w:val="1"/>
          <w:color w:val="auto"/>
        </w:rPr>
        <w:t xml:space="preserve">Performance Bonds and Guaranty Fund Contributions. </w:t>
      </w:r>
      <w:r>
        <w:rPr>
          <w:rFonts w:ascii="Arial" w:cs="Arial" w:eastAsia="Arial" w:hAnsi="Arial"/>
          <w:sz w:val="18"/>
          <w:szCs w:val="18"/>
          <w:color w:val="auto"/>
        </w:rPr>
        <w:t>Performance bonds and guaranty fund contributions held for clearing firms may be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securities or other non-cash deposits.</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Performance bonds and guaranty fund contributions received in the form of cash held by CME may be invested in U.S. government securities, U.S. government agency securities and certain foreign government securities acquired through and held by a bank or broker-dealer subsidiary of a bank, a cash account at the Federal Reserve Bank of Chicago, reverse repurchase agreements secured with highly rated government securities, money market funds or through CME's Interest Earning Facility (IEF) program. Any interest earned on CME investments accrues to CME and is included in investment income on the consolidated statements of income. CME may distribute any interest earned on its investments to the clearing firms at its discretion. Because CME has control of the cash collateral and the benefits and market risks of ownership accrue to CME, cash performance bonds and guaranty fund contributions are reflected on the consolidated balance sheets. Performance bonds and guaranty fund contributions assets on the consolidated balance sheets can include reinvestments in U.S. Treasury and U.S. government agency securities. U.S. Treasury and U.S. government agency securities can be purchased by CME, at its discretion, using cash collateral.</w:t>
      </w:r>
    </w:p>
    <w:p>
      <w:pPr>
        <w:spacing w:after="0" w:line="7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on the consolidated balance sheets.</w:t>
      </w:r>
    </w:p>
    <w:p>
      <w:pPr>
        <w:spacing w:after="0" w:line="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Property, Equipment and Leasehold Improvements. </w:t>
      </w:r>
      <w:r>
        <w:rPr>
          <w:rFonts w:ascii="Arial" w:cs="Arial" w:eastAsia="Arial" w:hAnsi="Arial"/>
          <w:sz w:val="18"/>
          <w:szCs w:val="18"/>
          <w:color w:val="auto"/>
        </w:rPr>
        <w:t>Property, equipment and leasehold improvements are stated at cost, less accumulated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Depreciation and amortization are calculated using the straight-line method, generally over two to thirty-nine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which meet the requirements for capitalization are amortized on a straight-line basis over the estimated useful life of the software, generally two to four years.</w:t>
      </w:r>
    </w:p>
    <w:p>
      <w:pPr>
        <w:spacing w:after="0" w:line="8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 xml:space="preserve">Operating Leases. </w:t>
      </w:r>
      <w:r>
        <w:rPr>
          <w:rFonts w:ascii="Arial" w:cs="Arial" w:eastAsia="Arial" w:hAnsi="Arial"/>
          <w:sz w:val="16"/>
          <w:szCs w:val="16"/>
          <w:color w:val="auto"/>
        </w:rPr>
        <w:t>The company accounts for our leases of office space as operating leases. Landlord allowances are recorded as a reduction to rent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on a straight-line basis over the term of the lease. For sale leaseback transactions, the company evaluates the sale and the lease arrangement based on the company's continuing involvement and recognizes the sale leaseback as either a sale leaseback transaction or under the financing method, which requires the asset to remain on the consolidated balance sheets throughout the term of the lease and the proceeds to be recognized as a financing obligation. A portion of the lease payments is recognized as a reduction of the financing obligation and a portion is recognized as interest expense based on an imputed interest rate.</w:t>
      </w:r>
    </w:p>
    <w:p>
      <w:pPr>
        <w:spacing w:after="0" w:line="15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Goodwill represents the excess of the purchase price over the fair value of the net assets acquired in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The company reviews goodwill and indefinite-lived intangible assets for impairment at least quarterly and whenever events or circumstances indicate that their carrying values may not be recoverable. The company may test goodwill quantitatively for impairment by comparing the carrying value of a reporting unit to its estimated fair value. Estimating the fair value of a 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for the reporting unit. If the carrying amount exceeds fair value, an impairment loss is recorded. In certain circumstances, goodwill may be reviewed qualitatively for indications of impairment without utilizing valuation techniques to estimate fair value.</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evaluates the recoverability of indefinite-lived intangible assets at least quarterly by comparing the estimated fair value of the intangible asset to its carrying value.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Intangible assets subject to amortization are also assessed for impairment at least quarterly or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 and annually challenge the useful lives.</w:t>
      </w:r>
    </w:p>
    <w:p>
      <w:pPr>
        <w:spacing w:after="0" w:line="59"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company accounts for business combinations using the acquisition method. The method requires the acquirer to recognize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The company recognizes the funded status of defined benefit postretirement plans on its consolidated balance sheets.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accumulated other comprehensive income (loss).</w:t>
      </w:r>
    </w:p>
    <w:p>
      <w:pPr>
        <w:spacing w:after="0" w:line="18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 Foreign currency denominated assets and liabilities are re-measured into the functional currency using period-end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rates. Gains and losses from foreign currency transactions are included in other expense on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121" w:lineRule="exact"/>
        <w:rPr>
          <w:sz w:val="20"/>
          <w:szCs w:val="20"/>
          <w:color w:val="auto"/>
        </w:rPr>
      </w:pPr>
    </w:p>
    <w:p>
      <w:pPr>
        <w:ind w:left="440" w:right="60"/>
        <w:spacing w:after="0" w:line="270" w:lineRule="auto"/>
        <w:rPr>
          <w:sz w:val="20"/>
          <w:szCs w:val="20"/>
          <w:color w:val="auto"/>
        </w:rPr>
      </w:pPr>
      <w:r>
        <w:rPr>
          <w:rFonts w:ascii="Arial" w:cs="Arial" w:eastAsia="Arial" w:hAnsi="Arial"/>
          <w:sz w:val="17"/>
          <w:szCs w:val="17"/>
          <w:i w:val="1"/>
          <w:iCs w:val="1"/>
          <w:color w:val="auto"/>
        </w:rPr>
        <w:t xml:space="preserve">Clearing and Transaction Fees. </w:t>
      </w:r>
      <w:r>
        <w:rPr>
          <w:rFonts w:ascii="Arial" w:cs="Arial" w:eastAsia="Arial" w:hAnsi="Arial"/>
          <w:sz w:val="17"/>
          <w:szCs w:val="17"/>
          <w:color w:val="auto"/>
        </w:rPr>
        <w:t>Clearing and transaction fees include per-contract charges for trade execution, clearing, trading on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trading platform, portfolio reconciliation and compression services, risk mitigation, and other fees. Fees are charged at various rates based on the product traded, the method of trade, the exchange trading privileges of the customer making the trade and the type of contract. The majority of our clearing and transaction fees are recognized as revenue when a buy and sell order are matched.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the company,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74" w:lineRule="exact"/>
        <w:rPr>
          <w:sz w:val="20"/>
          <w:szCs w:val="20"/>
          <w:color w:val="auto"/>
        </w:rPr>
      </w:pPr>
    </w:p>
    <w:p>
      <w:pPr>
        <w:ind w:left="440" w:right="180"/>
        <w:spacing w:after="0" w:line="302" w:lineRule="auto"/>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Market data and information services represent revenue earned for the dissemination of market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are accrued each month based on the number of devices reported by vendors or over a straight line basis in accordance with the market data subscription contract term. The company conducts periodic examinations of the number of devices reported and assesses additional fees as necessary. On occasion, customers will pay for services in a lump sum payment; however, revenue is recognized as services are provided.</w:t>
      </w:r>
    </w:p>
    <w:p>
      <w:pPr>
        <w:spacing w:after="0" w:line="46" w:lineRule="exact"/>
        <w:rPr>
          <w:sz w:val="20"/>
          <w:szCs w:val="20"/>
          <w:color w:val="auto"/>
        </w:rPr>
      </w:pPr>
    </w:p>
    <w:p>
      <w:pPr>
        <w:ind w:left="440"/>
        <w:spacing w:after="0" w:line="342" w:lineRule="auto"/>
        <w:rPr>
          <w:sz w:val="20"/>
          <w:szCs w:val="20"/>
          <w:color w:val="auto"/>
        </w:rPr>
      </w:pPr>
      <w:r>
        <w:rPr>
          <w:rFonts w:ascii="Arial" w:cs="Arial" w:eastAsia="Arial" w:hAnsi="Arial"/>
          <w:sz w:val="16"/>
          <w:szCs w:val="16"/>
          <w:i w:val="1"/>
          <w:iCs w:val="1"/>
          <w:color w:val="auto"/>
        </w:rPr>
        <w:t xml:space="preserve">Other Revenues. </w:t>
      </w:r>
      <w:r>
        <w:rPr>
          <w:rFonts w:ascii="Arial" w:cs="Arial" w:eastAsia="Arial" w:hAnsi="Arial"/>
          <w:sz w:val="16"/>
          <w:szCs w:val="16"/>
          <w:color w:val="auto"/>
        </w:rPr>
        <w:t>Other revenues include access and communication fees, fees for collateral management and fees for trade order routing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from various strategic relationships as well as other services to members and clearing firms. Revenue is recognized as services are provided.</w:t>
      </w:r>
    </w:p>
    <w:p>
      <w:pPr>
        <w:spacing w:after="0" w:line="16" w:lineRule="exact"/>
        <w:rPr>
          <w:sz w:val="20"/>
          <w:szCs w:val="20"/>
          <w:color w:val="auto"/>
        </w:rPr>
      </w:pPr>
    </w:p>
    <w:p>
      <w:pPr>
        <w:ind w:left="440" w:right="40"/>
        <w:spacing w:after="0" w:line="276" w:lineRule="auto"/>
        <w:rPr>
          <w:sz w:val="20"/>
          <w:szCs w:val="20"/>
          <w:color w:val="auto"/>
        </w:rPr>
      </w:pPr>
      <w:r>
        <w:rPr>
          <w:rFonts w:ascii="Arial" w:cs="Arial" w:eastAsia="Arial" w:hAnsi="Arial"/>
          <w:sz w:val="17"/>
          <w:szCs w:val="17"/>
          <w:i w:val="1"/>
          <w:iCs w:val="1"/>
          <w:color w:val="auto"/>
        </w:rPr>
        <w:t xml:space="preserve">Concentration of Revenue. </w:t>
      </w:r>
      <w:r>
        <w:rPr>
          <w:rFonts w:ascii="Arial" w:cs="Arial" w:eastAsia="Arial" w:hAnsi="Arial"/>
          <w:sz w:val="17"/>
          <w:szCs w:val="17"/>
          <w:color w:val="auto"/>
        </w:rPr>
        <w:t>One firm represented 10% of the company's clearing and transaction fee revenue in 2018. One firm represented 13% and</w:t>
      </w:r>
      <w:r>
        <w:rPr>
          <w:rFonts w:ascii="Arial" w:cs="Arial" w:eastAsia="Arial" w:hAnsi="Arial"/>
          <w:sz w:val="17"/>
          <w:szCs w:val="17"/>
          <w:i w:val="1"/>
          <w:iCs w:val="1"/>
          <w:color w:val="auto"/>
        </w:rPr>
        <w:t xml:space="preserve"> </w:t>
      </w:r>
      <w:r>
        <w:rPr>
          <w:rFonts w:ascii="Arial" w:cs="Arial" w:eastAsia="Arial" w:hAnsi="Arial"/>
          <w:sz w:val="17"/>
          <w:szCs w:val="17"/>
          <w:color w:val="auto"/>
        </w:rPr>
        <w:t>another firm represented 12% of clearing and transaction fees revenue in 2017. One firm represented 13% and another firm represented 11% of clearing and transaction fees revenue in 2016. Should a clearing firm withdraw from the company,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64" w:lineRule="exact"/>
        <w:rPr>
          <w:sz w:val="20"/>
          <w:szCs w:val="20"/>
          <w:color w:val="auto"/>
        </w:rPr>
      </w:pPr>
    </w:p>
    <w:p>
      <w:pPr>
        <w:ind w:left="440" w:right="320"/>
        <w:spacing w:after="0" w:line="264" w:lineRule="auto"/>
        <w:rPr>
          <w:sz w:val="20"/>
          <w:szCs w:val="20"/>
          <w:color w:val="auto"/>
        </w:rPr>
      </w:pPr>
      <w:r>
        <w:rPr>
          <w:rFonts w:ascii="Arial" w:cs="Arial" w:eastAsia="Arial" w:hAnsi="Arial"/>
          <w:sz w:val="18"/>
          <w:szCs w:val="18"/>
          <w:color w:val="auto"/>
        </w:rPr>
        <w:t>The two largest resellers of market data represented approximately 41% of market data and information services revenue in 2018, 45% in 2017, and 40% in 2016. Should one of these vendors no longer subscribe to the company's market data, management believes that the majority of that firm's customers would likely subscribe to the market data through another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reseller. Therefore, management does not believe that the company is exposed to significant risk from a loss of revenue received from any particular market data reseller.</w:t>
      </w:r>
    </w:p>
    <w:p>
      <w:pPr>
        <w:spacing w:after="0" w:line="5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color w:val="auto"/>
        </w:rPr>
        <w:t>The company accounts for share-based payments at fair value, which is based on the grant date price of the equity awards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recognizes expense relating to stock-based compensation on an accelerated basis. As a result, the expense associated with each vesting date within a stock grant is recognized over the period of time that each portion of that grant vests. Beginning in 2017, the company recognizes expense for forfeitures of stock grants as they occur.</w:t>
      </w:r>
    </w:p>
    <w:p>
      <w:pPr>
        <w:spacing w:after="0" w:line="72"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Deferred income taxes arise from temporary differences between the tax basis and book basis of assets and liabilities. A valuation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57"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 xml:space="preserve">Segment Reporting. </w:t>
      </w:r>
      <w:r>
        <w:rPr>
          <w:rFonts w:ascii="Arial" w:cs="Arial" w:eastAsia="Arial" w:hAnsi="Arial"/>
          <w:sz w:val="17"/>
          <w:szCs w:val="17"/>
          <w:color w:val="auto"/>
        </w:rPr>
        <w:t>The company reports the results of its operations as one operating segment primarily comprised of the businesses of CME, CBOT,</w:t>
      </w:r>
      <w:r>
        <w:rPr>
          <w:rFonts w:ascii="Arial" w:cs="Arial" w:eastAsia="Arial" w:hAnsi="Arial"/>
          <w:sz w:val="17"/>
          <w:szCs w:val="17"/>
          <w:b w:val="1"/>
          <w:bCs w:val="1"/>
          <w:color w:val="auto"/>
        </w:rPr>
        <w:t xml:space="preserve"> </w:t>
      </w:r>
      <w:r>
        <w:rPr>
          <w:rFonts w:ascii="Arial" w:cs="Arial" w:eastAsia="Arial" w:hAnsi="Arial"/>
          <w:sz w:val="17"/>
          <w:szCs w:val="17"/>
          <w:color w:val="auto"/>
        </w:rPr>
        <w:t>NYMEX, COMEX, and NEX. The remaining operations do not meet the thresholds for reporting separate segment information.</w:t>
      </w:r>
    </w:p>
    <w:p>
      <w:pPr>
        <w:spacing w:after="0" w:line="11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Newly Adopted Accounting Policies. </w:t>
      </w:r>
      <w:r>
        <w:rPr>
          <w:rFonts w:ascii="Arial" w:cs="Arial" w:eastAsia="Arial" w:hAnsi="Arial"/>
          <w:sz w:val="17"/>
          <w:szCs w:val="17"/>
          <w:color w:val="auto"/>
        </w:rPr>
        <w:t>In May 2014, the Financial Accounting Standards Board (FASB) issued a new standard on revenue recognition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company implemented this standard as of January 1, 2018 using the modified retrospective approach with the cumulative effect of initially applying the guidance recognized at the date of initial adoption. Management recognized an $8.7 million reduction to the opening balance of retained earnings as of January 1, 2018, which it believes to be an immaterial impact to the consolidated financial statements. The adjustment to the opening balance of retained earnings primarily relates to a deferral of a portion of clearing and transaction fees revenue earned and recognized subsequent to the contract trade execution date. The on-going application of the new standard has not resulted in a material impact on the company's financial statements.</w:t>
      </w:r>
    </w:p>
    <w:p>
      <w:pPr>
        <w:spacing w:after="0" w:line="1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January 2016, the FASB issued a standards update that changes how entities measure certain equity investments. It does not change the guidance for classifying and measuring investments in debt securities, loans and equity method investments. Under the new guidance, entities will have to measure many other equity investments at fair value and recognize any changes in fair value in net income, unless the investments qualify for a practicability exception. Entities will no longer be able to recognize unrealized holding gains and losses on equity securities previously classified as available-for-sale in other comprehensive income. For equity investments in privately-held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movements. The company adopted this guidance on January 1, 2018. During 2018, the company recorded an increase to the fair values of some of its privately-held equity investments of $82.6 million and also recognized impairment charges of $4.7 million, both of which are presented in investment income on the consolidated statements of income.</w:t>
      </w:r>
    </w:p>
    <w:p>
      <w:pPr>
        <w:spacing w:after="0" w:line="15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statements of cash flows. The amendments require that statements of cash flows explain the change during the period in the total of cash, cash equivalents, as well as amounts described as restricted cash on the consolidated balance sheets. This guidance was adopted on January 1, 2018 using the retrospective approach. The statements of cash flows show a decrease in cash balances of $528.8 million for 2018, a decrease in cash balances of $54.3 million for 2017 and an increase in cash balances of $165.2 million for 2016.</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March 2017, the FASB issued a standards update that changes certain presentation and disclosure requirements for employers that sponsor defined benefit pension as well as other postretirement benefit plans. Defined benefit pension cost and postretirement benefit cost (net benefit cost) are comprised of several components that reflect different aspects of an employer’s financial arrangements as well as the cost of benefits provided to the employees. Under previous accounting guidance, those components were aggregated for reporting in the financial statements within compensation and benefits on the consolidated statements of income. The amendments in the update require that the service cost component is reported in the same line as other compensation costs, whereas the other components of net benefit cost are required to be presented on the consolidated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statements of income separately from the service cost component. This update was adopted on January 1, 2018 with retrospective application to the earliest period presented. Total net pension expense remains unchanged upon adoption of the standards update. Following the reclassification, pension expense consists of the following for the periods presented: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Service cost recognized in compensation and benefits expense</w:t>
            </w: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19.1</w:t>
            </w:r>
          </w:p>
        </w:tc>
        <w:tc>
          <w:tcPr>
            <w:tcW w:w="100" w:type="dxa"/>
            <w:vAlign w:val="bottom"/>
          </w:tcPr>
          <w:p>
            <w:pPr>
              <w:spacing w:after="0"/>
              <w:rPr>
                <w:sz w:val="21"/>
                <w:szCs w:val="21"/>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18.7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16.7</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components of pension expense recognized in other non-operating income (expense)</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net pension expense</w:t>
            </w: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17.3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14.5</w:t>
            </w:r>
          </w:p>
        </w:tc>
      </w:tr>
      <w:tr>
        <w:trPr>
          <w:trHeight w:val="20"/>
        </w:trPr>
        <w:tc>
          <w:tcPr>
            <w:tcW w:w="7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2017, the FASB issued a standards update that amends the existing hedge accounting model to enable entities to better reflect their risk management activities in the financial statements.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financial statement line as the hedged item. The guidance also eases certain documentation and assessment requirements and modifies the accounting for components excluded from the assessment of hedge effectiveness. The company early adopted this guidance on October 1, 2018 and believes the impact upon adoption of this standard to be immaterial to the financial statements.</w:t>
      </w:r>
    </w:p>
    <w:p>
      <w:pPr>
        <w:spacing w:after="0" w:line="18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February 2018, the FASB issued guidance that gives entities the option to reclassify to retained earnings the tax effects related to items in accumulated other comprehensive income (AOCI) that were previously stranded within AOCI as a result of applying the Tax Cuts and Jobs Act (2017 Tax Act). An entity that elects to reclassify these amounts must reclassify stranded tax effects related to the change in federal tax rate for all items accounted for within AOCI. Entities can also elect to reclassify other stranded tax effects that relate to the 2017 Tax Act but do not directly relate to the change in federal tax rate. Tax effects that are stranded in AOCI for other reasons may not be reclassified. These amendments should be applied either in the period of adoption as a cumulative adjustment to the opening balance of retained earnings or retrospectively to each period in which the effect of the 2017 Tax Act is recognized. This guidance is effective for entities with fiscal years beginning after December 15, 2018. The company early adopted this guidance as of January 1, 2018, resulting in an adjustment of $3.8 million to reduce beginning retained earnings and increase AOCI. Tax effects from previously stranded items are released from AOCI when the entire portfolio of similar items is liquidated.</w:t>
      </w:r>
    </w:p>
    <w:p>
      <w:pPr>
        <w:spacing w:after="0" w:line="7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August 2018, the FASB issued a standards update that modifies the disclosure requirements for fair value measurements of financial and nonfinancial assets and liabilities. Under the new guidance, entities must disclose the changes in unrealized gains and losses for the period reported in AOCI for recurring level 3 fair value measurements held at the end of the reporting period. In addition, entities must provide the range and weighted average of significant unobservable inputs used to develop level 3 fair value measurements. Entities are no longer required to disclose the amount of and reasons for transfers between level 1 and level 2 of the fair value hierarchy, as well as the valuation processes for level 3 fair value measurements. This standards update is effective for reporting periods beginning in 2020, with early adoption permitted for the eliminated or modified disclosure requirements. The amendments on changes in unrealized gains and losses, and the range and weighted average of significant unobservable inputs used to develop level 3 fair value measurements should be applied prospectively for only the most recent reporting period presented in the initial year of adoption. All other amendments should be applied retrospectively to all periods presented upon their effective date. The company early adopted the disclosure requirements from this standards update starting in the third quarter of 2018 by updating the disclosures in the fair value measurements footnote.</w:t>
      </w:r>
    </w:p>
    <w:p>
      <w:pPr>
        <w:spacing w:after="0" w:line="16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August 2018, the Securities and Exchange Commission (SEC) released guidance aimed at expanding certain disclosures while also eliminating outdated or duplicative disclosure requirements. Specifically, the guidance amends the interim financial statement requirements to require a reconciliation of changes in shareholders' equity in the notes or as a separate statement. This statement should reconcile the beginning balance to the ending balance of each component of shareholders' equity for each period where an income statement is required. The guidance is effective for SEC filings beginning on November 5, 2018. As a result, the company will provide a reconciliation of shareholders' equity for the quarter and year-to-date period and comparable periods beginning in the 2019 quarterly reports. The company has also adopted the disclosure requirements from this guidance as applied to disclosures within this annual report by eliminating some duplicative and outdated disclosure requirements.</w:t>
      </w:r>
    </w:p>
    <w:p>
      <w:pPr>
        <w:spacing w:after="0" w:line="14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Recently Issued Accounting Pronouncements. </w:t>
      </w:r>
      <w:r>
        <w:rPr>
          <w:rFonts w:ascii="Arial" w:cs="Arial" w:eastAsia="Arial" w:hAnsi="Arial"/>
          <w:sz w:val="17"/>
          <w:szCs w:val="17"/>
          <w:color w:val="auto"/>
        </w:rPr>
        <w:t>In February 2016, the FASB issued a standards update that requires lessees to recognize on the balance sheet</w:t>
      </w:r>
      <w:r>
        <w:rPr>
          <w:rFonts w:ascii="Arial" w:cs="Arial" w:eastAsia="Arial" w:hAnsi="Arial"/>
          <w:sz w:val="17"/>
          <w:szCs w:val="17"/>
          <w:b w:val="1"/>
          <w:bCs w:val="1"/>
          <w:color w:val="auto"/>
        </w:rPr>
        <w:t xml:space="preserve"> </w:t>
      </w:r>
      <w:r>
        <w:rPr>
          <w:rFonts w:ascii="Arial" w:cs="Arial" w:eastAsia="Arial" w:hAnsi="Arial"/>
          <w:sz w:val="17"/>
          <w:szCs w:val="17"/>
          <w:color w:val="auto"/>
        </w:rPr>
        <w:t>the assets and liabilities associated with the rights and obligations created by those leases. The guidance for lessors is largely unchanged from current accounting rules. Under the new guidance, a lessee will be required to recognize assets and liabilities for leases with lease terms of more than 12 months. Consistent with current accounting standards, the recognition, measurement, and presentation of expenses and cash flows arising from a lease by a lessee primarily will depend on its classification as a finance or operating lease. The update is effective for reporting periods beginning after December 15, 2018. Management is on course to comply with the guidance by the effective date as the project team has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substantially completed review of the lease agreements and implementation phases. Adoption of this guidance on January 1, 2019 will result in a gross-up of our balance sheet with both a lease asset and lease liability. Presentation of lease expense and the pattern of expense recognition on the consolidated statements of income are expected to remain materially consistent with existing lease accounting guidance.</w:t>
      </w:r>
    </w:p>
    <w:p>
      <w:pPr>
        <w:spacing w:after="0" w:line="15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available-for-sale debt securities and requires entities to determine whether all or a portion of the unrealized loss on an available-for-sale debt security is a credit loss. Severity and duration of the unrealized loss are no longer permissible factors in concluding whether a credit loss exists. Entities will recognize improvements to estimated credit losses on available-for-sale debt securities immediately in earnings rather than as interest income over time. The standard is effective for reporting periods beginning after December 15, 2019. The standard’s provisions must be applied as a cumulative adjustment to retained earnings as of the beginning of the first reporting period in which the guidance is effective. Early adoption is permitted for reporting periods beginning in 2019. The company does not believe that the adoption of this guidance will have a material impact on the consolidated financial statements.</w:t>
      </w:r>
    </w:p>
    <w:p>
      <w:pPr>
        <w:spacing w:after="0" w:line="16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August 2018, the FASB issued a standards update that modifies the disclosure requirements for employers that sponsor defined pension or other postretirement plans. The guidance clarifies certain existing disclosures and expands the requirements for others. Disclosures that are not considered cost beneficial are removed by the update. Also, there is a new disclosure requirement to include an explanation of the reasons for significant gains and losses related to changes in the benefit obligation for the period. This guidance is effective for reporting periods beginning in 2021. Early adoption is permitted. The company plans to update the disclosures for these changes upon adoption of the guidance in 2021.</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November 2, 2018, the company completed its acquisition of NEX and its subsidiaries in a transaction valued at £11.28 per share ($14.63 per share based on the CME Group share price of $183.75 and the exchange rate of US$1.30:£1 on November 2, 2018), consisting of £5.00 per share in cash and 0.0444 CME Group shares. The total equity value of the transaction is approximately £4.3 billion ($5.6 billion), including the issuance of 16.9 million CME Group class A shares and $2.5 billion of cash consideration. As part of the acquisition, the company also assumed $1.0 billion of existing debt of NEX. The cash consideration was funded with $1.2 billion of net proceeds received from a debt offering of fixed rate notes in June 2018, borrowings from commercial paper and cash on hand. The company entered into this acquisition primarily as a means to expand its product base, further leverage its existing operating model, extend its presence in the over-the-counter market and better position itself to compete on a global scale.</w:t>
      </w:r>
    </w:p>
    <w:p>
      <w:pPr>
        <w:spacing w:after="0" w:line="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Preliminary Purchase Price Allocation. </w:t>
      </w:r>
      <w:r>
        <w:rPr>
          <w:rFonts w:ascii="Arial" w:cs="Arial" w:eastAsia="Arial" w:hAnsi="Arial"/>
          <w:sz w:val="16"/>
          <w:szCs w:val="16"/>
          <w:color w:val="auto"/>
        </w:rPr>
        <w:t>The preliminary purchase price has been allocated to NEX's net tangible and identifiable intangible assets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their estimated fair values as of November 2, 2018. The allocation of the purchase price was based on certain preliminary valuations and estimates and assumptions are subject to change. The goodwill generated from the acquisition was primarily attributable to synergies expected to arise after the acquisition. The company expects to finalize its purchase price allocation within the first year. The preliminary purchase price allocation is as follows:</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3,288.9</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3,236.3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Debt assumed</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(1,029.1)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on identifiable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assets and liabilities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5,584.3</w:t>
            </w:r>
          </w:p>
        </w:tc>
      </w:tr>
      <w:tr>
        <w:trPr>
          <w:trHeight w:val="20"/>
        </w:trPr>
        <w:tc>
          <w:tcPr>
            <w:tcW w:w="9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6"/>
        </w:trPr>
        <w:tc>
          <w:tcPr>
            <w:tcW w:w="8900" w:type="dxa"/>
            <w:vAlign w:val="bottom"/>
            <w:gridSpan w:val="3"/>
          </w:tcPr>
          <w:p>
            <w:pPr>
              <w:spacing w:after="0"/>
              <w:rPr>
                <w:sz w:val="20"/>
                <w:szCs w:val="20"/>
                <w:color w:val="auto"/>
              </w:rPr>
            </w:pPr>
            <w:r>
              <w:rPr>
                <w:rFonts w:ascii="Arial" w:cs="Arial" w:eastAsia="Arial" w:hAnsi="Arial"/>
                <w:sz w:val="18"/>
                <w:szCs w:val="18"/>
                <w:color w:val="auto"/>
                <w:w w:val="92"/>
              </w:rPr>
              <w:t>The preliminary fair values of identifiable intangible assets acquired were estimated as follows (in U.S. dollar equivalent):</w:t>
            </w: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68"/>
        </w:trPr>
        <w:tc>
          <w:tcPr>
            <w:tcW w:w="10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Fair Value in</w:t>
            </w:r>
          </w:p>
        </w:tc>
        <w:tc>
          <w:tcPr>
            <w:tcW w:w="168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Estimated Useful</w:t>
            </w:r>
          </w:p>
        </w:tc>
      </w:tr>
      <w:tr>
        <w:trPr>
          <w:trHeight w:val="255"/>
        </w:trPr>
        <w:tc>
          <w:tcPr>
            <w:tcW w:w="8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USD</w:t>
            </w:r>
          </w:p>
        </w:tc>
        <w:tc>
          <w:tcPr>
            <w:tcW w:w="16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Life</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3,032.3</w:t>
            </w:r>
          </w:p>
        </w:tc>
        <w:tc>
          <w:tcPr>
            <w:tcW w:w="168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11 to 19 years</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3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156.3</w:t>
            </w:r>
          </w:p>
        </w:tc>
        <w:tc>
          <w:tcPr>
            <w:tcW w:w="1680" w:type="dxa"/>
            <w:vAlign w:val="bottom"/>
          </w:tcPr>
          <w:p>
            <w:pPr>
              <w:jc w:val="center"/>
              <w:ind w:left="110"/>
              <w:spacing w:after="0"/>
              <w:rPr>
                <w:sz w:val="20"/>
                <w:szCs w:val="20"/>
                <w:color w:val="auto"/>
              </w:rPr>
            </w:pPr>
            <w:r>
              <w:rPr>
                <w:rFonts w:ascii="Arial" w:cs="Arial" w:eastAsia="Arial" w:hAnsi="Arial"/>
                <w:sz w:val="18"/>
                <w:szCs w:val="18"/>
                <w:color w:val="auto"/>
                <w:w w:val="89"/>
              </w:rPr>
              <w:t>5 to 9 years</w:t>
            </w:r>
          </w:p>
        </w:tc>
      </w:tr>
      <w:tr>
        <w:trPr>
          <w:trHeight w:val="27"/>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w:t>
            </w:r>
          </w:p>
        </w:tc>
        <w:tc>
          <w:tcPr>
            <w:tcW w:w="168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3 to 9 years</w:t>
            </w: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3,288.9</w:t>
            </w:r>
          </w:p>
        </w:tc>
        <w:tc>
          <w:tcPr>
            <w:tcW w:w="168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NEX maintains a 86.7% ownership interest in Traiana Inc and its subsidiaries, resulting in nonredeemable non-controlling interests included in the company's consolidated statements of equity beginning on November 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equity securities and available-for-sale debt securities classified as marketable securities on our consolidated balance sheets. The amortized cost and fair value of these securities at December 31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2018</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6"/>
              </w:rPr>
              <w:t>2017</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1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10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security</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corporate debt securities are maintained for a non-qualified retirement and benefit plan under the COMEX Members' Recognition and Retention Plan (MRRP) (note</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12).</w:t>
      </w:r>
    </w:p>
    <w:p>
      <w:pPr>
        <w:spacing w:after="0" w:line="20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Net unrealized gains (losses) on marketable debt securities classified as available-for-sale are reported as a component of other comprehensive income (loss) and included on the accompanying consolidated statements of comprehensive income and consolidated statements of equity. Changes in the fair value of equity securities are recognized within investment income on the consolidated statements of income.</w:t>
      </w:r>
    </w:p>
    <w:p>
      <w:pPr>
        <w:spacing w:after="0" w:line="16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fair value and gross unrealized losses of the corporate debt securities and asset-backed security were $12.9 million and $0.6 million, respectively, at December 31, 2018. These corporate debt securities and the asset-backed security were in an unrealized loss position for more than 12 months at December 31, 2018 and were deemed not to be other-than-temporarily impaired. The company does not intend to sell and is not required to sell these securities prior to maturity.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amortized cost and fair value of the corporate debt securities, asset-backed security, and municipal debt securities at December 31, 2018, by contractual maturity,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of 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between one and five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between five and ten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greater than ten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maintains additional investments in a diverse portfolio of mutual funds related to its non-qualified deferred compensation plans (note 12). The fair value of these securities was $52.7 million and $68.9 million at December 31, 2018 and 2017,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Revenue from Contracts with Customers. </w:t>
      </w:r>
      <w:r>
        <w:rPr>
          <w:rFonts w:ascii="Arial" w:cs="Arial" w:eastAsia="Arial" w:hAnsi="Arial"/>
          <w:sz w:val="18"/>
          <w:szCs w:val="18"/>
          <w:color w:val="auto"/>
        </w:rPr>
        <w:t>The majority of revenue consists of clearing and transaction fees. The company accounts for revenue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“Revenue from Contracts with Customers,” which was adopted on January 1, 2018, using the modified retrospective approach. The new standard introduces a framework for recognizing revenue that focuses on the transfer of control rather than risks and rewards. The company recognized a one-time adjustment of $8.7 million within the</w:t>
      </w:r>
    </w:p>
    <w:p>
      <w:pPr>
        <w:sectPr>
          <w:pgSz w:w="11900" w:h="16838" w:orient="portrait"/>
          <w:cols w:equalWidth="0" w:num="1">
            <w:col w:w="11420"/>
          </w:cols>
          <w:pgMar w:left="240" w:top="114"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14"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opening balance of retained earnings as of January 1, 2018 as a result of adopting this standard. This deferral of revenue is primarily related to the outstanding performance obligations for clearing and transaction fees for longer-term cleared swap products.</w:t>
      </w:r>
    </w:p>
    <w:p>
      <w:pPr>
        <w:spacing w:after="0" w:line="1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Clearing and transaction fees</w:t>
      </w:r>
      <w:r>
        <w:rPr>
          <w:rFonts w:ascii="Arial" w:cs="Arial" w:eastAsia="Arial" w:hAnsi="Arial"/>
          <w:sz w:val="17"/>
          <w:szCs w:val="17"/>
          <w:color w:val="auto"/>
        </w:rPr>
        <w:t>. Clearing and transaction fees include electronic trading fees and brokerage commissions, surcharges for privately-negotiated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the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These estimates are based on historical experience, anticipated performance, and best judgment at the time. Because of the company's certainty in estimating these amounts, they are included in the transaction price of contracts.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Market data and information services represents revenue from the dissemination of market data to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Other revenues include access and communication fees, fees for collateral management, fees for trade order routing through agreements from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relationships, as well as other post-trade services to customers and clearing firms. Access and communication fees are charges to members and clearing firms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CME to meet their minimum performance bond and guaranty fund obligations on the exchange. These fees are calculated based on daily collateral balances and are billed monthly. This fee revenue is recognized as billed as the customers receive and consume the benefits of the services.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122" w:right="25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disaggregation of revenue from contracts with customers for the years ended December 31, 2018, 2017 and 2016:</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rates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1,201.0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995.4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944.5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indexes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185.6</w:t>
            </w: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171.6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436.0</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716.2</w:t>
            </w: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699.5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200.2</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rate swap and credit default swap</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61.7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markets business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clearing and transaction fees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3,667.0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3,098.6</w:t>
            </w: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3,036.4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391.8</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154.3</w:t>
            </w: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152.3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4,309.4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3,644.7</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3,595.2</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Services transferred at a point in time</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3,561.5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3,052.1</w:t>
            </w: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2,991.6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579.9</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One-time charges and miscellaneous revenues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4,309.4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3,644.7</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3,595.2</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reported on the consolidated balance sheets on a contract-by-contract basis at the end of each reporting period. For annual licenses and upfront fee arrangements, the company generally bills customers upon contract execution. These payments are recognized as revenue over time as the obligations under the contracts are satisfied. In connection with the NEX acquisition on November 2, 2018, our contract liabilities balance reported an increase related to certain upfront billing arrangements for post-trade services. The contract liability balances during 2018 were not materially impacted by any other factors. The balance of contract liabilities was $44.4 million and $3.9 million as of December 31, 2018 and 2017,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PERFORMANCE BONDS AND GUARANTY FUND CONTRIBUTIONS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clearing house clears and guarantees the settlement of contracts traded in the futures and options and interest rate swap markets. In its guarantor role, the clearing house has precisely equal and offsetting claims to and from clearing firms on opposite sides of each contract, standing as an intermediary on every contract cleared. In the U.S., clearing firm positions are held according to Commodity and Futures Trading Commission (CFTC) regulatory account segregation standards. To the extent that funds are not otherwise available to satisfy an obligation under the applicable contract, the clearing house bears counterparty credit risk in the event that future market movements create conditions that could lead to clearing firms failing to meet their obligations to the clearing house. The clearing house reduces the exposure through risk management programs that include initial and ongoing financial standards for designation as a clearing firm, performance bond requirements, daily mark-to-market, mandatory guaranty fund contributions and intra-day monitoring.</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clearing firm is required to deposit and maintain balances in the form of cash, U.S. government securities, certain foreign government securities, bank letters of credit or other approved investments to satisfy performance bond and guaranty fund requirements. All non-cash deposits are marked-to-market and haircut on a daily basis. Securities deposited by the clearing firms are not reflected on the consolidated financial statements and the clearing house does not earn any interest on these deposits. These balances may fluctuate significantly over time due to investment choices available to clearing firms and changes in the amount of contributions required.</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clearing house marks-to-market open positions at least once a day (twice a day for futures and options contracts), and requires payment from clearing firms whose positions have lost value and make payments to clearing firms whose positions have gained value. The clearing house has the capability to mark-to-market more frequently as market conditions warrant.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extremely unlikely scenario of simultaneous default by every clearing firm who has open positions with unrealized losses, the maximum exposure related to positions other than interest rate swap contracts would be one half day of changes in fair value of all open positions, before considering the clearing house's ability to access defaulting clearing firms' collateral deposits. For cleared interest rate swap contracts, the maximum exposure related to CME's guarantee would be one full day of changes in fair value of all open positions, before considering CME's ability to access defaulting clearing firms' collateral. During 2018, the clearing house transferred an average of approximately $3.2 billion a day through the clearing system for settlement from clearing firms whose positions had lost value to clearing firms whose positions had gained value. The clearing house reduces the guarantee exposure through initial and maintenance performance bond requirements and mandatory guaranty fund contributions. The company believes that the guarantee liability is immaterial and therefore has not recorded any liability at December 31, 2018.</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CME has been designated as a systemically important financial market utility by the Financial Stability Oversight Council and maintains a cash account at the Federal Reserve Bank of Chicago. At December 31, 2018 and 2017, CME maintained $24.7 billion and $34.2 billion, respectively, within the cash account at the Federal Reserve Bank of Chicago. The cash deposit at the Federal Reserve Bank of Chicago is included within performance bonds and guaranty fund contributions on the consolidated balance sheets.</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Clearing firms, at their option, may instruct CME to deposit the cash or securities held by CME into one of the IEF programs. The total principal in the IEF programs was $3.1 billion at December 31, 2018 and $1.1 billion at December 31, 2017.</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CME and The Options Clearing Corporation (OCC) have a perpetual cross-margin arrangement, whereby a clearing firm may maintain a cross-margin account in which a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cross-margin account would be allocated 50% each to CME and OCC. The company believes that the guarantee liability is immaterial and therefore has not recorded any liability at December 31, 2018.</w:t>
      </w:r>
    </w:p>
    <w:p>
      <w:pPr>
        <w:spacing w:after="0" w:line="18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CME has perpetual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 The company believes that the guarantee liability is immaterial and therefore has not recorded any liability at December 31, 2018.</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CME clearing firm for futures and options is required to deposit and maintain specified guaranty fund contributions in the form of cash or approved securities. In the event that performance bonds, guaranty fund contributions and other assets required to support clearing membership of a defaulting CME clearing firm are inadequate to fulfill that clearing firm's outstanding financial obligation, the base guaranty fund for contracts other than interest rate swaps is available to cover potential losses after first utilizing $100.0 million of corporate contributions designated by CME to be used in the event of a default of a clearing firm for the base guaranty fund.</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CME maintains a separate guaranty fund to support the clearing firms that clear interest rate swap products. The funds for interest rate swaps are independent of the base guaranty fund and are isolated to clearing firms for products in the respective asset class. Each clearing firm for cleared interest rate swaps is required to deposit and maintain specified guaranty fund contributions in the form of cash or approved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CME maintains a 364-day multi-currency line of credit with a consortium of domestic and international banks to be used in certain situations by the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2018, guaranty fund contributions available for CME clearing firms were $7.4 billion. CME has the option to request an increase in the line from $7.0 billion to $10.0 billion, subject to the approval of participating banks. In addition to the 364-day fully secured, committed multi-currency line of credit, the company also has the option to use the $2.4 billion multi-currency revolving senior credit facility to provide liquidity for the clearing house in the unlikely event of default.</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CME is required under the Commodity Exchange Act in the United States to segregate cash and securities deposited by clearing firms on behalf of its customers. In addition, CME requires segregation of all funds deposited by its clearing firms from operating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Cash and non-cash deposits held as performance bonds and guaranty fund contributions at fair value at December 31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2018</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2017</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Non-Cash</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Deposits</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Deposits</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IEF Funds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IEF Funds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38,211.4</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102,264.8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41,809.5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86,730.4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Guaranty fund contributions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6,935.9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6,102.4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Performance bond collateral for delivery</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39,455.5</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109,403.0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44,185.3</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92,854.3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Cross-margin arrangements include collateral for the cross-margin accounts with OCC and FICC.</w:t>
      </w:r>
    </w:p>
    <w:p>
      <w:pPr>
        <w:spacing w:after="0" w:line="22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$206.8 million and $111.0 million at December 31, 2018 and 2017, respectively. Intraday settlements may be invested on an overnight basis and are offset by an equal liability owed to clearing firms.</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addition to cash, securities and other non-cash deposits, irrevocable letters of credit may be used as performance bond deposits for clearing firms. At December 31, these letters of credit, which are not included in the accompanying consolidated balance sheets,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 collateral for delivery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Letters of Credit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5,972.2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5,846.4</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cash, securities and letters of credit posted as performance bonds are only available to meet the financial obligations of that clearing firm to the clearing house.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680" w:type="dxa"/>
            <w:vAlign w:val="bottom"/>
            <w:shd w:val="clear" w:color="auto" w:fill="CCEEFF"/>
          </w:tcPr>
          <w:p>
            <w:pPr>
              <w:jc w:val="center"/>
              <w:ind w:left="13"/>
              <w:spacing w:after="0" w:line="270" w:lineRule="exact"/>
              <w:rPr>
                <w:sz w:val="20"/>
                <w:szCs w:val="20"/>
                <w:color w:val="auto"/>
              </w:rPr>
            </w:pPr>
            <w:r>
              <w:rPr>
                <w:rFonts w:ascii="Arial" w:cs="Arial" w:eastAsia="Arial" w:hAnsi="Arial"/>
                <w:sz w:val="18"/>
                <w:szCs w:val="18"/>
                <w:color w:val="auto"/>
                <w:w w:val="84"/>
              </w:rPr>
              <w:t xml:space="preserve">10 - 20 years </w:t>
            </w:r>
            <w:r>
              <w:rPr>
                <w:rFonts w:ascii="Arial" w:cs="Arial" w:eastAsia="Arial" w:hAnsi="Arial"/>
                <w:sz w:val="25"/>
                <w:szCs w:val="25"/>
                <w:color w:val="auto"/>
                <w:w w:val="84"/>
                <w:vertAlign w:val="superscript"/>
              </w:rPr>
              <w:t>(1)</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173.8</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90"/>
              </w:rPr>
              <w:t>3 - 39 years</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180.5</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3 - 24 years</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309.9</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86"/>
              </w:rPr>
              <w:t>2 - 7 years</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software 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404.3</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6"/>
              </w:rPr>
              <w:t>2 - 4 years</w:t>
            </w:r>
          </w:p>
        </w:tc>
        <w:tc>
          <w:tcPr>
            <w:tcW w:w="0" w:type="dxa"/>
            <w:vAlign w:val="bottom"/>
          </w:tcPr>
          <w:p>
            <w:pPr>
              <w:spacing w:after="0"/>
              <w:rPr>
                <w:sz w:val="1"/>
                <w:szCs w:val="1"/>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Total property</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1,076.3</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16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399.7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 Estimated useful life applies only to land improvements.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November 2, 2018, the company completed its acquisition of NEX. In connection with the acquisition, the company recognized goodwill and identifiable intangible assets. Amortizable intangible assets related to the acquisition include customer relationships, technology-related intellectual property and trade names. The values of goodwill and intangible assets are based on a preliminary purchase price allocation as of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5,862.5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(1,065.6)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4,796.9</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1,895.1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6,144.4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5,050.1</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40" w:hanging="652"/>
        <w:spacing w:after="0" w:line="254"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originally assigned useful lives for the amortizable intangible assets as of December 31, 2018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Clearing firm, market data and other customer relationships</w:t>
            </w:r>
          </w:p>
        </w:tc>
        <w:tc>
          <w:tcPr>
            <w:tcW w:w="4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5 - 30 years</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4020" w:type="dxa"/>
            <w:vAlign w:val="bottom"/>
          </w:tcPr>
          <w:p>
            <w:pPr>
              <w:jc w:val="right"/>
              <w:spacing w:after="0"/>
              <w:rPr>
                <w:sz w:val="20"/>
                <w:szCs w:val="20"/>
                <w:color w:val="auto"/>
              </w:rPr>
            </w:pPr>
            <w:r>
              <w:rPr>
                <w:rFonts w:ascii="Arial" w:cs="Arial" w:eastAsia="Arial" w:hAnsi="Arial"/>
                <w:sz w:val="18"/>
                <w:szCs w:val="18"/>
                <w:color w:val="auto"/>
              </w:rPr>
              <w:t>5 - 9 years</w:t>
            </w:r>
          </w:p>
        </w:tc>
      </w:tr>
      <w:tr>
        <w:trPr>
          <w:trHeight w:val="27"/>
        </w:trPr>
        <w:tc>
          <w:tcPr>
            <w:tcW w:w="734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3 - 24.5 years</w:t>
            </w:r>
          </w:p>
        </w:tc>
      </w:tr>
      <w:tr>
        <w:trPr>
          <w:trHeight w:val="27"/>
        </w:trPr>
        <w:tc>
          <w:tcPr>
            <w:tcW w:w="73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Total amortization expense for intangible assets was $130.0 million, $95.5 million and $96.1 million for the years ended December 31, 2018, 2017 and 2016, respectively. As of December 31, 2018, the future estimated amortization expense related to amortizable intangible assets is expected to be as follows: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3,464.9</w:t>
            </w:r>
          </w:p>
        </w:tc>
        <w:tc>
          <w:tcPr>
            <w:tcW w:w="0" w:type="dxa"/>
            <w:vAlign w:val="bottom"/>
          </w:tcPr>
          <w:p>
            <w:pPr>
              <w:spacing w:after="0"/>
              <w:rPr>
                <w:sz w:val="1"/>
                <w:szCs w:val="1"/>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w w:val="92"/>
              </w:rPr>
              <w:t>Goodwill activity consisted of the following for the years ended December 31, 2018 and 2017</w:t>
            </w:r>
            <w:r>
              <w:rPr>
                <w:rFonts w:ascii="Arial" w:cs="Arial" w:eastAsia="Arial" w:hAnsi="Arial"/>
                <w:sz w:val="16"/>
                <w:szCs w:val="16"/>
                <w:color w:val="auto"/>
                <w:w w:val="92"/>
              </w:rPr>
              <w: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24"/>
                <w:szCs w:val="2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Combinations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3,236.3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7,569.0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3,236.3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10,805.3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1"/>
                <w:szCs w:val="11"/>
                <w:color w:val="auto"/>
              </w:rPr>
            </w:pPr>
          </w:p>
        </w:tc>
        <w:tc>
          <w:tcPr>
            <w:tcW w:w="134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Combinations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7,569.0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on the consolidated balance sheets.</w:t>
      </w:r>
    </w:p>
    <w:p>
      <w:pPr>
        <w:spacing w:after="0" w:line="244"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Bursa Malaysia Derivatives Berhad. </w:t>
      </w:r>
      <w:r>
        <w:rPr>
          <w:rFonts w:ascii="Arial" w:cs="Arial" w:eastAsia="Arial" w:hAnsi="Arial"/>
          <w:sz w:val="16"/>
          <w:szCs w:val="16"/>
          <w:color w:val="auto"/>
        </w:rPr>
        <w:t>The company owns a 25% interest in Bursa Malaysia Derivatives Berhad (Bursa Malaysia), and accounts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in Bursa Malaysia using the equity method of accounting. The company's investment in Bursa Malaysia was $27.1 million at December 31, 2018. The company and Bursa Malaysia have entered into several agreements including agreements to provide licensing, order routing and trade matching services.</w:t>
      </w:r>
    </w:p>
    <w:p>
      <w:pPr>
        <w:spacing w:after="0" w:line="14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DME Holdings Limited. </w:t>
      </w:r>
      <w:r>
        <w:rPr>
          <w:rFonts w:ascii="Arial" w:cs="Arial" w:eastAsia="Arial" w:hAnsi="Arial"/>
          <w:sz w:val="16"/>
          <w:szCs w:val="16"/>
          <w:color w:val="auto"/>
        </w:rPr>
        <w:t>The company owns an approximate 50% interest in DME Holdings Limited (DME Holdings), and accounts for its investment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DME Holdings using the equity method of accounting. The company's investment in DME Holdings was $16.8 million at December 31, 2018. The company and DME Holdings maintain an agreement for Dubai Mercantile Exchange futures contracts to be exclusively traded on the CME Globex platform.</w:t>
      </w:r>
    </w:p>
    <w:p>
      <w:pPr>
        <w:spacing w:after="0" w:line="1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S&amp;P/DJI Indices LLC. </w:t>
      </w:r>
      <w:r>
        <w:rPr>
          <w:rFonts w:ascii="Arial" w:cs="Arial" w:eastAsia="Arial" w:hAnsi="Arial"/>
          <w:sz w:val="17"/>
          <w:szCs w:val="17"/>
          <w:color w:val="auto"/>
        </w:rPr>
        <w:t>The company owns a 27% interest in S&amp;P/Dow Jones Indices LLC (S&amp;P/DJI) and accounts for its investment in S&amp;P/DJI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equity method of accounting. The company's investment in S&amp;P/DJI was $987.7 million at December 31, 2018. The company has long-term exclusive licensing agreements with S&amp;P/DJI to list products based on the Standard &amp; Poor's Indices and Dow Jones Indices.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June 2018, the company completed offerings of $500.0 million of 3.75% fixed rate notes due June 2028 and $700.0 million of 4.15% fixed rate notes due June 2048. The company used the net proceeds from the offering, together with cash on hand, to finance the cash consideration for the acquisition of NEX in November 2018.</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November 2, 2018, the company completed its acquisition of NEX. As part of the acquisition, the company assumed euro-denominated fixed rate notes, an outstanding balance on a revolving credit facility denominated in British pounds and U.S. dollars and a term loan denominated in Japanese yen. Prior to December 31, 2018, the company paid down the outstanding balance on the revolving credit facility and the facility was terminated.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outstanding consisted of the following at December 31 (in U.S. dollar equivalent):</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€350.0 million fixed rate notes due March 2019, stated rate of 3.13%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83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¥19.1 billion term loan due March 2019, stated rate of 0.81%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5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8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0" w:lineRule="exact"/>
        <w:rPr>
          <w:sz w:val="20"/>
          <w:szCs w:val="20"/>
          <w:color w:val="auto"/>
        </w:rPr>
      </w:pPr>
    </w:p>
    <w:p>
      <w:pPr>
        <w:ind w:left="660" w:right="120" w:hanging="652"/>
        <w:spacing w:after="0" w:line="27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maintains a cross-currency swap contract, which swaps a euro-based stated interest rate of 3.13% for a pound-based interest rate of 4.40% and a euro-based principal repayment for a pound-based principal repayment on €250.0 million fixed rate notes.</w:t>
      </w:r>
    </w:p>
    <w:p>
      <w:pPr>
        <w:spacing w:after="0" w:line="172" w:lineRule="exact"/>
        <w:rPr>
          <w:rFonts w:ascii="Arial" w:cs="Arial" w:eastAsia="Arial" w:hAnsi="Arial"/>
          <w:sz w:val="16"/>
          <w:szCs w:val="16"/>
          <w:color w:val="auto"/>
        </w:rPr>
      </w:pPr>
    </w:p>
    <w:p>
      <w:pPr>
        <w:ind w:left="660" w:hanging="652"/>
        <w:spacing w:after="0"/>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maintains a hedge contract to fix the exchange rate for the maturing principal and interest at a fixed British pound to Japanese yen exchange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consisted of the following at December 31 (in U.S. dollar equivalent):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0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$750.0 million fixed rate notes due September 2022, stated rate of 3.00% </w:t>
      </w:r>
      <w:r>
        <w:rPr>
          <w:rFonts w:ascii="Arial" w:cs="Arial" w:eastAsia="Arial" w:hAnsi="Arial"/>
          <w:sz w:val="22"/>
          <w:szCs w:val="22"/>
          <w:color w:val="auto"/>
          <w:vertAlign w:val="superscript"/>
        </w:rPr>
        <w:t>(1)</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€15.0 million fixed rate notes due May 2023, stated rate of 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$750.0 million fixed rate notes due March 2025, stated rate of 3.00% </w:t>
      </w:r>
      <w:r>
        <w:rPr>
          <w:rFonts w:ascii="Arial" w:cs="Arial" w:eastAsia="Arial" w:hAnsi="Arial"/>
          <w:sz w:val="24"/>
          <w:szCs w:val="24"/>
          <w:color w:val="auto"/>
          <w:vertAlign w:val="superscript"/>
        </w:rPr>
        <w:t>(2)</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$500.0 million fixed rate notes due June 2028, stated rate of 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$750.0 million fixed rate notes due September 2043, stated rate of 5.30% </w:t>
      </w:r>
      <w:r>
        <w:rPr>
          <w:rFonts w:ascii="Arial" w:cs="Arial" w:eastAsia="Arial" w:hAnsi="Arial"/>
          <w:sz w:val="22"/>
          <w:szCs w:val="22"/>
          <w:color w:val="auto"/>
          <w:vertAlign w:val="superscript"/>
        </w:rPr>
        <w:t>(3)</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$700.0 million fixed rate notes due June 2048, stated rate of 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5"/>
          <w:szCs w:val="25"/>
          <w:color w:val="auto"/>
          <w:vertAlign w:val="superscript"/>
        </w:rPr>
        <w:t>(4)</w:t>
      </w:r>
    </w:p>
    <w:p>
      <w:pPr>
        <w:ind w:left="40"/>
        <w:spacing w:after="0"/>
        <w:rPr>
          <w:sz w:val="20"/>
          <w:szCs w:val="20"/>
          <w:color w:val="auto"/>
        </w:rPr>
      </w:pPr>
      <w:r>
        <w:rPr>
          <w:rFonts w:ascii="Arial" w:cs="Arial" w:eastAsia="Arial" w:hAnsi="Arial"/>
          <w:sz w:val="18"/>
          <w:szCs w:val="18"/>
          <w:color w:val="auto"/>
        </w:rPr>
        <w:t>Total long-term debt</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746.9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746.0</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744.9</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742.2</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3,826.8</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2,233.1</w:t>
            </w:r>
          </w:p>
        </w:tc>
      </w:tr>
      <w:tr>
        <w:trPr>
          <w:trHeight w:val="27"/>
        </w:trPr>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ectPr>
          <w:pgSz w:w="11900" w:h="16838" w:orient="portrait"/>
          <w:cols w:equalWidth="0" w:num="2">
            <w:col w:w="7640" w:space="720"/>
            <w:col w:w="3060"/>
          </w:cols>
          <w:pgMar w:left="240" w:top="122" w:right="239" w:bottom="1440" w:gutter="0" w:footer="0" w:header="0"/>
          <w:type w:val="continuous"/>
        </w:sectPr>
      </w:pPr>
    </w:p>
    <w:p>
      <w:pPr>
        <w:spacing w:after="0" w:line="30" w:lineRule="exact"/>
        <w:rPr>
          <w:sz w:val="20"/>
          <w:szCs w:val="20"/>
          <w:color w:val="auto"/>
        </w:rPr>
      </w:pPr>
    </w:p>
    <w:p>
      <w:pPr>
        <w:ind w:left="660" w:right="180" w:hanging="652"/>
        <w:spacing w:after="0" w:line="27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maintains a forward-starting interest rate swap agreement that modified the interest obligation associated with these notes so that the interest payable on the notes effectively became fixed at a rate of 3.32%.</w:t>
      </w:r>
    </w:p>
    <w:p>
      <w:pPr>
        <w:spacing w:after="0" w:line="172" w:lineRule="exact"/>
        <w:rPr>
          <w:rFonts w:ascii="Arial" w:cs="Arial" w:eastAsia="Arial" w:hAnsi="Arial"/>
          <w:sz w:val="16"/>
          <w:szCs w:val="16"/>
          <w:color w:val="auto"/>
        </w:rPr>
      </w:pPr>
    </w:p>
    <w:p>
      <w:pPr>
        <w:ind w:left="660" w:right="180" w:hanging="652"/>
        <w:spacing w:after="0" w:line="27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maintains a forward-starting interest rate swap agreement that modified the interest obligation associated with these notes so that the interest payable on the notes effectively became fixed at a rate of 3.11%.</w:t>
      </w:r>
    </w:p>
    <w:p>
      <w:pPr>
        <w:spacing w:after="0" w:line="172" w:lineRule="exact"/>
        <w:rPr>
          <w:rFonts w:ascii="Arial" w:cs="Arial" w:eastAsia="Arial" w:hAnsi="Arial"/>
          <w:sz w:val="16"/>
          <w:szCs w:val="16"/>
          <w:color w:val="auto"/>
        </w:rPr>
      </w:pPr>
    </w:p>
    <w:p>
      <w:pPr>
        <w:ind w:left="660" w:right="180" w:hanging="652"/>
        <w:spacing w:after="0" w:line="27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maintains a forward-starting interest rate swap agreement that modified the interest obligation associated with these notes so that the interest payable on the notes effectively became fixed at a rate of 4.73%.</w:t>
      </w:r>
    </w:p>
    <w:p>
      <w:pPr>
        <w:spacing w:after="0" w:line="172" w:lineRule="exact"/>
        <w:rPr>
          <w:rFonts w:ascii="Arial" w:cs="Arial" w:eastAsia="Arial" w:hAnsi="Arial"/>
          <w:sz w:val="16"/>
          <w:szCs w:val="16"/>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commercial paper is backed by the five-year multi-currency revolving credit facility.</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Commercial paper with an aggregate par value of $3.3 billion and maturities ranging from 3 to 23 days was issued during 2018. The weighted average discount rate of commercial paper outstanding at December 31, 2018 was 2.54%. The weighted average balance of commercial paper outstanding during the year was $122.6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(in U.S. dollar equivalent), were as follows as of December 31, 2018:</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2022</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1,140.0</w:t>
            </w:r>
          </w:p>
        </w:tc>
      </w:tr>
      <w:tr>
        <w:trPr>
          <w:trHeight w:val="27"/>
        </w:trPr>
        <w:tc>
          <w:tcPr>
            <w:tcW w:w="5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Commercial paper is considered to mature in 2022 because it is backed by the five-year multi-currency revolving credit facility, which expires in 2022.</w:t>
      </w:r>
    </w:p>
    <w:p>
      <w:pPr>
        <w:sectPr>
          <w:pgSz w:w="11900" w:h="16838" w:orient="portrait"/>
          <w:cols w:equalWidth="0" w:num="1">
            <w:col w:w="11420"/>
          </w:cols>
          <w:pgMar w:left="240" w:top="122" w:right="239"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is subject to regulation under a wide variety of U.S., federal, state and foreign tax laws and regulations. Income before income taxes and the income tax provision consisted of the following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Domestic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2,716.8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2,221.8</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w:t>
            </w:r>
          </w:p>
        </w:tc>
      </w:tr>
      <w:tr>
        <w:trPr>
          <w:trHeight w:val="237"/>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2,777.8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2,526.3</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2,287.6</w:t>
            </w:r>
          </w:p>
        </w:tc>
      </w:tr>
      <w:tr>
        <w:trPr>
          <w:trHeight w:val="67"/>
        </w:trPr>
        <w:tc>
          <w:tcPr>
            <w:tcW w:w="65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684.4</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118.6</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r>
      <w:tr>
        <w:trPr>
          <w:trHeight w:val="237"/>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836.5</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(2,576.3)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(2,445.6)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Income Tax Provision (Benefit)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814.1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(1,537.1)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753.5</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7040" w:type="dxa"/>
            <w:vAlign w:val="bottom"/>
            <w:gridSpan w:val="3"/>
          </w:tcPr>
          <w:p>
            <w:pPr>
              <w:spacing w:after="0"/>
              <w:rPr>
                <w:sz w:val="20"/>
                <w:szCs w:val="20"/>
                <w:color w:val="auto"/>
              </w:rPr>
            </w:pPr>
            <w:r>
              <w:rPr>
                <w:rFonts w:ascii="Arial" w:cs="Arial" w:eastAsia="Arial" w:hAnsi="Arial"/>
                <w:sz w:val="18"/>
                <w:szCs w:val="18"/>
                <w:color w:val="auto"/>
                <w:w w:val="92"/>
              </w:rPr>
              <w:t>Reconciliation of the statutory U.S. federal income tax rate to the effective tax rate is as follows: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7"/>
        </w:trPr>
        <w:tc>
          <w:tcPr>
            <w:tcW w:w="6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benefit</w:t>
            </w:r>
          </w:p>
        </w:tc>
        <w:tc>
          <w:tcPr>
            <w:tcW w:w="28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3.7</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Increase (decrease) in domestic valuation allowance</w:t>
            </w:r>
          </w:p>
        </w:tc>
        <w:tc>
          <w:tcPr>
            <w:tcW w:w="280" w:type="dxa"/>
            <w:vAlign w:val="bottom"/>
          </w:tcPr>
          <w:p>
            <w:pPr>
              <w:spacing w:after="0"/>
              <w:rPr>
                <w:sz w:val="21"/>
                <w:szCs w:val="21"/>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(4.7)</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revised state and local apportionment estimates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Reclassification of accumulated other comprehensive income</w:t>
            </w:r>
          </w:p>
        </w:tc>
        <w:tc>
          <w:tcPr>
            <w:tcW w:w="280" w:type="dxa"/>
            <w:vAlign w:val="bottom"/>
          </w:tcPr>
          <w:p>
            <w:pPr>
              <w:spacing w:after="0"/>
              <w:rPr>
                <w:sz w:val="21"/>
                <w:szCs w:val="21"/>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2017 Tax Act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Expense (Benefit) Rate</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 2018, the effective rate was higher than the statutory tax rate primarily due to the NEX acquisition impact on state tax expense.</w:t>
      </w:r>
    </w:p>
    <w:p>
      <w:pPr>
        <w:spacing w:after="0" w:line="17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In 2017, the effective rate was lower than the statutory tax rate due to the remeasurement of the deferred tax liabilities as a result of the 2017 Tax Act. This decrease was partially offset by an increase in the state apportionment impact of the Illinois income tax rate change on deferred tax liabilities as well as the reclassification of income tax expense from accumulated other comprehensive income related to the disposal of BM&amp;FBOVESPA shares.</w:t>
      </w:r>
    </w:p>
    <w:p>
      <w:pPr>
        <w:spacing w:after="0" w:line="9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2016, the effective rate was lower than the statutory tax rate largely due to the release of the valuation allowances related to the sale of BM&amp;FBOVESPA shares. The decrease was partially offset by an increase in state tax expense and the state apportionment impact on deferred tax liabilities.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deferred income tax assets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compensation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(4,902.2)</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deferred income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(4,902.2)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Reported as: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non-current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non-current deferred tax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(4,857.7)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At December 31, 2018 and 2017, the company had domestic and foreign income tax loss carry forwards of $226.0 million and $73.3 million, respectively. These amounts primarily related to losses from the acquisition of NEX Group plc, Swapstream Limited and its affiliates, the acquisition of Pivot, Inc., losses incurred in the operation of various foreign entities and capital losses from the sales of securities. At December 31, 2018 and 2017, the company determined that it was not more-likely-than-not that deferred income tax assets related to the acquisition of Swapstream Limited and its affiliates and other deferred income tax assets created from the start-up of various foreign operations will be fully realized.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a result, valuation allowances of $10.7 million and $11.2 million were recorded at December 31,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252.1</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10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367.9</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276.0</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216.1</w:t>
            </w:r>
          </w:p>
        </w:tc>
      </w:tr>
      <w:tr>
        <w:trPr>
          <w:trHeight w:val="27"/>
        </w:trPr>
        <w:tc>
          <w:tcPr>
            <w:tcW w:w="6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interest and penalties related to uncertain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63.5</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Interest and penalties recognized on the consolidated statements of income</w:t>
            </w:r>
          </w:p>
        </w:tc>
        <w:tc>
          <w:tcPr>
            <w:tcW w:w="10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29.5</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it is reasonably possible that within the next twelve months, unrecognized tax benefits will change by a significant amount.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Unrecognized tax benefits acquired at date of acquisition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Reductions resulting from the lapse of statutes of limitations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with taxing authorities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252.1</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is subject to U.S. federal income tax as well as income taxes in Illinois and multiple other state, local and foreign jurisdictions. As of December 31, 2018, substantially all federal and state income tax matters had been concluded through 2007 and 2006,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CME maintains a non-contributory defined benefit cash balance pension plan for eligible employees. CME's plan provides for a pay-based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Actuarial (gain) loss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273.9</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accumulated benefit obligation was $240.9 million and $245.4 million at December 31,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fair value of plan assets: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major category of plan assets as of December 31 is indicated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Fixed income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83.6</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Foreign equity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At December 31, 2018 and 2017, the fair value of pension plan assets exceeded the projected benefit obligation by $50.7 million and $74.1 million, respectively, and the excess was recorded as a non-current pension asset in other assets.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CME's funding goal is to have its pension plan 100% funded at each year-end on a projected benefit obligation basis, while also satisfying any minimum required contribution and obtaining the maximum tax deduction. Year-end 2018 assumptions have been used to project the assets and liabilities from December 31, 2018 to December 31, 2019. The result of this projection is that estimated liabilities would not exceed the fair value of the plan assets at December 31, 2019. Accordingly, the company anticipates based on this projection that no additional contribution in 2019 will be necessary for it to meet its funding goal. However, the amount of the actual contribution is contingent on various factors, including the actual rate of return on the plan assets during 2019 and the December 31, 2019 discount rate.</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are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net actuarial loss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Net Pension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14.5</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Assumptions Used to Determine End-of-Year Benefit Obligation:</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Cash balance interest crediting rate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crediting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2018</w:t>
            </w: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49.1%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2.5</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27.5</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29.9</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18.5</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16.9</w:t>
            </w:r>
          </w:p>
        </w:tc>
      </w:tr>
      <w:tr>
        <w:trPr>
          <w:trHeight w:val="459"/>
        </w:trPr>
        <w:tc>
          <w:tcPr>
            <w:tcW w:w="6680" w:type="dxa"/>
            <w:vAlign w:val="bottom"/>
          </w:tcPr>
          <w:p>
            <w:pPr>
              <w:spacing w:after="0"/>
              <w:rPr>
                <w:sz w:val="20"/>
                <w:szCs w:val="20"/>
                <w:color w:val="auto"/>
              </w:rPr>
            </w:pPr>
            <w:r>
              <w:rPr>
                <w:rFonts w:ascii="Arial" w:cs="Arial" w:eastAsia="Arial" w:hAnsi="Arial"/>
                <w:sz w:val="18"/>
                <w:szCs w:val="18"/>
                <w:color w:val="auto"/>
              </w:rPr>
              <w:t>The range of target allocation percentages for 2019 is as follows: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5"/>
        </w:trPr>
        <w:tc>
          <w:tcPr>
            <w:tcW w:w="6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Minimum</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Maximum</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50.0%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large-cap equity</w:t>
            </w:r>
          </w:p>
        </w:tc>
        <w:tc>
          <w:tcPr>
            <w:tcW w:w="3340" w:type="dxa"/>
            <w:vAlign w:val="bottom"/>
          </w:tcPr>
          <w:p>
            <w:pPr>
              <w:jc w:val="right"/>
              <w:ind w:right="213"/>
              <w:spacing w:after="0"/>
              <w:rPr>
                <w:sz w:val="20"/>
                <w:szCs w:val="20"/>
                <w:color w:val="auto"/>
              </w:rPr>
            </w:pPr>
            <w:r>
              <w:rPr>
                <w:rFonts w:ascii="Arial" w:cs="Arial" w:eastAsia="Arial" w:hAnsi="Arial"/>
                <w:sz w:val="18"/>
                <w:szCs w:val="18"/>
                <w:color w:val="auto"/>
              </w:rPr>
              <w:t>10.0%</w:t>
            </w:r>
          </w:p>
        </w:tc>
        <w:tc>
          <w:tcPr>
            <w:tcW w:w="14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mid-cap equity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5.0</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small-cap equity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5.0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10.0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developed equity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small-cap equity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5.0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Emerging markets equity</w:t>
            </w:r>
          </w:p>
        </w:tc>
        <w:tc>
          <w:tcPr>
            <w:tcW w:w="33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w:t>
            </w:r>
          </w:p>
        </w:tc>
      </w:tr>
      <w:tr>
        <w:trPr>
          <w:trHeight w:val="27"/>
        </w:trPr>
        <w:tc>
          <w:tcPr>
            <w:tcW w:w="66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times, the company may determine that it is necessary to place some assets in cash equivalent investments in order to pay expected plan liabilities. Given this, the actual asset allocation for the plan may not fall within the target allocation ranges from time to time.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or Moody's.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pre-tax balance and activity of actuarial losses for the pension plan, which are included in other comprehensive income (loss), for 2018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92"/>
        </w:trPr>
        <w:tc>
          <w:tcPr>
            <w:tcW w:w="99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Unrecognized net loss</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as a component of net pension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expects to amortize $4.6 million of actuarial loss and prior service costs from accumulated other comprehensive income (loss) into net periodic benefit costs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anticipated benefit payments from the plan in future years are as follows:</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8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2020</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2022</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2024-2028</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120.3</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2" w:right="2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and have the option to contribute to this plan. CME matches employee contributions up to 3% of the employee's base salary and may make additional discretionary contributions.</w:t>
      </w:r>
    </w:p>
    <w:p>
      <w:pPr>
        <w:spacing w:after="0" w:line="1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to the plan for U.S. employees, the company maintains defined contribution savings plans for employees in international locations, including employees for NEX beginning on November 3, 2018.</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Aggregate expense for all of the defined contribution savings plans amounted to $13.8 million, $11.8 million and $11.3 million in 2018, 2017 and 2016, respectively.</w:t>
      </w:r>
    </w:p>
    <w:p>
      <w:pPr>
        <w:spacing w:after="0" w:line="166"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b w:val="1"/>
          <w:bCs w:val="1"/>
          <w:color w:val="auto"/>
        </w:rPr>
        <w:t xml:space="preserve">CME Non-Qualified Plans. </w:t>
      </w:r>
      <w:r>
        <w:rPr>
          <w:rFonts w:ascii="Arial" w:cs="Arial" w:eastAsia="Arial" w:hAnsi="Arial"/>
          <w:sz w:val="16"/>
          <w:szCs w:val="16"/>
          <w:color w:val="auto"/>
        </w:rPr>
        <w:t>CME maintains non-qualified plans, under which participants may make assumed investment choices with respect to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contributed on their behalf. Although not required to do so, CME invests such contributions in assets that mirror the assumed investment choices. The balances in these plans are subject to the claims of general creditors of the company and totaled $52.7 million and $68.9 million at December 31, 2018 and 2017 respectively. Although the value of the plans is recorded as an asset in marketable securities on the consolidated balance sheets, there is an equal and offsetting liability. The investment results of these plans have no impact on net income as the investment results are recorded in equal amounts to both investment income and compensation and benefits expense. The non-qualified plans include the following:</w:t>
      </w:r>
    </w:p>
    <w:p>
      <w:pPr>
        <w:spacing w:after="0" w:line="16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 xml:space="preserve">Supplemental Savings Plan. </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Employees in this plan are subject to the vesting requirements of the underlying qualified plans.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A deferred compensation plan is maintained by CME, under which eligible employees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COMEX Members' Retirement Plan and Benefits. </w:t>
      </w:r>
      <w:r>
        <w:rPr>
          <w:rFonts w:ascii="Arial" w:cs="Arial" w:eastAsia="Arial" w:hAnsi="Arial"/>
          <w:sz w:val="17"/>
          <w:szCs w:val="17"/>
          <w:color w:val="auto"/>
        </w:rPr>
        <w:t>COMEX maintains a non-qualified retirement and benefit plan under the COMEX MRRP. This plan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provides benefits to certain members of the COMEX division based on long-term membership, and participation is limited to individuals who were COMEX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division members prior to NYMEX's acquisition of COMEX in 1994. No new participants were permitted into the plan after the date of this acquisition. All</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benefits to be paid under the MRRP are based on reasonable actuarial assumptions which are based upon the amounts that are available and are expected to be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available to pay benefits. There were no contributions to the plan in 2018 and 2017. Total contributions to the plan were $3.0 million in 2016.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2017, the obligation for the MRRP totaled $16.5 million and $18.6 million, respectively. Assets with a fair value of $19.2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$21.6 million have been allocated to this plan at December 31, 2018 and 2017, respectively, and are included in marketable securities and cash and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equivalents on the consolidated balance sheets. The balances in this plan are subject to the claims of general creditors of COMEX.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CME Group has entered into various non-cancellable operating lease agreements, with the most significant being as follows:</w:t>
      </w:r>
    </w:p>
    <w:p>
      <w:pPr>
        <w:spacing w:after="0" w:line="133" w:lineRule="exact"/>
        <w:rPr>
          <w:sz w:val="20"/>
          <w:szCs w:val="20"/>
          <w:color w:val="auto"/>
        </w:rPr>
      </w:pPr>
    </w:p>
    <w:p>
      <w:pPr>
        <w:ind w:left="660" w:right="2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connection with the NEX acquisition, we assumed the leasing arrangements associated with office space in New York and London. The New York office lease expires in October 2032, and includes options for lease term extension as well as space expansion to other floors within the building. For the two London offices, Broadgate expires in April 2019 whereas the London Fruit and Wool Exchange lease expires in April 2038, subject to a renewal option.</w:t>
      </w:r>
    </w:p>
    <w:p>
      <w:pPr>
        <w:spacing w:after="0" w:line="186"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March 2016, the company sold its datacenter and leased back a portion of the property. The sale leaseback transaction was recognized under the financing method and not as a sale leaseback arrangement. The operating lease, which has an initial lease term ending in March 2031, contains two consecutive renewal options for five years.</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November 2013, the company sold a building in New York and leased back a portion of the property. The operating lease, which has an initial lease term ending on December 31, 2028, contains two consecutive renewal options for five years.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April 2012, the company sold two buildings in Chicago at 141 W. Jackson and leased back a portion of the property. The operating lease, which has an initial lease term ending on April 30, 2027, contains four consecutive renewal options for five years.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January 2011, the company entered into an operating lease for office space in London. The initial lease term terminates on March 24, 2026, with an option to terminate without penalty in January 2021.</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20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maintains an operating lease for its headquarters at 20 South Wacker Drive in Chicago. In January 2018, the company signed a lease extension. The new lease expires in 2032 and contains two consecutive renewal options for five years each.</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August 2006, the company entered into an operating lease for additional office space in Chicago. The initial lease term ends on November 30, 2023. The lease contains two 5-year renewal options beginning in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payments under non-cancellable operating leases were payable as follows (in millions):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76.6</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78.7</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586.2</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974.4</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$48.1 million in 2018, $41.7 million in 2017 and $47.9 million in 2016.</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material contractual purchase obligations that are non-cancellable. Purchase obligations relate to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licensing, hardware, software and maintenance as well as telecommunication services. At December 31, 2018, future minimum payments due under purchase obligations were payable as follows (in millions):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4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2003, the U.S. Futures Exchange, L.L.C. (Eurex U.S.) and U.S. Exchange Holdings, Inc. filed suit in federal court alleging that CBOT and CME violated the antitrust laws and tortuously interfered with the business relationship and contract between Eurex U.S. and The Clearing Corporation. On October 31, 2018, the Court granted CBOT's and CME's motion for summary judgment and dismissed the case in its entirety. Eurex has appealed this decision.</w:t>
      </w:r>
    </w:p>
    <w:p>
      <w:pPr>
        <w:spacing w:after="0" w:line="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accrual was required for legal and regulatory matters as none were probable and estimable as of December 31, 2018 and 2017.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GUARANTEES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2019.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its intent to terminate. CME can maintain collateral in the form of U.S. Treasury securities or irrevocable, standby letters of credit. At December 31, 2018, CME was contingently liable to SGX on irrevocable letters of credit totaling $285.0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December 31, 2018.</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Family Farmer and Rancher Protection Fund. </w:t>
      </w:r>
      <w:r>
        <w:rPr>
          <w:rFonts w:ascii="Arial" w:cs="Arial" w:eastAsia="Arial" w:hAnsi="Arial"/>
          <w:sz w:val="16"/>
          <w:szCs w:val="16"/>
          <w:color w:val="auto"/>
        </w:rPr>
        <w:t>In 2012, the company established the Family Farmer and Rancher Protection Fund (the Fund). The Fund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has an aggregate maximum payment amount of $100.0 million. Since its establishment, the Fund has made payments of approximately $2.0 million, which leaves $98.0 million available for future claims. If payments to participants were to exceed this amount,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authorized</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1,000,000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A common stock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356,824</w:t>
            </w:r>
          </w:p>
        </w:tc>
        <w:tc>
          <w:tcPr>
            <w:tcW w:w="1000" w:type="dxa"/>
            <w:vAlign w:val="bottom"/>
          </w:tcPr>
          <w:p>
            <w:pPr>
              <w:jc w:val="right"/>
              <w:spacing w:after="0"/>
              <w:rPr>
                <w:sz w:val="20"/>
                <w:szCs w:val="20"/>
                <w:color w:val="auto"/>
              </w:rPr>
            </w:pPr>
            <w:r>
              <w:rPr>
                <w:rFonts w:ascii="Arial" w:cs="Arial" w:eastAsia="Arial" w:hAnsi="Arial"/>
                <w:sz w:val="18"/>
                <w:szCs w:val="18"/>
                <w:color w:val="auto"/>
              </w:rPr>
              <w:t>339,235</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B-1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B-2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0.8</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B-3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B-4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0.4</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221"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Associated Trading Rights. </w:t>
      </w:r>
      <w:r>
        <w:rPr>
          <w:rFonts w:ascii="Arial" w:cs="Arial" w:eastAsia="Arial" w:hAnsi="Arial"/>
          <w:sz w:val="17"/>
          <w:szCs w:val="17"/>
          <w:color w:val="auto"/>
        </w:rPr>
        <w:t>Members of CME, CBOT, NYMEX and COMEX own or lease trading rights which entitle them to access open outcry trading,</w:t>
      </w:r>
      <w:r>
        <w:rPr>
          <w:rFonts w:ascii="Arial" w:cs="Arial" w:eastAsia="Arial" w:hAnsi="Arial"/>
          <w:sz w:val="17"/>
          <w:szCs w:val="17"/>
          <w:b w:val="1"/>
          <w:bCs w:val="1"/>
          <w:color w:val="auto"/>
        </w:rPr>
        <w:t xml:space="preserve"> </w:t>
      </w:r>
      <w:r>
        <w:rPr>
          <w:rFonts w:ascii="Arial" w:cs="Arial" w:eastAsia="Arial" w:hAnsi="Arial"/>
          <w:sz w:val="17"/>
          <w:szCs w:val="17"/>
          <w:color w:val="auto"/>
        </w:rPr>
        <w:t>discounts on trading fees and the right to vote on certain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the election of six members to the board of directors and approval rights with respect to the core rights described below.</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17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Core Rights. </w:t>
      </w:r>
      <w:r>
        <w:rPr>
          <w:rFonts w:ascii="Arial" w:cs="Arial" w:eastAsia="Arial" w:hAnsi="Arial"/>
          <w:sz w:val="18"/>
          <w:szCs w:val="18"/>
          <w:color w:val="auto"/>
        </w:rPr>
        <w:t>Holders of CME Group Class B common shares have the right to approve changes in specified rights relating to the trading privileges at CME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approval of a majority of the votes cast by the holders of shares of Class B common stock is required in order to approve any changes to core rights.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of shares of Class A common stock do not have the right to vote on changes to core rights.</w:t>
      </w:r>
    </w:p>
    <w:p>
      <w:pPr>
        <w:spacing w:after="0" w:line="207"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CME Group common stock vote</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on all matters for which a vote of common shareholders is required. In these votes, each holder of shares of Class A or Class B common stock of CME Group has one vote per share.</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Group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These transfer restrictions prohibit the sale or transfer of any shares of Class B common stock separate from the sale of the associated trading rights.</w:t>
      </w:r>
    </w:p>
    <w:p>
      <w:pPr>
        <w:spacing w:after="0" w:line="176"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Election of Directors. </w:t>
      </w:r>
      <w:r>
        <w:rPr>
          <w:rFonts w:ascii="Arial" w:cs="Arial" w:eastAsia="Arial" w:hAnsi="Arial"/>
          <w:sz w:val="17"/>
          <w:szCs w:val="17"/>
          <w:color w:val="auto"/>
        </w:rPr>
        <w:t>The CME Group Board of Directors is currently comprised of 21 members. Holders of Class B-1, Class B-2 and Class B-3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15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CME Group board of directors.</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40.2 million Class A common stock shares have been reserved for awards under the plan. Awards totaling 24.2 million shares have been granted and are outstanding or have been exercised under this plan at December 31, 2018 (note 17).</w:t>
      </w:r>
    </w:p>
    <w:p>
      <w:pPr>
        <w:spacing w:after="0" w:line="176"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625,000 Class A shares have been reserved under this plan, and approximately 383,000 shares have been awarded through December 31, 2018.</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500,000 Class A shares have been reserved under this plan, of which approximately 282,000 shares have been purchased through December 31, 2018 (note 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PAYMENTS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40.2 million Class A shares have been reserved for awards under the plan. Awards totaling 24.2 million shares have been granted and are outstanding or have been exercised under the plan as of December 31, 2018. Awards granted generally vest over a four-year period, with 25% vesting one year after the grant date and on that same date in each of the following three years.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compensation expense for stock-based payments and total income tax benefit recognized on the consolidated statements of income for stock-based awards were as follows: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66.4</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25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27.5</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42.6</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38.6</w:t>
            </w:r>
          </w:p>
        </w:tc>
      </w:tr>
    </w:tbl>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At December 31, 2018, there was $138.3 million of total unrecognized compensation expense related to employee stock-based compensation arrangements that had not yet vested. The total unrecognized expense is expected to be recognized over a weighted average period of 2.0 years.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Stock options have not been granted since 2012. The following table summarizes stock option activity for 2018. Aggregate intrinsic value is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20" w:type="dxa"/>
            <w:vAlign w:val="bottom"/>
          </w:tcPr>
          <w:p>
            <w:pPr>
              <w:jc w:val="center"/>
              <w:ind w:left="404"/>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 (in</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572,976</w:t>
            </w:r>
          </w:p>
        </w:tc>
        <w:tc>
          <w:tcPr>
            <w:tcW w:w="122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(175,224)</w:t>
            </w:r>
          </w:p>
        </w:tc>
        <w:tc>
          <w:tcPr>
            <w:tcW w:w="122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1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2018</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397,227</w:t>
            </w:r>
          </w:p>
        </w:tc>
        <w:tc>
          <w:tcPr>
            <w:tcW w:w="1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55</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51"/>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December 31, 2018</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397,227</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during 2018, 2017 and 2016 was $17.8 million, $20.4 million and $19.9 million, respectively.</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2018, the company granted 334,634 shares of restricted Class A common stock and 7,696 shares of restricted stock units. Restricted common stock and restricted stock units generally have a vesting period of two to four years. The fair value related to these grants was $59.2 million, which is recognized as compensation expense on an accelerated basis over the vesting period. Dividends are accrued on restricted Class A common stock and restricted stock units and are paid once the restricted stock vests. In 2018, the company also granted 171,447 performance shares. The fair value related to these grants was $31.1 million, which is recognized as compensation expense on a straight-lined basis over the vesting period. The vesting of these shares is contingent on meeting stated performance or market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restricted stock units, and performance shares activity for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1,559,231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513,777</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(449,012)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(262,768)</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1,361,228</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fair value of restricted stock, restricted stock units, and performance shares that vested during 2018, 2017 and 2016 was $76.6 million, $66.0 million and $59.8 million, respectively.</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Under the ESPP, 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2018, 2017 and 2016, a total of 22,249, 19,936 and 19,858 shares, respectively, of Class A common stock were issued to participating employees. These shares are subject to a six-month holding period. Annual expense of $0.4 million for the purchase discount was recognized in 2018, $0.3 million was recognized in 2017 and $0.2 million was recognized in 2016.</w:t>
      </w:r>
    </w:p>
    <w:p>
      <w:pPr>
        <w:spacing w:after="0" w:line="17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During 2018, the board approved an increase in non-executive director compensation. In 2018, non-executive directors received a pro rata annual award of Class A common stock with a value equal to $115,000. Non-executive directors also could elect to receive some or all of the cash portion of their annual stipend, up to $75,000, in shares of stock based on the closing price at the date of distribution. As a result, 16,640 shares, 19,736 shares and 26,439 shares of Class A common stock were issued to non-executive directors during 2018, 2017 and 2016, respectively. These shares are not subject to any vesting restrictions. Expense of $2.6 million, $2.5 million and $2.4 million related to these stock-based payments was recognized for the years ended December 31, 2018, 2017 and 2016, respectively. Beginning in 2019, non-executive directors will receive an annual award of Class A common stock with a value equal to $120,000 and also may elect to receive some or all of the cash portion of their annual stipend, up to $80,000, in shares of stock.</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2" w:right="23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Impact of adoption of standards update on tax effects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related to accumulated other comprehensive income</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MEASUREMENTS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98" w:lineRule="exact"/>
        <w:rPr>
          <w:sz w:val="20"/>
          <w:szCs w:val="20"/>
          <w:color w:val="auto"/>
        </w:rPr>
      </w:pPr>
    </w:p>
    <w:p>
      <w:pPr>
        <w:ind w:left="660" w:right="40" w:hanging="328"/>
        <w:spacing w:after="0" w:line="271"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28" w:lineRule="exact"/>
        <w:rPr>
          <w:rFonts w:ascii="Arial" w:cs="Arial" w:eastAsia="Arial" w:hAnsi="Arial"/>
          <w:sz w:val="22"/>
          <w:szCs w:val="22"/>
          <w:color w:val="auto"/>
        </w:rPr>
      </w:pPr>
    </w:p>
    <w:p>
      <w:pPr>
        <w:ind w:left="660" w:right="8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18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Level 1 assets and liabilities generally include investments in publicly traded mutual funds, equity securities, corporate debt securities and certain debt notes with quoted market prices. In general, the company uses quoted prices in active markets for identical assets to determine the fair value of marketable securities.</w:t>
      </w:r>
    </w:p>
    <w:p>
      <w:pPr>
        <w:spacing w:after="0" w:line="12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Assets and liabilities included in level 2 generally consist of asset-backed securities, derivative contracts, certain privately-held equity investments and debt notes. Asset-backed securities are measured at fair value based on matrix pricing using prices of similar securities with similar inputs such as maturity dates, interest rates and credit ratings. Derivative contracts, including a foreign currency cross-currency swap on euro-based debt and a hedge to fix the exchange rate on maturing principal and interest payments for the Yen-based debt, were measured at fair value using standard valuation models with market-based observable inputs including forward exchange rates and interest rate curves. The fair values of the equity investments were based on quoted market prices for similar assets and long-term debt notes were based on quoted market prices in an inactive market. The derivative contracts outstanding are recognized within other current assets and other current liabilities on the consolidated balance sheets.</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Level 3 liabilities include contingent consideration. The contingent consideration liabilities are considered level 3 liabilities because management used significant unobservable inputs, including discount rates of 4%. The fair value of the liabilities are determined using a discounted cash flow model to calculate the present value of the expected future payouts. Significant changes in these observable inputs may have a material impact on the fair value of the contingent consideration liabilities as these amounts affect the timing and extent of cash flows under contract. Changes to the discount rate assumption do not have a material impact on the fair value of the liability. Under the valuation model, the estimated fair values ranged from $0.4 million to $17.5 million, depending on assumptions used. Level 3 assets also include certain intangible assets, fixed assets and privately-held equity investments that were impaired. Changes in the fair value of the contingent consideration flow through the income statement.</w:t>
      </w:r>
    </w:p>
    <w:p>
      <w:pPr>
        <w:spacing w:after="0" w:line="15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Recurring Fair Value Measurements. </w:t>
      </w:r>
      <w:r>
        <w:rPr>
          <w:rFonts w:ascii="Arial" w:cs="Arial" w:eastAsia="Arial" w:hAnsi="Arial"/>
          <w:sz w:val="16"/>
          <w:szCs w:val="16"/>
          <w:color w:val="auto"/>
        </w:rPr>
        <w:t>Financial assets and liabilities recorded at fair value on the consolidated balance sheets as of December 31, 2018 and</w:t>
      </w:r>
      <w:r>
        <w:rPr>
          <w:rFonts w:ascii="Arial" w:cs="Arial" w:eastAsia="Arial" w:hAnsi="Arial"/>
          <w:sz w:val="16"/>
          <w:szCs w:val="16"/>
          <w:i w:val="1"/>
          <w:iCs w:val="1"/>
          <w:color w:val="auto"/>
        </w:rPr>
        <w:t xml:space="preserve"> </w:t>
      </w:r>
      <w:r>
        <w:rPr>
          <w:rFonts w:ascii="Arial" w:cs="Arial" w:eastAsia="Arial" w:hAnsi="Arial"/>
          <w:sz w:val="16"/>
          <w:szCs w:val="16"/>
          <w:color w:val="auto"/>
        </w:rPr>
        <w:t>2017 were classified in their entirety based on the lowest level of input that was significant to each asset or liability's fair value measurement.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December 31, 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72.9</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Contracts</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110.6</w:t>
            </w: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Derivative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757"/>
        </w:trPr>
        <w:tc>
          <w:tcPr>
            <w:tcW w:w="102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68.9</w:t>
            </w: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0.3</w:t>
            </w:r>
          </w:p>
        </w:tc>
      </w:tr>
      <w:tr>
        <w:trPr>
          <w:trHeight w:val="27"/>
        </w:trPr>
        <w:tc>
          <w:tcPr>
            <w:tcW w:w="10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90.1</w:t>
            </w: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level 3 assets or liabilities valued at fair value on a recurring basis during 2018 and 2017.</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Non-Recurring Fair Value Measurements. </w:t>
      </w:r>
      <w:r>
        <w:rPr>
          <w:rFonts w:ascii="Arial" w:cs="Arial" w:eastAsia="Arial" w:hAnsi="Arial"/>
          <w:sz w:val="18"/>
          <w:szCs w:val="18"/>
          <w:color w:val="auto"/>
        </w:rPr>
        <w:t>During 2018, the company recognized mark-to-market increases in fair value of $82.6 million related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privately-held equity investments based on observable market price changes for an identical or similar investment of the same issuer. The fair values of these investments totaled $92.6 million and were considered level 2 and nonrecurring.</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2018, the company recognized impairment charges totaling $13.4 million on the intangible assets and certain fixed assets related to our operations of Pivot, Inc as well as other software assets. The fair value of the intangible assets and fixed assets were estimated to be zero at the impairment date. During 2018, the company also recognized impairment charges of $4.7 million related to some of its privately-held equity investments. The fair values of the investments were estimated to be zero at the impairment date. All of these assessments were based on qualitative indications of impairment. The fair values of the intangible assets, fixed assets and privately-held equity investment are considered level 3 and non-recurring.</w:t>
      </w:r>
    </w:p>
    <w:p>
      <w:pPr>
        <w:spacing w:after="0" w:line="14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Fair Values of Debt Notes. </w:t>
      </w:r>
      <w:r>
        <w:rPr>
          <w:rFonts w:ascii="Arial" w:cs="Arial" w:eastAsia="Arial" w:hAnsi="Arial"/>
          <w:sz w:val="18"/>
          <w:szCs w:val="18"/>
          <w:color w:val="auto"/>
        </w:rPr>
        <w:t>The following presents the estimated fair values of long-term debt notes, which are carried at amortized cost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 The fair values below that are classified as level 1 under the fair value hierarchy were estimated using quoted market prices. The fair values below that are classified as level 2 under the fair value hierarchy were estimated using quoted market prices in inactive markets. The fair values of debt facilities that were classified as level 3 under the fair value hierarchy were estimated based on assumptions made by management regarding expectations of future settlement of the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 fair values (in U.S. dollar equivalents)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€350.0 million fixed rate notes due March 2019</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402.6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Level 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¥19.1 billion term loan due March 2019</w:t>
            </w:r>
          </w:p>
        </w:tc>
        <w:tc>
          <w:tcPr>
            <w:tcW w:w="2620" w:type="dxa"/>
            <w:vAlign w:val="bottom"/>
          </w:tcPr>
          <w:p>
            <w:pPr>
              <w:spacing w:after="0"/>
              <w:rPr>
                <w:sz w:val="21"/>
                <w:szCs w:val="21"/>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173.5</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Level 3</w:t>
            </w:r>
          </w:p>
        </w:tc>
      </w:tr>
      <w:tr>
        <w:trPr>
          <w:trHeight w:val="27"/>
        </w:trPr>
        <w:tc>
          <w:tcPr>
            <w:tcW w:w="6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w:t>
            </w:r>
          </w:p>
        </w:tc>
        <w:tc>
          <w:tcPr>
            <w:tcW w:w="2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746.6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Level 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€15.0 million fixed rate notes due May 2023</w:t>
            </w:r>
          </w:p>
        </w:tc>
        <w:tc>
          <w:tcPr>
            <w:tcW w:w="2620" w:type="dxa"/>
            <w:vAlign w:val="bottom"/>
          </w:tcPr>
          <w:p>
            <w:pPr>
              <w:spacing w:after="0"/>
              <w:rPr>
                <w:sz w:val="21"/>
                <w:szCs w:val="21"/>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19.0</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Level 2</w:t>
            </w:r>
          </w:p>
        </w:tc>
      </w:tr>
      <w:tr>
        <w:trPr>
          <w:trHeight w:val="27"/>
        </w:trPr>
        <w:tc>
          <w:tcPr>
            <w:tcW w:w="6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March 2025</w:t>
            </w:r>
          </w:p>
        </w:tc>
        <w:tc>
          <w:tcPr>
            <w:tcW w:w="2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726.0</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Level 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$500.0 million fixed rate notes due June 2028</w:t>
            </w:r>
          </w:p>
        </w:tc>
        <w:tc>
          <w:tcPr>
            <w:tcW w:w="2620" w:type="dxa"/>
            <w:vAlign w:val="bottom"/>
          </w:tcPr>
          <w:p>
            <w:pPr>
              <w:spacing w:after="0"/>
              <w:rPr>
                <w:sz w:val="21"/>
                <w:szCs w:val="21"/>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504.7</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Level 2</w:t>
            </w:r>
          </w:p>
        </w:tc>
      </w:tr>
      <w:tr>
        <w:trPr>
          <w:trHeight w:val="27"/>
        </w:trPr>
        <w:tc>
          <w:tcPr>
            <w:tcW w:w="6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w:t>
            </w:r>
          </w:p>
        </w:tc>
        <w:tc>
          <w:tcPr>
            <w:tcW w:w="2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881.3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Level 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$700.0 million fixed rate notes due June 2048</w:t>
            </w:r>
          </w:p>
        </w:tc>
        <w:tc>
          <w:tcPr>
            <w:tcW w:w="2620" w:type="dxa"/>
            <w:vAlign w:val="bottom"/>
          </w:tcPr>
          <w:p>
            <w:pPr>
              <w:spacing w:after="0"/>
              <w:rPr>
                <w:sz w:val="21"/>
                <w:szCs w:val="21"/>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711.0</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Level 2</w:t>
            </w:r>
          </w:p>
        </w:tc>
      </w:tr>
      <w:tr>
        <w:trPr>
          <w:trHeight w:val="27"/>
        </w:trPr>
        <w:tc>
          <w:tcPr>
            <w:tcW w:w="6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389.9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3</w:t>
            </w:r>
          </w:p>
        </w:tc>
      </w:tr>
      <w:tr>
        <w:trPr>
          <w:trHeight w:val="27"/>
        </w:trPr>
        <w:tc>
          <w:tcPr>
            <w:tcW w:w="628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stock awards were as follows for the years presented: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14"/>
        </w:trPr>
        <w:tc>
          <w:tcPr>
            <w:tcW w:w="67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1060" w:type="dxa"/>
            <w:vAlign w:val="bottom"/>
          </w:tcPr>
          <w:p>
            <w:pPr>
              <w:spacing w:after="0"/>
              <w:rPr>
                <w:sz w:val="21"/>
                <w:szCs w:val="21"/>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3"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13" w:right="23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years presented: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2017</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1,962.2</w:t>
            </w:r>
          </w:p>
        </w:tc>
        <w:tc>
          <w:tcPr>
            <w:tcW w:w="7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4,063.4</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w w:val="95"/>
              </w:rPr>
              <w:t>Weighted Average Common Shares Outstanding (in thousands):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342,344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338,707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337,496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Effect of stock options and stock awards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343,737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340,226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338,966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7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12.00</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21. QUARTERLY INFORMATION (UNAUDITED)</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52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w w:val="94"/>
              </w:rPr>
              <w:t>Second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24"/>
                <w:szCs w:val="24"/>
                <w:color w:val="auto"/>
              </w:rPr>
            </w:pPr>
          </w:p>
        </w:tc>
        <w:tc>
          <w:tcPr>
            <w:tcW w:w="1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Year to Date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9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Quarter</w:t>
            </w: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Year Ended December 31, 2018</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auto"/>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1,109.0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1,059.6</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904.2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1,236.6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740.9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549.9</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4"/>
              </w:rPr>
              <w:t>649.9</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Non-operating income (expense)</w:t>
            </w:r>
          </w:p>
        </w:tc>
        <w:tc>
          <w:tcPr>
            <w:tcW w:w="5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89.9</w:t>
            </w:r>
          </w:p>
        </w:tc>
        <w:tc>
          <w:tcPr>
            <w:tcW w:w="46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788.7</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561.8</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4"/>
              </w:rPr>
              <w:t>670.5</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CME Group</w:t>
            </w:r>
          </w:p>
        </w:tc>
        <w:tc>
          <w:tcPr>
            <w:tcW w:w="5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598.8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566.1</w:t>
            </w:r>
          </w:p>
        </w:tc>
        <w:tc>
          <w:tcPr>
            <w:tcW w:w="46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411.8</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385.5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1.10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1.76</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Year Ended December 31, 2017</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929.3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890.8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4"/>
              </w:rPr>
              <w:t>900.0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600.9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605.2</w:t>
            </w:r>
          </w:p>
        </w:tc>
        <w:tc>
          <w:tcPr>
            <w:tcW w:w="46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567.6</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536.9</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707.0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637.3</w:t>
            </w:r>
          </w:p>
        </w:tc>
        <w:tc>
          <w:tcPr>
            <w:tcW w:w="46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607.3</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574.7</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399.8</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308.6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2,939.2</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0.91</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w:t>
      </w:r>
    </w:p>
    <w:p>
      <w:pPr>
        <w:sectPr>
          <w:pgSz w:w="11900" w:h="16838" w:orient="portrait"/>
          <w:cols w:equalWidth="0" w:num="1">
            <w:col w:w="11420"/>
          </w:cols>
          <w:pgMar w:left="240" w:top="121" w:right="239" w:bottom="4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474"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fourth quarter of 2018 that have materially affected, or are reasonably likely to materially affect, the company's internal control over financial reporting. During the fourth quarter of 2018, we acquired NEX and are in the process of integrating the acquired business into our overall internal control over financial reporting process. As permitted under applicable regulations, we have excluded NEX from the assessment of internal control over financial reporting as of December 31, 2018. There were no other changes in the company’s internal control over financial reporting which occurred during 2018, that have materially affected, or are reasonably likely to materially affect, the company’s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9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2018.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Based on this assessment, management believes that, as of December 31, 2018, our internal control over financial reporting is effective. The effectiveness of our internal control over financial reporting as of December 31, 2018 has been audited by Ernst &amp; Young LLP, an independent registered public accounting firm, as stated in the report on page 86.</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121" w:right="25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CME Group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audited the accompanying consolidated balance sheets of CME Group Inc. and subsidiaries (the Company) as of December 31, 2018 and 2017, the related consolidated statements of income, comprehensive income, equity, and cash flows for each of the three years in the period ended December 31, 2018,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28,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300"/>
          </w:cols>
          <w:pgMar w:left="24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300"/>
          </w:cols>
          <w:pgMar w:left="240" w:top="121" w:right="35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3460" w:firstLine="3453"/>
        <w:spacing w:after="0" w:line="50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CME Group Inc.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CME Group Inc. and subsidiaries’ internal control over financial reporting as of December 31, 2018, based on criteria established in Internal Control-Integrated Framework issued by the Committee of Sponsoring Organizations of the Treadway Commission (2013 framework) (the COSO criteria). In our opinion, CME Group Inc. and subsidiaries (the Company) maintained, in all material respects, effective internal control over financial reporting as December 31, 2018, based on the COSO criteria.</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NEX Group Plc, which is included in the 2018 consolidated financial statements of the Company and constituted 10% and 18% of total and net assets, respectively, as of December 31, 2018 and 3% and -2% of revenues and net income, respectively, for the year then ended. Our audit of internal control over financial reporting of the Company also did not include an evaluation of the internal control over financial reporting of NEX Group Plc.</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CME Group Inc. and subsidiaries as of December 31, 2018 and 2017, the related consolidated statements of income, comprehensive income, equity and cash flows for each of the three years in the period ended December 31, 2018, and the related notes and financial statement schedule listed in the Index at Item 15(a) and our report dated February 28, 2019 expressed an unqualified opinion thereon.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have adopted written codes of conduct applicable to all of our employees, including our Chairman and Chief Executive Officer, President, Chief Financial Officer, Chief Accounting Officer and other senior financial officers. In accordance with SEC rules and regulations, copies of these codes of conduct are available on our website at </w:t>
      </w:r>
      <w:r>
        <w:rPr>
          <w:rFonts w:ascii="Arial" w:cs="Arial" w:eastAsia="Arial" w:hAnsi="Arial"/>
          <w:sz w:val="16"/>
          <w:szCs w:val="16"/>
          <w:i w:val="1"/>
          <w:iCs w:val="1"/>
          <w:color w:val="auto"/>
        </w:rPr>
        <w:t>www.cmegroup.com</w:t>
      </w:r>
      <w:r>
        <w:rPr>
          <w:rFonts w:ascii="Arial" w:cs="Arial" w:eastAsia="Arial" w:hAnsi="Arial"/>
          <w:sz w:val="16"/>
          <w:szCs w:val="16"/>
          <w:color w:val="auto"/>
        </w:rPr>
        <w:t xml:space="preserve"> under the "Investor Relations — Corporate Governance" link. In accordance with SEC rules and regulations and the listing requirements of Nasdaq, we intend to disclose promptly on the website and location specified above any substantive amendments to these codes of conduct and any waivers granted to our executive officers or Board members. In addition, we have adopted Corporate Governance Principles which govern the practices of our board of directors. You may also obtain a copy of our codes of conduct and our Corporate Governance Principles by following the instructions in the section of this Annual Report on Form 10-K entitled "Item 1. Business — Available Information."</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CME Group’s definitive proxy statement for the Annual Meeting of Shareholders to be held on May 8, 2019, to be filed by CME Group with the SEC pursuant to Regulation 14A within 120 days after December 31, 2018 (Proxy Statement). Additional information called for by this item is contained in Item 1 of this Annual Report on Form 10-K under the caption "Employees — Executive Officers."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currently maintain the following equity compensation plans: CME Group Inc. Amended and Restated Omnibus Stock Plan, CME Group Inc. Director Stock Plan and CME Group Inc. Amended and Restated Employee Stock Purchase Plan. We do not maintain any equity compensation plans not approved by shareholders. A description of each of these plans and the number of shares authorized and available for future awards is included in note 16 of the notes to consolidated financial statements. The numbers in the following table are as of December 31, 2018.</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to be Issued Upon</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of</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Securities Remaining Available for Future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252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w w:val="93"/>
              </w:rPr>
              <w:t>Weighted-Average Exercise Price</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1"/>
              </w:rPr>
              <w:t>Issuance Under Equity Compensation Plans (excluding</w:t>
            </w:r>
          </w:p>
        </w:tc>
        <w:tc>
          <w:tcPr>
            <w:tcW w:w="0" w:type="dxa"/>
            <w:vAlign w:val="bottom"/>
          </w:tcPr>
          <w:p>
            <w:pPr>
              <w:spacing w:after="0"/>
              <w:rPr>
                <w:sz w:val="1"/>
                <w:szCs w:val="1"/>
                <w:color w:val="auto"/>
              </w:rPr>
            </w:pP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(a)</w:t>
            </w:r>
          </w:p>
        </w:tc>
        <w:tc>
          <w:tcPr>
            <w:tcW w:w="280" w:type="dxa"/>
            <w:vAlign w:val="bottom"/>
          </w:tcPr>
          <w:p>
            <w:pPr>
              <w:spacing w:after="0"/>
              <w:rPr>
                <w:sz w:val="19"/>
                <w:szCs w:val="19"/>
                <w:color w:val="auto"/>
              </w:rPr>
            </w:pPr>
          </w:p>
        </w:tc>
        <w:tc>
          <w:tcPr>
            <w:tcW w:w="2240" w:type="dxa"/>
            <w:vAlign w:val="bottom"/>
          </w:tcPr>
          <w:p>
            <w:pPr>
              <w:jc w:val="right"/>
              <w:ind w:right="352"/>
              <w:spacing w:after="0"/>
              <w:rPr>
                <w:sz w:val="20"/>
                <w:szCs w:val="20"/>
                <w:color w:val="auto"/>
              </w:rPr>
            </w:pPr>
            <w:r>
              <w:rPr>
                <w:rFonts w:ascii="Arial" w:cs="Arial" w:eastAsia="Arial" w:hAnsi="Arial"/>
                <w:sz w:val="16"/>
                <w:szCs w:val="16"/>
                <w:b w:val="1"/>
                <w:bCs w:val="1"/>
                <w:color w:val="auto"/>
                <w:w w:val="99"/>
              </w:rPr>
              <w:t>of Outstanding Options</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reflected in column (a))</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holders</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397,227</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54.81</w:t>
            </w:r>
          </w:p>
        </w:tc>
        <w:tc>
          <w:tcPr>
            <w:tcW w:w="3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16,487,029</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6"/>
              </w:rPr>
              <w:t>Equity compensation plans not approved by</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security holders</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397,227</w:t>
            </w:r>
          </w:p>
        </w:tc>
        <w:tc>
          <w:tcPr>
            <w:tcW w:w="2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16,487,029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vMerge w:val="restart"/>
          </w:tcPr>
          <w:p>
            <w:pPr>
              <w:jc w:val="right"/>
              <w:ind w:right="1552"/>
              <w:spacing w:after="0"/>
              <w:rPr>
                <w:sz w:val="20"/>
                <w:szCs w:val="20"/>
                <w:color w:val="auto"/>
              </w:rPr>
            </w:pPr>
            <w:r>
              <w:rPr>
                <w:rFonts w:ascii="Arial" w:cs="Arial" w:eastAsia="Arial" w:hAnsi="Arial"/>
                <w:sz w:val="18"/>
                <w:szCs w:val="18"/>
                <w:color w:val="auto"/>
              </w:rPr>
              <w:t>88</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foregoing table does not include awards related to NEX’s 2016 Global Sharesave Plan. Under this plan, NEX employees were offered the opportunity to purchase shares of NEX by electing to participate in a specific grant of options to purchase shares of NEX at the end of the grant period. The last grant period will end six months from the date of the close. Elections received during this period will be calculated using the merger exchange rate and the current price of CME Group shares. As of December 31, 2018, there were approximately 1.3 million NEX options outstanding under this plan.</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Financial Statement 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at December 31, 2018 and 2017</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for the Years Ended December 31, 2018, 2017 and 2016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Comprehensive Income for the Years Ended December 31, 2018, 2017 and 2016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Equity for the Years Ended December 31, 2018, 2017 and 2016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9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of year</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of year</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2016</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_______________</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1020" w:hanging="652"/>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write-offs of doubtful accounts, foreign currency and additions to allowance for deferred tax assets through accumulated other comprehensive income (loss).</w:t>
      </w: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on the consolidated financial statements or notes thereto.</w:t>
      </w:r>
    </w:p>
    <w:p>
      <w:pPr>
        <w:spacing w:after="0" w:line="116"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240" w:top="121" w:right="5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20" w:type="dxa"/>
            <w:vAlign w:val="bottom"/>
          </w:tcPr>
          <w:p>
            <w:pPr>
              <w:jc w:val="center"/>
              <w:ind w:right="2348"/>
              <w:spacing w:after="0"/>
              <w:rPr>
                <w:sz w:val="20"/>
                <w:szCs w:val="20"/>
                <w:color w:val="auto"/>
              </w:rPr>
            </w:pPr>
            <w:r>
              <w:rPr>
                <w:rFonts w:ascii="Arial" w:cs="Arial" w:eastAsia="Arial" w:hAnsi="Arial"/>
                <w:sz w:val="14"/>
                <w:szCs w:val="14"/>
                <w:b w:val="1"/>
                <w:bCs w:val="1"/>
                <w:color w:val="auto"/>
                <w:w w:val="98"/>
              </w:rPr>
              <w:t>Exhibit</w:t>
            </w:r>
          </w:p>
        </w:tc>
        <w:tc>
          <w:tcPr>
            <w:tcW w:w="3780" w:type="dxa"/>
            <w:vAlign w:val="bottom"/>
            <w:vMerge w:val="restart"/>
          </w:tcPr>
          <w:p>
            <w:pPr>
              <w:ind w:left="242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920" w:type="dxa"/>
            <w:vAlign w:val="bottom"/>
          </w:tcPr>
          <w:p>
            <w:pPr>
              <w:jc w:val="center"/>
              <w:ind w:right="2328"/>
              <w:spacing w:after="0"/>
              <w:rPr>
                <w:sz w:val="20"/>
                <w:szCs w:val="20"/>
                <w:color w:val="auto"/>
              </w:rPr>
            </w:pPr>
            <w:r>
              <w:rPr>
                <w:rFonts w:ascii="Arial" w:cs="Arial" w:eastAsia="Arial" w:hAnsi="Arial"/>
                <w:sz w:val="14"/>
                <w:szCs w:val="14"/>
                <w:b w:val="1"/>
                <w:bCs w:val="1"/>
                <w:color w:val="auto"/>
                <w:w w:val="98"/>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420" w:hanging="1385"/>
        <w:spacing w:after="0"/>
        <w:tabs>
          <w:tab w:leader="none" w:pos="14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Articles of Incorporation and Bylaws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3.1</w:t>
            </w:r>
          </w:p>
        </w:tc>
        <w:tc>
          <w:tcPr>
            <w:tcW w:w="9780" w:type="dxa"/>
            <w:vAlign w:val="bottom"/>
            <w:tcBorders>
              <w:bottom w:val="single" w:sz="8" w:color="0000FF"/>
            </w:tcBorders>
            <w:gridSpan w:val="4"/>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Fourth Amended and Restated Certificate of Incorporation of CME Group Inc. (incorporated by reference to Exhibit 3.1 to CME Group</w:t>
              </w:r>
            </w:hyperlink>
          </w:p>
        </w:tc>
      </w:tr>
      <w:tr>
        <w:trPr>
          <w:trHeight w:val="196"/>
        </w:trPr>
        <w:tc>
          <w:tcPr>
            <w:tcW w:w="1380" w:type="dxa"/>
            <w:vAlign w:val="bottom"/>
          </w:tcPr>
          <w:p>
            <w:pPr>
              <w:spacing w:after="0"/>
              <w:rPr>
                <w:sz w:val="17"/>
                <w:szCs w:val="17"/>
                <w:color w:val="auto"/>
              </w:rPr>
            </w:pPr>
          </w:p>
        </w:tc>
        <w:tc>
          <w:tcPr>
            <w:tcW w:w="9780" w:type="dxa"/>
            <w:vAlign w:val="bottom"/>
            <w:gridSpan w:val="4"/>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Inc.’s Current Report on Form 8-K, filed with the SEC on May 29, 2012).</w:t>
              </w:r>
            </w:hyperlink>
          </w:p>
        </w:tc>
      </w:tr>
      <w:tr>
        <w:trPr>
          <w:trHeight w:val="20"/>
        </w:trPr>
        <w:tc>
          <w:tcPr>
            <w:tcW w:w="138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3.2</w:t>
            </w:r>
          </w:p>
        </w:tc>
        <w:tc>
          <w:tcPr>
            <w:tcW w:w="9680" w:type="dxa"/>
            <w:vAlign w:val="bottom"/>
            <w:tcBorders>
              <w:bottom w:val="single" w:sz="8" w:color="0000FF"/>
            </w:tcBorders>
            <w:gridSpan w:val="3"/>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Fourteenth Amended and Restated Bylaws of CME Group Inc. (incorporated by reference to Exhibit 3.1 to CME Group Inc.’s Current</w:t>
              </w:r>
            </w:hyperlink>
          </w:p>
        </w:tc>
        <w:tc>
          <w:tcPr>
            <w:tcW w:w="1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80" w:type="dxa"/>
            <w:vAlign w:val="bottom"/>
            <w:gridSpan w:val="4"/>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Report on Form 8-K, filed with the SEC on November 15, 2017).</w:t>
              </w:r>
            </w:hyperlink>
          </w:p>
        </w:tc>
      </w:tr>
      <w:tr>
        <w:trPr>
          <w:trHeight w:val="20"/>
        </w:trPr>
        <w:tc>
          <w:tcPr>
            <w:tcW w:w="138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20" w:hanging="1385"/>
        <w:spacing w:after="0"/>
        <w:tabs>
          <w:tab w:leader="none" w:pos="14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Instruments Defining the Rights of Security Holders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4.1</w:t>
            </w:r>
          </w:p>
        </w:tc>
        <w:tc>
          <w:tcPr>
            <w:tcW w:w="9760" w:type="dxa"/>
            <w:vAlign w:val="bottom"/>
            <w:gridSpan w:val="5"/>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Amended and Restated Commercial Paper Dealer Agreement, dated as of October 20, 2014, among CME Group Inc., as Issuer, and</w:t>
              </w:r>
            </w:hyperlink>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FF"/>
                <w:w w:val="94"/>
              </w:rPr>
            </w:pPr>
            <w:hyperlink r:id="rId16">
              <w:r>
                <w:rPr>
                  <w:rFonts w:ascii="Arial" w:cs="Arial" w:eastAsia="Arial" w:hAnsi="Arial"/>
                  <w:sz w:val="18"/>
                  <w:szCs w:val="18"/>
                  <w:color w:val="0000FF"/>
                  <w:w w:val="94"/>
                </w:rPr>
                <w:t>Barclays Capital Inc., as Dealer (incorporated by reference to Exhibit 4.1 to CME Group's 10-K, filed with the SEC on February 26,</w:t>
              </w:r>
            </w:hyperlink>
          </w:p>
        </w:tc>
      </w:tr>
      <w:tr>
        <w:trPr>
          <w:trHeight w:val="196"/>
        </w:trPr>
        <w:tc>
          <w:tcPr>
            <w:tcW w:w="13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6">
              <w:r>
                <w:rPr>
                  <w:rFonts w:ascii="Arial" w:cs="Arial" w:eastAsia="Arial" w:hAnsi="Arial"/>
                  <w:sz w:val="18"/>
                  <w:szCs w:val="18"/>
                  <w:color w:val="0000FF"/>
                  <w:w w:val="86"/>
                </w:rPr>
                <w:t>2015).</w:t>
              </w:r>
            </w:hyperlink>
          </w:p>
        </w:tc>
        <w:tc>
          <w:tcPr>
            <w:tcW w:w="1820" w:type="dxa"/>
            <w:vAlign w:val="bottom"/>
            <w:tcBorders>
              <w:top w:val="single" w:sz="8" w:color="0000FF"/>
            </w:tcBorders>
          </w:tcPr>
          <w:p>
            <w:pPr>
              <w:spacing w:after="0"/>
              <w:rPr>
                <w:sz w:val="17"/>
                <w:szCs w:val="17"/>
                <w:color w:val="auto"/>
              </w:rPr>
            </w:pPr>
          </w:p>
        </w:tc>
        <w:tc>
          <w:tcPr>
            <w:tcW w:w="7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r>
      <w:tr>
        <w:trPr>
          <w:trHeight w:val="37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4.2</w:t>
            </w:r>
          </w:p>
        </w:tc>
        <w:tc>
          <w:tcPr>
            <w:tcW w:w="9480" w:type="dxa"/>
            <w:vAlign w:val="bottom"/>
            <w:tcBorders>
              <w:bottom w:val="single" w:sz="8" w:color="0000FF"/>
            </w:tcBorders>
            <w:gridSpan w:val="3"/>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Commercial Paper Issuing and Paying Agency Agreement, dated as of September 26, 2014, between CME Group Inc. and Bank of</w:t>
              </w:r>
            </w:hyperlink>
          </w:p>
        </w:tc>
        <w:tc>
          <w:tcPr>
            <w:tcW w:w="28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America, National Association, as Issuing and Paying Agent (incorporated by reference to Exhibit 4.2 to CME Group's 10-K, filed with</w:t>
              </w:r>
            </w:hyperlink>
          </w:p>
        </w:tc>
      </w:tr>
      <w:tr>
        <w:trPr>
          <w:trHeight w:val="196"/>
        </w:trPr>
        <w:tc>
          <w:tcPr>
            <w:tcW w:w="138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the SEC on February 26, 2015).</w:t>
              </w:r>
            </w:hyperlink>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933"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4.5</w:t>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br w:type="column"/>
      </w:r>
    </w:p>
    <w:p>
      <w:pPr>
        <w:ind w:right="40"/>
        <w:spacing w:after="0" w:line="264" w:lineRule="auto"/>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Amended and Restated Commercial Paper Dealer Agreement, dated as of October 20, 2014, between CME Group Inc., as Issuer, and</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Merrill Lynch, Pierce, Fenner &amp; Smith Incorporated, as Dealer (incorporated by reference to Exhibit 4.3 to CME Group's 10-K, filed with</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the SEC on February 26, 2015).</w:t>
        </w:r>
      </w:hyperlink>
    </w:p>
    <w:p>
      <w:pPr>
        <w:spacing w:after="0" w:line="141" w:lineRule="exact"/>
        <w:rPr>
          <w:rFonts w:ascii="Arial" w:cs="Arial" w:eastAsia="Arial" w:hAnsi="Arial"/>
          <w:sz w:val="18"/>
          <w:szCs w:val="18"/>
          <w:u w:val="single" w:color="auto"/>
          <w:color w:val="0000FF"/>
        </w:rPr>
      </w:pPr>
    </w:p>
    <w:p>
      <w:pPr>
        <w:jc w:val="both"/>
        <w:ind w:right="300"/>
        <w:spacing w:after="0" w:line="264" w:lineRule="auto"/>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Amended and Restated Commercial Paper Dealer Agreement, dated as of October 20, 2014, between CME Group Inc., as Issuer, and</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Goldman, Sachs &amp; Co., as Dealer (incorporated by reference to Exhibit 4.4 to CME Group's 10-K, filed with the SEC on February 26,</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2015).</w:t>
        </w:r>
      </w:hyperlink>
    </w:p>
    <w:p>
      <w:pPr>
        <w:spacing w:after="0" w:line="141" w:lineRule="exact"/>
        <w:rPr>
          <w:rFonts w:ascii="Arial" w:cs="Arial" w:eastAsia="Arial" w:hAnsi="Arial"/>
          <w:sz w:val="18"/>
          <w:szCs w:val="18"/>
          <w:u w:val="single" w:color="auto"/>
          <w:color w:val="0000FF"/>
        </w:rPr>
      </w:pPr>
    </w:p>
    <w:p>
      <w:pPr>
        <w:ind w:right="240"/>
        <w:spacing w:after="0" w:line="277" w:lineRule="auto"/>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Indenture, dated August 12, 2008, between CME Group Inc. and U.S. Bank National Association (incorporated by reference to Exhibit</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4.1 to CME Group Inc.’s Current Report on Form 8-K, filed with the SEC on August 13, 2008).</w:t>
        </w:r>
      </w:hyperlink>
    </w:p>
    <w:p>
      <w:pPr>
        <w:spacing w:after="0" w:line="211" w:lineRule="exact"/>
        <w:rPr>
          <w:sz w:val="20"/>
          <w:szCs w:val="20"/>
          <w:color w:val="auto"/>
        </w:rPr>
      </w:pPr>
    </w:p>
    <w:p>
      <w:pPr>
        <w:ind w:right="240"/>
        <w:spacing w:after="0" w:line="264" w:lineRule="auto"/>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Fifth Supplemental Indenture (including the form of 3.00% note due 2022), dated September 10, 2012, between CME Group Inc. and</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U.S. Bank National Association (incorporated by reference to Exhibit 4.2 to CME Group Inc.'s Current Report on Form 8-K, filed with</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the SEC on September 10, 2012).</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700" w:space="720"/>
            <w:col w:w="9960"/>
          </w:cols>
          <w:pgMar w:left="240" w:top="121" w:right="279" w:bottom="933" w:gutter="0" w:footer="0" w:header="0"/>
          <w:type w:val="continuous"/>
        </w:sectPr>
      </w:pPr>
    </w:p>
    <w:p>
      <w:pPr>
        <w:spacing w:after="0" w:line="22"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4.7</w:t>
            </w:r>
          </w:p>
        </w:tc>
        <w:tc>
          <w:tcPr>
            <w:tcW w:w="9740" w:type="dxa"/>
            <w:vAlign w:val="bottom"/>
            <w:gridSpan w:val="6"/>
            <w:vMerge w:val="restart"/>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Sixth Supplemental Indenture (including the form of 5.300% note due 2043), dated as of September 9, 2013, between CME Group Inc.</w:t>
              </w:r>
            </w:hyperlink>
          </w:p>
        </w:tc>
        <w:tc>
          <w:tcPr>
            <w:tcW w:w="200" w:type="dxa"/>
            <w:vAlign w:val="bottom"/>
            <w:gridSpan w:val="4"/>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380" w:type="dxa"/>
            <w:vAlign w:val="bottom"/>
          </w:tcPr>
          <w:p>
            <w:pPr>
              <w:spacing w:after="0"/>
              <w:rPr>
                <w:sz w:val="3"/>
                <w:szCs w:val="3"/>
                <w:color w:val="auto"/>
              </w:rPr>
            </w:pPr>
          </w:p>
        </w:tc>
        <w:tc>
          <w:tcPr>
            <w:tcW w:w="9740" w:type="dxa"/>
            <w:vAlign w:val="bottom"/>
            <w:tcBorders>
              <w:bottom w:val="single" w:sz="8" w:color="0000FF"/>
            </w:tcBorders>
            <w:gridSpan w:val="6"/>
            <w:vMerge w:val="continue"/>
          </w:tcPr>
          <w:p>
            <w:pPr>
              <w:spacing w:after="0"/>
              <w:rPr>
                <w:sz w:val="3"/>
                <w:szCs w:val="3"/>
                <w:color w:val="auto"/>
              </w:rPr>
            </w:pPr>
          </w:p>
        </w:tc>
        <w:tc>
          <w:tcPr>
            <w:tcW w:w="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and U.S. Bank National Association (incorporated by reference to Exhibit 4.2 to CME Group Inc.'s Current Report on Form 8-K, filed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66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with the SEC on September 9, 2013).</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4.8</w:t>
            </w:r>
          </w:p>
        </w:tc>
        <w:tc>
          <w:tcPr>
            <w:tcW w:w="9940" w:type="dxa"/>
            <w:vAlign w:val="bottom"/>
            <w:gridSpan w:val="10"/>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Seventh Supplemental Indenture (including the form of 3.000% note due 2025), dated as of March 9, 2015, between CME Group Inc.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7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U.S. Bank National Association (incorporated by reference to Exhibit 4.2 to CME Group Inc.'s Current Report on Form 8-K, filed with</w:t>
              </w:r>
            </w:hyperlink>
          </w:p>
        </w:tc>
        <w:tc>
          <w:tcPr>
            <w:tcW w:w="16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02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the SEC on March 9, 2015).</w:t>
              </w:r>
            </w:hyperlink>
          </w:p>
        </w:tc>
        <w:tc>
          <w:tcPr>
            <w:tcW w:w="79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4.9</w:t>
            </w:r>
          </w:p>
        </w:tc>
        <w:tc>
          <w:tcPr>
            <w:tcW w:w="9940" w:type="dxa"/>
            <w:vAlign w:val="bottom"/>
            <w:gridSpan w:val="10"/>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Eighth Supplemental Indenture (including the form of 3.750% note due 2028), dated as of June 21, 2018, between CME Group Inc.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7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U.S. Bank National Association (incorporated by reference to Exhibit 4.2 to CME Group Inc.'s Current Report on Form 8-K, filed with</w:t>
              </w:r>
            </w:hyperlink>
          </w:p>
        </w:tc>
        <w:tc>
          <w:tcPr>
            <w:tcW w:w="40" w:type="dxa"/>
            <w:vAlign w:val="bottom"/>
            <w:tcBorders>
              <w:top w:val="single" w:sz="8" w:color="0000FF"/>
            </w:tcBorders>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the SEC on June 21, 2018).</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76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4.10</w:t>
            </w:r>
          </w:p>
        </w:tc>
        <w:tc>
          <w:tcPr>
            <w:tcW w:w="9720" w:type="dxa"/>
            <w:vAlign w:val="bottom"/>
            <w:tcBorders>
              <w:bottom w:val="single" w:sz="8" w:color="0000FF"/>
            </w:tcBorders>
            <w:gridSpan w:val="5"/>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Ninth Supplemental Indenture (including the form of 4.150% note due 2048), dated as of June 21, 2018, between CME Group Inc. and</w:t>
              </w:r>
            </w:hyperlink>
          </w:p>
        </w:tc>
        <w:tc>
          <w:tcPr>
            <w:tcW w:w="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7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U.S. Bank National Association (incorporated by reference to Exhibit 4.3 to CME Group Inc.'s Current Report on Form 8-K, filed with</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the SEC on June 21, 2018).</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20" w:hanging="1385"/>
        <w:spacing w:after="0"/>
        <w:tabs>
          <w:tab w:leader="none" w:pos="142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87"/>
              </w:rPr>
              <w:t>10.1(1)</w:t>
            </w:r>
          </w:p>
        </w:tc>
        <w:tc>
          <w:tcPr>
            <w:tcW w:w="9800" w:type="dxa"/>
            <w:vAlign w:val="bottom"/>
            <w:tcBorders>
              <w:bottom w:val="single" w:sz="8" w:color="0000FF"/>
            </w:tcBorders>
            <w:gridSpan w:val="7"/>
          </w:tcPr>
          <w:p>
            <w:pPr>
              <w:spacing w:after="0"/>
              <w:rPr>
                <w:rFonts w:ascii="Arial" w:cs="Arial" w:eastAsia="Arial" w:hAnsi="Arial"/>
                <w:sz w:val="18"/>
                <w:szCs w:val="18"/>
                <w:color w:val="0000FF"/>
                <w:w w:val="89"/>
              </w:rPr>
            </w:pPr>
            <w:hyperlink r:id="rId26">
              <w:r>
                <w:rPr>
                  <w:rFonts w:ascii="Arial" w:cs="Arial" w:eastAsia="Arial" w:hAnsi="Arial"/>
                  <w:sz w:val="18"/>
                  <w:szCs w:val="18"/>
                  <w:color w:val="0000FF"/>
                  <w:w w:val="89"/>
                </w:rPr>
                <w:t>CME Group Inc. Second Amended and Restated Omnibus Stock Plan, amended and restated effective as of May 24, 2017 (incorporated</w:t>
              </w:r>
            </w:hyperlink>
          </w:p>
        </w:tc>
        <w:tc>
          <w:tcPr>
            <w:tcW w:w="160" w:type="dxa"/>
            <w:vAlign w:val="bottom"/>
          </w:tcPr>
          <w:p>
            <w:pPr>
              <w:spacing w:after="0"/>
              <w:rPr>
                <w:sz w:val="18"/>
                <w:szCs w:val="18"/>
                <w:color w:val="auto"/>
              </w:rPr>
            </w:pPr>
          </w:p>
        </w:tc>
      </w:tr>
      <w:tr>
        <w:trPr>
          <w:trHeight w:val="196"/>
        </w:trPr>
        <w:tc>
          <w:tcPr>
            <w:tcW w:w="1380" w:type="dxa"/>
            <w:vAlign w:val="bottom"/>
          </w:tcPr>
          <w:p>
            <w:pPr>
              <w:spacing w:after="0"/>
              <w:rPr>
                <w:sz w:val="17"/>
                <w:szCs w:val="17"/>
                <w:color w:val="auto"/>
              </w:rPr>
            </w:pPr>
          </w:p>
        </w:tc>
        <w:tc>
          <w:tcPr>
            <w:tcW w:w="71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by reference to Exhibit 10.2 to CME Group Inc.’s Form 8-K, filed with the SEC on May 30, 2017).</w:t>
              </w:r>
            </w:hyperlink>
          </w:p>
        </w:tc>
        <w:tc>
          <w:tcPr>
            <w:tcW w:w="2820" w:type="dxa"/>
            <w:vAlign w:val="bottom"/>
            <w:gridSpan w:val="4"/>
          </w:tcPr>
          <w:p>
            <w:pPr>
              <w:spacing w:after="0"/>
              <w:rPr>
                <w:sz w:val="17"/>
                <w:szCs w:val="17"/>
                <w:color w:val="auto"/>
              </w:rPr>
            </w:pPr>
          </w:p>
        </w:tc>
      </w:tr>
      <w:tr>
        <w:trPr>
          <w:trHeight w:val="372"/>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87"/>
              </w:rPr>
              <w:t>10.2(1)</w:t>
            </w:r>
          </w:p>
        </w:tc>
        <w:tc>
          <w:tcPr>
            <w:tcW w:w="9960" w:type="dxa"/>
            <w:vAlign w:val="bottom"/>
            <w:tcBorders>
              <w:bottom w:val="single" w:sz="8" w:color="0000FF"/>
            </w:tcBorders>
            <w:gridSpan w:val="8"/>
          </w:tcPr>
          <w:p>
            <w:pPr>
              <w:spacing w:after="0"/>
              <w:rPr>
                <w:rFonts w:ascii="Arial" w:cs="Arial" w:eastAsia="Arial" w:hAnsi="Arial"/>
                <w:sz w:val="18"/>
                <w:szCs w:val="18"/>
                <w:color w:val="0000FF"/>
                <w:w w:val="92"/>
              </w:rPr>
            </w:pPr>
            <w:hyperlink r:id="rId27">
              <w:r>
                <w:rPr>
                  <w:rFonts w:ascii="Arial" w:cs="Arial" w:eastAsia="Arial" w:hAnsi="Arial"/>
                  <w:sz w:val="18"/>
                  <w:szCs w:val="18"/>
                  <w:color w:val="0000FF"/>
                  <w:w w:val="92"/>
                </w:rPr>
                <w:t>Form of Equity Grant Letter for Restricted Shares (incorporated by reference to Exhibit 10.2 to CME Group's 10-K, filed with the SEC on</w:t>
              </w:r>
            </w:hyperlink>
          </w:p>
        </w:tc>
      </w:tr>
      <w:tr>
        <w:trPr>
          <w:trHeight w:val="196"/>
        </w:trPr>
        <w:tc>
          <w:tcPr>
            <w:tcW w:w="1380" w:type="dxa"/>
            <w:vAlign w:val="bottom"/>
          </w:tcPr>
          <w:p>
            <w:pPr>
              <w:spacing w:after="0"/>
              <w:rPr>
                <w:sz w:val="17"/>
                <w:szCs w:val="17"/>
                <w:color w:val="auto"/>
              </w:rPr>
            </w:pPr>
          </w:p>
        </w:tc>
        <w:tc>
          <w:tcPr>
            <w:tcW w:w="116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March 1, 2018).</w:t>
              </w:r>
            </w:hyperlink>
          </w:p>
        </w:tc>
        <w:tc>
          <w:tcPr>
            <w:tcW w:w="8800" w:type="dxa"/>
            <w:vAlign w:val="bottom"/>
            <w:gridSpan w:val="7"/>
          </w:tcPr>
          <w:p>
            <w:pPr>
              <w:spacing w:after="0"/>
              <w:rPr>
                <w:sz w:val="17"/>
                <w:szCs w:val="17"/>
                <w:color w:val="auto"/>
              </w:rPr>
            </w:pPr>
          </w:p>
        </w:tc>
      </w:tr>
      <w:tr>
        <w:trPr>
          <w:trHeight w:val="372"/>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87"/>
              </w:rPr>
              <w:t>10.3(1)</w:t>
            </w:r>
          </w:p>
        </w:tc>
        <w:tc>
          <w:tcPr>
            <w:tcW w:w="9960" w:type="dxa"/>
            <w:vAlign w:val="bottom"/>
            <w:gridSpan w:val="8"/>
          </w:tcPr>
          <w:p>
            <w:pPr>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Form of Equity Grant Letter for Annual Grant of Performance Shares (incorporated by reference to Exhibit 10.3 to CME Group's 10-K,</w:t>
              </w:r>
            </w:hyperlink>
          </w:p>
        </w:tc>
      </w:tr>
      <w:tr>
        <w:trPr>
          <w:trHeight w:val="196"/>
        </w:trPr>
        <w:tc>
          <w:tcPr>
            <w:tcW w:w="138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filed with the SEC on March 1, 2018).</w:t>
              </w:r>
            </w:hyperlink>
          </w:p>
        </w:tc>
        <w:tc>
          <w:tcPr>
            <w:tcW w:w="7000" w:type="dxa"/>
            <w:vAlign w:val="bottom"/>
            <w:tcBorders>
              <w:top w:val="single" w:sz="8" w:color="0000FF"/>
            </w:tcBorders>
            <w:gridSpan w:val="4"/>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372"/>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87"/>
              </w:rPr>
              <w:t>10.4(1)</w:t>
            </w:r>
          </w:p>
        </w:tc>
        <w:tc>
          <w:tcPr>
            <w:tcW w:w="9700" w:type="dxa"/>
            <w:vAlign w:val="bottom"/>
            <w:tcBorders>
              <w:bottom w:val="single" w:sz="8" w:color="0000FF"/>
            </w:tcBorders>
            <w:gridSpan w:val="5"/>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CME Group Inc. Director Stock Plan, amended and restated effective as of May 21, 2014 (incorporated by reference to Exhibit 10.1 to</w:t>
              </w:r>
            </w:hyperlink>
          </w:p>
        </w:tc>
        <w:tc>
          <w:tcPr>
            <w:tcW w:w="26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60" w:type="dxa"/>
            <w:vAlign w:val="bottom"/>
            <w:gridSpan w:val="8"/>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CME Group Inc.'s Current Report on Form 8-K, filed with the SEC on May 28, 2014).</w:t>
              </w:r>
            </w:hyperlink>
          </w:p>
        </w:tc>
      </w:tr>
      <w:tr>
        <w:trPr>
          <w:trHeight w:val="20"/>
        </w:trPr>
        <w:tc>
          <w:tcPr>
            <w:tcW w:w="138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933" w:gutter="0" w:footer="0" w:header="0"/>
          <w:type w:val="continuous"/>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80"/>
          </w:cols>
          <w:pgMar w:left="240" w:top="121" w:right="279" w:bottom="933"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760" w:type="dxa"/>
            <w:vAlign w:val="bottom"/>
            <w:gridSpan w:val="25"/>
            <w:vMerge w:val="restart"/>
          </w:tcPr>
          <w:p>
            <w:pPr>
              <w:ind w:left="10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76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10.5(1)</w:t>
            </w: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00" w:type="dxa"/>
            <w:vAlign w:val="bottom"/>
            <w:tcBorders>
              <w:top w:val="single" w:sz="8" w:color="auto"/>
            </w:tcBorders>
            <w:gridSpan w:val="28"/>
          </w:tcPr>
          <w:p>
            <w:pPr>
              <w:spacing w:after="0" w:line="202"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Form of Equity Stipend Grant Letter for Non-Executive Directors (incorporated by reference to Exhibit 10.5 to CME Group's 10-K, filed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with the SEC on March 1, 2018).</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CME Group Inc.'s Amended and Restated Employee Stock Purchase Plan, amended and restated as of May 23, 2012 (incorporated by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reference to Exhibit 10.2 to CME Group Inc.'s Form 8-K, filed with the SEC on May 29, 2012</w:t>
              </w:r>
              <w:r>
                <w:rPr>
                  <w:rFonts w:ascii="Arial" w:cs="Arial" w:eastAsia="Arial" w:hAnsi="Arial"/>
                  <w:sz w:val="18"/>
                  <w:szCs w:val="18"/>
                  <w:color w:val="000000"/>
                  <w:w w:val="95"/>
                </w:rPr>
                <w:t>;</w:t>
              </w:r>
              <w:r>
                <w:rPr>
                  <w:rFonts w:ascii="Arial" w:cs="Arial" w:eastAsia="Arial" w:hAnsi="Arial"/>
                  <w:sz w:val="18"/>
                  <w:szCs w:val="18"/>
                  <w:color w:val="0000FF"/>
                  <w:w w:val="95"/>
                </w:rPr>
                <w:t xml:space="preserve"> First Amendment to the Amended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Restated Employee Stock Purchase Plan, effective as of December 5, 2012 (incorporated by reference to Exhibit 10.7 to CME Group</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Inc.'s Form 10-K, filed with the SEC on February 28, 2013).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00" w:type="dxa"/>
            <w:vAlign w:val="bottom"/>
            <w:tcBorders>
              <w:bottom w:val="single" w:sz="8" w:color="0000FF"/>
            </w:tcBorders>
            <w:gridSpan w:val="22"/>
          </w:tcPr>
          <w:p>
            <w:pPr>
              <w:spacing w:after="0"/>
              <w:rPr>
                <w:rFonts w:ascii="Arial" w:cs="Arial" w:eastAsia="Arial" w:hAnsi="Arial"/>
                <w:sz w:val="18"/>
                <w:szCs w:val="18"/>
                <w:color w:val="0000FF"/>
                <w:w w:val="89"/>
              </w:rPr>
            </w:pPr>
            <w:hyperlink r:id="rId33">
              <w:r>
                <w:rPr>
                  <w:rFonts w:ascii="Arial" w:cs="Arial" w:eastAsia="Arial" w:hAnsi="Arial"/>
                  <w:sz w:val="18"/>
                  <w:szCs w:val="18"/>
                  <w:color w:val="0000FF"/>
                  <w:w w:val="89"/>
                </w:rPr>
                <w:t>Chicago Mercantile Exchange Inc. Senior Management Supplemental Deferred Savings Plan (SMSDSP), Amended and Restated as of</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January 1, 2017 (incorporated by reference to Exhibit 10.1 to CME Group Inc.'s Form 10-Q, filed with the SEC on August 2, 2017).</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Chicago Mercantile Exchange Inc. Directors' Deferred Compensation Plan, amended and restated as of January 1, 2009 (incorporated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reference to Exhibit 10.9 to CME Group Inc.'s Form 10-K, filed with the SEC on March 2, 2009).</w:t>
              </w:r>
            </w:hyperlink>
          </w:p>
        </w:tc>
        <w:tc>
          <w:tcPr>
            <w:tcW w:w="2800" w:type="dxa"/>
            <w:vAlign w:val="bottom"/>
            <w:tcBorders>
              <w:top w:val="single" w:sz="8" w:color="0000FF"/>
            </w:tcBorders>
            <w:gridSpan w:val="13"/>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23"/>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Chicago Mercantile Exchange Inc. Supplemental Executive Retirement Plan consisting of the Grandfathered Supplemental Retirement</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tcBorders>
              <w:bottom w:val="single" w:sz="8" w:color="0000FF"/>
            </w:tcBorders>
            <w:gridSpan w:val="16"/>
          </w:tcPr>
          <w:p>
            <w:pPr>
              <w:spacing w:after="0" w:line="196" w:lineRule="exact"/>
              <w:rPr>
                <w:rFonts w:ascii="Arial" w:cs="Arial" w:eastAsia="Arial" w:hAnsi="Arial"/>
                <w:sz w:val="18"/>
                <w:szCs w:val="18"/>
                <w:color w:val="0000FF"/>
                <w:w w:val="88"/>
              </w:rPr>
            </w:pPr>
            <w:hyperlink r:id="rId35">
              <w:r>
                <w:rPr>
                  <w:rFonts w:ascii="Arial" w:cs="Arial" w:eastAsia="Arial" w:hAnsi="Arial"/>
                  <w:sz w:val="18"/>
                  <w:szCs w:val="18"/>
                  <w:color w:val="0000FF"/>
                  <w:w w:val="88"/>
                </w:rPr>
                <w:t>Plan, amended and restated as of January 1, 2008, and the Amended and Restated 409A Supplemental Executive Retirement Plan,</w:t>
              </w:r>
            </w:hyperlink>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amended and restated as of January 1, 2008 (incorporated by reference to Exhibit 10.9 to CME Group Inc.'s Form 10-K, filed with the</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SEC on February 28, 2008).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40" w:type="dxa"/>
            <w:vAlign w:val="bottom"/>
            <w:tcBorders>
              <w:bottom w:val="single" w:sz="8" w:color="0000FF"/>
            </w:tcBorders>
            <w:gridSpan w:val="15"/>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Chicago Mercantile Exchange Inc. Supplemental Executive Retirement Trust; First Amendment thereto, dated September 7, 1993</w:t>
              </w:r>
            </w:hyperlink>
          </w:p>
        </w:tc>
        <w:tc>
          <w:tcPr>
            <w:tcW w:w="6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(incorporated by reference to Exhibit 10.5 to Chicago Mercantile Exchange Inc.'s Form S-4, filed with the SEC on February 24, 2000).</w:t>
              </w:r>
            </w:hyperlink>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4"/>
              </w:rPr>
            </w:pPr>
            <w:hyperlink r:id="rId37">
              <w:r>
                <w:rPr>
                  <w:rFonts w:ascii="Arial" w:cs="Arial" w:eastAsia="Arial" w:hAnsi="Arial"/>
                  <w:sz w:val="18"/>
                  <w:szCs w:val="18"/>
                  <w:color w:val="0000FF"/>
                  <w:w w:val="94"/>
                </w:rPr>
                <w:t>Recognition and Retention Plan for Members of the COMEX Division of New York Mercantile Exchange (incorporated by reference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top w:val="single" w:sz="8" w:color="0000FF"/>
            </w:tcBorders>
            <w:gridSpan w:val="24"/>
          </w:tcPr>
          <w:p>
            <w:pPr>
              <w:spacing w:after="0" w:line="196" w:lineRule="exact"/>
              <w:rPr>
                <w:rFonts w:ascii="Arial" w:cs="Arial" w:eastAsia="Arial" w:hAnsi="Arial"/>
                <w:sz w:val="18"/>
                <w:szCs w:val="18"/>
                <w:color w:val="0000FF"/>
                <w:w w:val="96"/>
              </w:rPr>
            </w:pPr>
            <w:hyperlink r:id="rId38">
              <w:r>
                <w:rPr>
                  <w:rFonts w:ascii="Arial" w:cs="Arial" w:eastAsia="Arial" w:hAnsi="Arial"/>
                  <w:sz w:val="18"/>
                  <w:szCs w:val="18"/>
                  <w:color w:val="0000FF"/>
                  <w:w w:val="96"/>
                </w:rPr>
                <w:t>Exhibit 10.11 to NYMEX Holdings, Inc.'s Form 10-K, filed with the SEC on March 29, 2001)</w:t>
              </w:r>
              <w:r>
                <w:rPr>
                  <w:rFonts w:ascii="Arial" w:cs="Arial" w:eastAsia="Arial" w:hAnsi="Arial"/>
                  <w:sz w:val="18"/>
                  <w:szCs w:val="18"/>
                  <w:color w:val="000000"/>
                  <w:w w:val="96"/>
                </w:rPr>
                <w:t>;</w:t>
              </w:r>
              <w:r>
                <w:rPr>
                  <w:rFonts w:ascii="Arial" w:cs="Arial" w:eastAsia="Arial" w:hAnsi="Arial"/>
                  <w:sz w:val="18"/>
                  <w:szCs w:val="18"/>
                  <w:color w:val="0000FF"/>
                  <w:w w:val="96"/>
                </w:rPr>
                <w:t xml:space="preserve"> Amendment to the Recognition and</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Retention Plan for Members of the COMEX Division of the New York Mercantile Exchange, dated October 22, 2015 (incorporated by</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reference to Exhibit 10.1 to CME Group's Form 10-Q, filed with the SEC on November 6, 2015).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ind w:left="40"/>
              <w:spacing w:after="0"/>
              <w:rPr>
                <w:sz w:val="20"/>
                <w:szCs w:val="20"/>
                <w:color w:val="auto"/>
              </w:rPr>
            </w:pPr>
            <w:r>
              <w:rPr>
                <w:rFonts w:ascii="Arial" w:cs="Arial" w:eastAsia="Arial" w:hAnsi="Arial"/>
                <w:sz w:val="18"/>
                <w:szCs w:val="18"/>
                <w:color w:val="auto"/>
              </w:rPr>
              <w:t>10.12(1)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Second Amended and Restated CME Group Inc. Incentive Plan for Named Executive Officers (Amended and Restated as of May 24,</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2017) (incorporated by reference to Exhibit 10.1 to CME Group Inc.’s Form 8-K, filed with the SEC on May 30, 2017).</w:t>
              </w:r>
            </w:hyperlink>
          </w:p>
        </w:tc>
        <w:tc>
          <w:tcPr>
            <w:tcW w:w="1020" w:type="dxa"/>
            <w:vAlign w:val="bottom"/>
            <w:tcBorders>
              <w:top w:val="single" w:sz="8" w:color="0000FF"/>
            </w:tcBorders>
            <w:gridSpan w:val="6"/>
          </w:tcPr>
          <w:p>
            <w:pPr>
              <w:spacing w:after="0"/>
              <w:rPr>
                <w:sz w:val="17"/>
                <w:szCs w:val="17"/>
                <w:color w:val="auto"/>
              </w:rPr>
            </w:pP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23"/>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CME Group Inc. Severance Plan for Eligible Executives, amended and restated effective January 1, 2013 (incorporated by reference to</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Exhibit 10.16 to CME Group Inc.'s Form 10-K, filed with the SEC on February 28, 2014)</w:t>
              </w:r>
              <w:r>
                <w:rPr>
                  <w:rFonts w:ascii="Arial" w:cs="Arial" w:eastAsia="Arial" w:hAnsi="Arial"/>
                  <w:sz w:val="18"/>
                  <w:szCs w:val="18"/>
                  <w:color w:val="000000"/>
                </w:rPr>
                <w:t>;</w:t>
              </w:r>
              <w:r>
                <w:rPr>
                  <w:rFonts w:ascii="Arial" w:cs="Arial" w:eastAsia="Arial" w:hAnsi="Arial"/>
                  <w:sz w:val="18"/>
                  <w:szCs w:val="18"/>
                  <w:color w:val="0000FF"/>
                </w:rPr>
                <w:t xml:space="preserve"> First Amendment to CME Group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6"/>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Severance Plan for Eligible Executives, effective as of October 13, 2014 (incorporated by reference to Exhibit 10.16 to CME Group's 10-</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K, filed with the SEC on February 26, 2015).</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tcBorders>
              <w:bottom w:val="single" w:sz="8" w:color="0000FF"/>
            </w:tcBorders>
            <w:gridSpan w:val="20"/>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CME Group Inc. Severance Plan, amended and restated effective January 1, 2013 (incorporated by reference to Exhibit 10.17 to CME</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Group Inc.'s Form 10-K, filed with the SEC on February 28, 2014)</w:t>
              </w:r>
              <w:r>
                <w:rPr>
                  <w:rFonts w:ascii="Arial" w:cs="Arial" w:eastAsia="Arial" w:hAnsi="Arial"/>
                  <w:sz w:val="18"/>
                  <w:szCs w:val="18"/>
                  <w:color w:val="000000"/>
                  <w:w w:val="95"/>
                </w:rPr>
                <w:t>;</w:t>
              </w:r>
              <w:r>
                <w:rPr>
                  <w:rFonts w:ascii="Arial" w:cs="Arial" w:eastAsia="Arial" w:hAnsi="Arial"/>
                  <w:sz w:val="18"/>
                  <w:szCs w:val="18"/>
                  <w:color w:val="0000FF"/>
                  <w:w w:val="95"/>
                </w:rPr>
                <w:t xml:space="preserve"> First Amendment to the Amended and Restated CME Group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420" w:right="440"/>
        <w:spacing w:after="0" w:line="277" w:lineRule="auto"/>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Severance Plan, effective October 13, 2014 (incorporated by reference to Exhibit 10.17 to CME Group's 10-K, filed with the SEC on</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February 26, 2015).</w:t>
        </w:r>
      </w:hyperlink>
    </w:p>
    <w:p>
      <w:pPr>
        <w:sectPr>
          <w:pgSz w:w="11900" w:h="16838" w:orient="portrait"/>
          <w:cols w:equalWidth="0" w:num="1">
            <w:col w:w="11420"/>
          </w:cols>
          <w:pgMar w:left="240" w:top="114" w:right="239" w:bottom="1440" w:gutter="0" w:footer="0" w:header="0"/>
        </w:sectPr>
      </w:pPr>
    </w:p>
    <w:p>
      <w:pPr>
        <w:spacing w:after="0" w:line="1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10.15(1)</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10.16(1)</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10.17(1)</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10.18(1)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0"/>
        <w:spacing w:after="0" w:line="277" w:lineRule="auto"/>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Form of Severance Protection Agreement (incorporated by reference to Exhibit 10.2 to CME Group Inc.'s Form 8-K, filed with the SEC</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on December 9, 2016).</w:t>
        </w:r>
      </w:hyperlink>
    </w:p>
    <w:p>
      <w:pPr>
        <w:spacing w:after="0" w:line="211" w:lineRule="exact"/>
        <w:rPr>
          <w:sz w:val="20"/>
          <w:szCs w:val="20"/>
          <w:color w:val="auto"/>
        </w:rPr>
      </w:pPr>
    </w:p>
    <w:p>
      <w:pPr>
        <w:ind w:right="560"/>
        <w:spacing w:after="0" w:line="277" w:lineRule="auto"/>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Amended and Restated Agreement, effective as of May 8, 2018, between CME Group Inc. and Terrence A. Duffy (incorporated by</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reference to Exhibit 10.1 to CME Group Inc.'s Form 8-K, filed with the SEC on May 9, 2018).</w:t>
        </w:r>
      </w:hyperlink>
    </w:p>
    <w:p>
      <w:pPr>
        <w:spacing w:after="0" w:line="130" w:lineRule="exact"/>
        <w:rPr>
          <w:sz w:val="20"/>
          <w:szCs w:val="20"/>
          <w:color w:val="auto"/>
        </w:rPr>
      </w:pPr>
    </w:p>
    <w:p>
      <w:pPr>
        <w:ind w:right="320"/>
        <w:spacing w:after="0" w:line="277" w:lineRule="auto"/>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Consulting Agreement between Leo Melamed and CME Group Inc., dated June 26, 2009 (incorporated by reference to Exhibit 10.2 to</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CME Group Inc.'s Form 10-Q, filed with the SEC on August 6, 2009).</w:t>
        </w:r>
      </w:hyperlink>
    </w:p>
    <w:p>
      <w:pPr>
        <w:spacing w:after="0" w:line="130" w:lineRule="exact"/>
        <w:rPr>
          <w:sz w:val="20"/>
          <w:szCs w:val="20"/>
          <w:color w:val="auto"/>
        </w:rPr>
      </w:pPr>
    </w:p>
    <w:p>
      <w:pPr>
        <w:ind w:right="80"/>
        <w:spacing w:after="0" w:line="259" w:lineRule="auto"/>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Consulting Agreement between Leo Melamed and Chicago Mercantile Exchange Holdings Inc., dated November 14, 2005 (incorporated</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by reference to Exhibit 10.28 to Chicago Mercantile Exchange Holdings Inc.'s Form 10-K filed with the SEC on March 6, 2006)</w:t>
        </w:r>
        <w:r>
          <w:rPr>
            <w:rFonts w:ascii="Arial" w:cs="Arial" w:eastAsia="Arial" w:hAnsi="Arial"/>
            <w:sz w:val="18"/>
            <w:szCs w:val="18"/>
            <w:color w:val="000000"/>
          </w:rPr>
          <w:t>;</w:t>
        </w:r>
      </w:hyperlink>
      <w:r>
        <w:rPr>
          <w:rFonts w:ascii="Arial" w:cs="Arial" w:eastAsia="Arial" w:hAnsi="Arial"/>
          <w:sz w:val="18"/>
          <w:szCs w:val="18"/>
          <w:color w:val="0000FF"/>
        </w:rPr>
        <w:t xml:space="preserve"> </w:t>
      </w:r>
      <w:hyperlink r:id="rId48">
        <w:r>
          <w:rPr>
            <w:rFonts w:ascii="Arial" w:cs="Arial" w:eastAsia="Arial" w:hAnsi="Arial"/>
            <w:sz w:val="18"/>
            <w:szCs w:val="18"/>
            <w:u w:val="single" w:color="auto"/>
            <w:color w:val="0000FF"/>
          </w:rPr>
          <w:t>Amendment, dated as of June 21, 2012 (incorporated by reference to Exhibit 10.4 to CME Group Inc.'s Form 10-Q, filed with the SEC on</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August 8, 2012).</w:t>
        </w:r>
      </w:hyperlink>
    </w:p>
    <w:p>
      <w:pPr>
        <w:spacing w:after="0" w:line="129" w:lineRule="exact"/>
        <w:rPr>
          <w:rFonts w:ascii="Arial" w:cs="Arial" w:eastAsia="Arial" w:hAnsi="Arial"/>
          <w:sz w:val="18"/>
          <w:szCs w:val="18"/>
          <w:color w:val="0000FF"/>
        </w:rPr>
      </w:pPr>
    </w:p>
    <w:p>
      <w:pPr>
        <w:sectPr>
          <w:pgSz w:w="11900" w:h="16838" w:orient="portrait"/>
          <w:cols w:equalWidth="0" w:num="2">
            <w:col w:w="700" w:space="720"/>
            <w:col w:w="10000"/>
          </w:cols>
          <w:pgMar w:left="240" w:top="114" w:right="2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670"/>
              <w:spacing w:after="0"/>
              <w:rPr>
                <w:sz w:val="20"/>
                <w:szCs w:val="20"/>
                <w:color w:val="auto"/>
              </w:rPr>
            </w:pPr>
            <w:r>
              <w:rPr>
                <w:rFonts w:ascii="Arial" w:cs="Arial" w:eastAsia="Arial" w:hAnsi="Arial"/>
                <w:sz w:val="18"/>
                <w:szCs w:val="18"/>
                <w:color w:val="auto"/>
                <w:w w:val="89"/>
              </w:rPr>
              <w:t>10.19(1)</w:t>
            </w:r>
          </w:p>
        </w:tc>
        <w:tc>
          <w:tcPr>
            <w:tcW w:w="9880" w:type="dxa"/>
            <w:vAlign w:val="bottom"/>
            <w:gridSpan w:val="3"/>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Consulting Agreement between Leo Melamed and CME Group Inc., dated April 27, 2018 (incorporated by reference to Exhibit 10.1 to</w:t>
              </w:r>
            </w:hyperlink>
          </w:p>
        </w:tc>
      </w:tr>
      <w:tr>
        <w:trPr>
          <w:trHeight w:val="196"/>
        </w:trPr>
        <w:tc>
          <w:tcPr>
            <w:tcW w:w="1380" w:type="dxa"/>
            <w:vAlign w:val="bottom"/>
          </w:tcPr>
          <w:p>
            <w:pPr>
              <w:spacing w:after="0"/>
              <w:rPr>
                <w:sz w:val="17"/>
                <w:szCs w:val="17"/>
                <w:color w:val="auto"/>
              </w:rPr>
            </w:pPr>
          </w:p>
        </w:tc>
        <w:tc>
          <w:tcPr>
            <w:tcW w:w="48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CME Group Inc.'s Form 10-Q, filed with the SEC on May 3, 2018).</w:t>
              </w:r>
            </w:hyperlink>
          </w:p>
        </w:tc>
        <w:tc>
          <w:tcPr>
            <w:tcW w:w="484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r>
      <w:tr>
        <w:trPr>
          <w:trHeight w:val="372"/>
        </w:trPr>
        <w:tc>
          <w:tcPr>
            <w:tcW w:w="1380" w:type="dxa"/>
            <w:vAlign w:val="bottom"/>
          </w:tcPr>
          <w:p>
            <w:pPr>
              <w:jc w:val="right"/>
              <w:ind w:right="670"/>
              <w:spacing w:after="0"/>
              <w:rPr>
                <w:sz w:val="20"/>
                <w:szCs w:val="20"/>
                <w:color w:val="auto"/>
              </w:rPr>
            </w:pPr>
            <w:r>
              <w:rPr>
                <w:rFonts w:ascii="Arial" w:cs="Arial" w:eastAsia="Arial" w:hAnsi="Arial"/>
                <w:sz w:val="18"/>
                <w:szCs w:val="18"/>
                <w:color w:val="auto"/>
                <w:w w:val="89"/>
              </w:rPr>
              <w:t>10.20(1)</w:t>
            </w:r>
          </w:p>
        </w:tc>
        <w:tc>
          <w:tcPr>
            <w:tcW w:w="9880" w:type="dxa"/>
            <w:vAlign w:val="bottom"/>
            <w:tcBorders>
              <w:bottom w:val="single" w:sz="8" w:color="0000FF"/>
            </w:tcBorders>
            <w:gridSpan w:val="3"/>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Consulting Agreement between John F. Sandner and CME Group Inc., dated April 23, 2018 (incorporated by reference to Exhibit 10.2 to</w:t>
              </w:r>
            </w:hyperlink>
          </w:p>
        </w:tc>
      </w:tr>
      <w:tr>
        <w:trPr>
          <w:trHeight w:val="196"/>
        </w:trPr>
        <w:tc>
          <w:tcPr>
            <w:tcW w:w="1380" w:type="dxa"/>
            <w:vAlign w:val="bottom"/>
          </w:tcPr>
          <w:p>
            <w:pPr>
              <w:spacing w:after="0"/>
              <w:rPr>
                <w:sz w:val="17"/>
                <w:szCs w:val="17"/>
                <w:color w:val="auto"/>
              </w:rPr>
            </w:pPr>
          </w:p>
        </w:tc>
        <w:tc>
          <w:tcPr>
            <w:tcW w:w="488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CME Group Inc.'s Form 10-Q, filed with the SEC on May 3, 2018).</w:t>
              </w:r>
            </w:hyperlink>
          </w:p>
        </w:tc>
        <w:tc>
          <w:tcPr>
            <w:tcW w:w="500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14"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16"/>
            <w:vMerge w:val="restart"/>
          </w:tcPr>
          <w:p>
            <w:pPr>
              <w:ind w:left="6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8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10.21(1)</w:t>
            </w: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600" w:type="dxa"/>
            <w:vAlign w:val="bottom"/>
            <w:tcBorders>
              <w:top w:val="single" w:sz="8" w:color="auto"/>
              <w:bottom w:val="single" w:sz="8" w:color="0000FF"/>
            </w:tcBorders>
            <w:gridSpan w:val="18"/>
          </w:tcPr>
          <w:p>
            <w:pPr>
              <w:spacing w:after="0" w:line="202"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Amendment Deed, dated November 2, 2018, by and among CME Group Inc., NEX Group plc and Michael Spencer (incorporated by</w:t>
              </w:r>
            </w:hyperlink>
          </w:p>
        </w:tc>
        <w:tc>
          <w:tcPr>
            <w:tcW w:w="400" w:type="dxa"/>
            <w:vAlign w:val="bottom"/>
            <w:tcBorders>
              <w:top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reference to Exhibit 10.1 to CME Group Inc.'s Form 8-K, filed with the SEC on November 8, 2018).</w:t>
              </w:r>
            </w:hyperlink>
          </w:p>
        </w:tc>
        <w:tc>
          <w:tcPr>
            <w:tcW w:w="27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10.22(2)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tcBorders>
              <w:bottom w:val="single" w:sz="8" w:color="0000FF"/>
            </w:tcBorders>
            <w:gridSpan w:val="17"/>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License Agreement, dated June 29, 2012, between Standard &amp; Poor's Financial Services LLC and Chicago Mercantile Exchange Inc.</w:t>
              </w:r>
            </w:hyperlink>
          </w:p>
        </w:tc>
        <w:tc>
          <w:tcPr>
            <w:tcW w:w="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(incorporated by reference to Exhibit 10.6 to CME Group Inc.'s Form 10-Q, filed with the SEC on August 8, 2012).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1"/>
          </w:tcPr>
          <w:p>
            <w:pPr>
              <w:spacing w:after="0"/>
              <w:rPr>
                <w:rFonts w:ascii="Arial" w:cs="Arial" w:eastAsia="Arial" w:hAnsi="Arial"/>
                <w:sz w:val="18"/>
                <w:szCs w:val="18"/>
                <w:color w:val="0000FF"/>
                <w:w w:val="98"/>
              </w:rPr>
            </w:pPr>
            <w:hyperlink r:id="rId53">
              <w:r>
                <w:rPr>
                  <w:rFonts w:ascii="Arial" w:cs="Arial" w:eastAsia="Arial" w:hAnsi="Arial"/>
                  <w:sz w:val="18"/>
                  <w:szCs w:val="18"/>
                  <w:u w:val="single" w:color="auto"/>
                  <w:color w:val="0000FF"/>
                  <w:w w:val="98"/>
                </w:rPr>
                <w:t>$</w:t>
              </w:r>
              <w:r>
                <w:rPr>
                  <w:rFonts w:ascii="Arial" w:cs="Arial" w:eastAsia="Arial" w:hAnsi="Arial"/>
                  <w:sz w:val="18"/>
                  <w:szCs w:val="18"/>
                  <w:color w:val="0000FF"/>
                  <w:w w:val="98"/>
                </w:rPr>
                <w:t>2,250,000,000 Credit Agreement, dated as of November 21, 2017, among CME Group Inc., certain lenders, agents, arrangers,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bookrunners and Bank of America, N.A., as Administrative Agent (incorporated by reference to Exhibit 10.1 to CME Group Inc.'s Form</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8-K, filed with the SEC on November 27, 2017).</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1"/>
            <w:vMerge w:val="restart"/>
          </w:tcPr>
          <w:p>
            <w:pPr>
              <w:spacing w:after="0"/>
              <w:rPr>
                <w:rFonts w:ascii="Arial" w:cs="Arial" w:eastAsia="Arial" w:hAnsi="Arial"/>
                <w:sz w:val="18"/>
                <w:szCs w:val="18"/>
                <w:color w:val="0000FF"/>
                <w:w w:val="97"/>
              </w:rPr>
            </w:pPr>
            <w:hyperlink r:id="rId54">
              <w:r>
                <w:rPr>
                  <w:rFonts w:ascii="Arial" w:cs="Arial" w:eastAsia="Arial" w:hAnsi="Arial"/>
                  <w:sz w:val="18"/>
                  <w:szCs w:val="18"/>
                  <w:color w:val="0000FF"/>
                  <w:w w:val="97"/>
                </w:rPr>
                <w:t>Amendment No. 1 to Credit Agreement and Bank Joinder Agreement, dated as of November 1, 2018, among Chicago Mercantile</w:t>
              </w:r>
            </w:hyperlink>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0" w:type="dxa"/>
            <w:vAlign w:val="bottom"/>
            <w:gridSpan w:val="2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Exchange Inc., Bank of America, N.A., in its capacity as administrative agent, Citibank, N.A., in its capacity as Collateral Agent, and</w:t>
              </w:r>
            </w:hyperlink>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certain banks (incorporated by reference to Exhibit 10.1 to CME Group Inc.'s Form 8-K, filed with the SEC on November 7, 2018).</w:t>
              </w:r>
            </w:hyperlink>
          </w:p>
        </w:tc>
        <w:tc>
          <w:tcPr>
            <w:tcW w:w="5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20" w:type="dxa"/>
            <w:vAlign w:val="bottom"/>
          </w:tcPr>
          <w:p>
            <w:pPr>
              <w:ind w:left="4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1"/>
          </w:tcPr>
          <w:p>
            <w:pPr>
              <w:spacing w:after="0"/>
              <w:rPr>
                <w:rFonts w:ascii="Arial" w:cs="Arial" w:eastAsia="Arial" w:hAnsi="Arial"/>
                <w:sz w:val="18"/>
                <w:szCs w:val="18"/>
                <w:color w:val="0000FF"/>
                <w:w w:val="94"/>
              </w:rPr>
            </w:pPr>
            <w:hyperlink r:id="rId16">
              <w:r>
                <w:rPr>
                  <w:rFonts w:ascii="Arial" w:cs="Arial" w:eastAsia="Arial" w:hAnsi="Arial"/>
                  <w:sz w:val="18"/>
                  <w:szCs w:val="18"/>
                  <w:color w:val="0000FF"/>
                  <w:w w:val="94"/>
                </w:rPr>
                <w:t>Amended and Restated Commercial Paper Dealer Agreement, dated as of October 20, 2014, among CME Group Inc., as Issuer, and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Barclays Capital Inc., as Dealer (incorporated by reference to Exhibit 4.1 above).</w:t>
              </w:r>
            </w:hyperlink>
          </w:p>
        </w:tc>
        <w:tc>
          <w:tcPr>
            <w:tcW w:w="3640" w:type="dxa"/>
            <w:vAlign w:val="bottom"/>
            <w:tcBorders>
              <w:top w:val="single" w:sz="8" w:color="0000FF"/>
            </w:tcBorders>
            <w:gridSpan w:val="10"/>
          </w:tcPr>
          <w:p>
            <w:pPr>
              <w:spacing w:after="0"/>
              <w:rPr>
                <w:sz w:val="17"/>
                <w:szCs w:val="17"/>
                <w:color w:val="auto"/>
              </w:rPr>
            </w:pPr>
          </w:p>
        </w:tc>
        <w:tc>
          <w:tcPr>
            <w:tcW w:w="5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tcBorders>
              <w:bottom w:val="single" w:sz="8" w:color="0000FF"/>
            </w:tcBorders>
            <w:gridSpan w:val="15"/>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Commercial Paper Issuing and Paying Agency Agreement, dated as of September 26, 2014, between CME Group Inc. and Bank of</w:t>
              </w:r>
            </w:hyperlink>
          </w:p>
        </w:tc>
        <w:tc>
          <w:tcPr>
            <w:tcW w:w="5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America, National Association, as Issuing and Paying Agent (incorporated by reference to Exhibit 4.2 above).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0" w:type="dxa"/>
            <w:vAlign w:val="bottom"/>
            <w:tcBorders>
              <w:bottom w:val="single" w:sz="8" w:color="0000FF"/>
            </w:tcBorders>
            <w:gridSpan w:val="18"/>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Amended and Restated Commercial Paper Dealer Agreement, dated as of October 20, 2014, between CME Group Inc., as Issuer, and</w:t>
              </w:r>
            </w:hyperlink>
          </w:p>
        </w:tc>
        <w:tc>
          <w:tcPr>
            <w:tcW w:w="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Merrill Lynch, Pierce, Fenner &amp; Smith Incorporated, as Dealer (incorporated by reference to Exhibit 4.3 above).</w:t>
              </w:r>
            </w:hyperlink>
          </w:p>
        </w:tc>
        <w:tc>
          <w:tcPr>
            <w:tcW w:w="19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0" w:type="dxa"/>
            <w:vAlign w:val="bottom"/>
            <w:tcBorders>
              <w:bottom w:val="single" w:sz="8" w:color="0000FF"/>
            </w:tcBorders>
            <w:gridSpan w:val="18"/>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Amended and Restated Commercial Paper Dealer Agreement, dated as of October 20, 2014, between CME Group Inc., as Issuer, and</w:t>
              </w:r>
            </w:hyperlink>
          </w:p>
        </w:tc>
        <w:tc>
          <w:tcPr>
            <w:tcW w:w="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Goldman, Sachs &amp; Co., as Dealer (incorporated by reference to Exhibit 4.4 above).</w:t>
              </w:r>
            </w:hyperlink>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80" w:type="dxa"/>
            <w:vAlign w:val="bottom"/>
            <w:tcBorders>
              <w:top w:val="single" w:sz="8" w:color="0000FF"/>
            </w:tcBorders>
            <w:gridSpan w:val="7"/>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List of Subsidiaries of CME Group Inc.</w:t>
              </w:r>
            </w:hyperlink>
          </w:p>
        </w:tc>
        <w:tc>
          <w:tcPr>
            <w:tcW w:w="40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20" w:type="dxa"/>
            <w:vAlign w:val="bottom"/>
          </w:tcPr>
          <w:p>
            <w:pPr>
              <w:ind w:left="4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Consent of Ernst &amp; Young LLP.</w:t>
              </w:r>
            </w:hyperlink>
          </w:p>
        </w:tc>
        <w:tc>
          <w:tcPr>
            <w:tcW w:w="540" w:type="dxa"/>
            <w:vAlign w:val="bottom"/>
            <w:tcBorders>
              <w:top w:val="single" w:sz="8" w:color="0000FF"/>
            </w:tcBorders>
          </w:tcPr>
          <w:p>
            <w:pPr>
              <w:spacing w:after="0"/>
              <w:rPr>
                <w:sz w:val="24"/>
                <w:szCs w:val="24"/>
                <w:color w:val="auto"/>
              </w:rPr>
            </w:pPr>
          </w:p>
        </w:tc>
        <w:tc>
          <w:tcPr>
            <w:tcW w:w="71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1"/>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Section 302—Certification of Terrence A. Duffy.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1"/>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Section 302—Certification of John W. Pietrowicz.</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8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Certification Pursuant to 18 U.S.C. Section 1350, as Adopted Pursuant to Section 906 of the Sarbanes-Oxley Act of 2002.</w:t>
              </w:r>
            </w:hyperlink>
          </w:p>
        </w:tc>
        <w:tc>
          <w:tcPr>
            <w:tcW w:w="1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1000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380" w:type="dxa"/>
            <w:vAlign w:val="bottom"/>
            <w:gridSpan w:val="3"/>
          </w:tcPr>
          <w:p>
            <w:pPr>
              <w:spacing w:after="0"/>
              <w:rPr>
                <w:sz w:val="20"/>
                <w:szCs w:val="20"/>
                <w:color w:val="auto"/>
              </w:rPr>
            </w:pPr>
            <w:r>
              <w:rPr>
                <w:rFonts w:ascii="Arial" w:cs="Arial" w:eastAsia="Arial" w:hAnsi="Arial"/>
                <w:sz w:val="18"/>
                <w:szCs w:val="18"/>
                <w:color w:val="auto"/>
                <w:w w:val="90"/>
              </w:rPr>
              <w:t>_______________</w:t>
            </w:r>
          </w:p>
        </w:tc>
        <w:tc>
          <w:tcPr>
            <w:tcW w:w="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360" w:hanging="1325"/>
        <w:spacing w:after="0"/>
        <w:tabs>
          <w:tab w:leader="none" w:pos="1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for portions of this exhibit.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14"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19"/>
          </w:cols>
          <w:pgMar w:left="240" w:top="121" w:right="1440"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28th day of February, 2019.</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CME Group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By:</w:t>
            </w:r>
          </w:p>
        </w:tc>
        <w:tc>
          <w:tcPr>
            <w:tcW w:w="4280" w:type="dxa"/>
            <w:vAlign w:val="bottom"/>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W. P</w:t>
            </w:r>
            <w:r>
              <w:rPr>
                <w:rFonts w:ascii="Arial" w:cs="Arial" w:eastAsia="Arial" w:hAnsi="Arial"/>
                <w:sz w:val="14"/>
                <w:szCs w:val="14"/>
                <w:color w:val="auto"/>
              </w:rPr>
              <w:t>IETROWICZ</w:t>
            </w:r>
          </w:p>
        </w:tc>
      </w:tr>
      <w:tr>
        <w:trPr>
          <w:trHeight w:val="27"/>
        </w:trPr>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146"/>
        </w:trPr>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80" w:type="dxa"/>
            <w:vAlign w:val="bottom"/>
          </w:tcPr>
          <w:p>
            <w:pPr>
              <w:jc w:val="center"/>
              <w:ind w:right="84"/>
              <w:spacing w:after="0" w:line="147" w:lineRule="exact"/>
              <w:rPr>
                <w:sz w:val="20"/>
                <w:szCs w:val="20"/>
                <w:color w:val="auto"/>
              </w:rPr>
            </w:pPr>
            <w:r>
              <w:rPr>
                <w:rFonts w:ascii="Arial" w:cs="Arial" w:eastAsia="Arial" w:hAnsi="Arial"/>
                <w:sz w:val="14"/>
                <w:szCs w:val="14"/>
                <w:b w:val="1"/>
                <w:bCs w:val="1"/>
                <w:color w:val="auto"/>
                <w:w w:val="94"/>
              </w:rPr>
              <w:t>John W. Pietrowicz</w:t>
            </w:r>
          </w:p>
        </w:tc>
      </w:tr>
      <w:tr>
        <w:trPr>
          <w:trHeight w:val="186"/>
        </w:trPr>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Senior Managing Director and Chief Financial Officer</w:t>
            </w:r>
          </w:p>
        </w:tc>
      </w:tr>
      <w:tr>
        <w:trPr>
          <w:trHeight w:val="749"/>
        </w:trPr>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1882"/>
              <w:spacing w:after="0"/>
              <w:rPr>
                <w:sz w:val="20"/>
                <w:szCs w:val="20"/>
                <w:color w:val="auto"/>
              </w:rPr>
            </w:pPr>
            <w:r>
              <w:rPr>
                <w:rFonts w:ascii="Arial" w:cs="Arial" w:eastAsia="Arial" w:hAnsi="Arial"/>
                <w:sz w:val="14"/>
                <w:szCs w:val="14"/>
                <w:b w:val="1"/>
                <w:bCs w:val="1"/>
                <w:color w:val="auto"/>
                <w:w w:val="92"/>
              </w:rPr>
              <w:t>Signature</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Title</w:t>
            </w:r>
          </w:p>
        </w:tc>
      </w:tr>
      <w:tr>
        <w:trPr>
          <w:trHeight w:val="364"/>
        </w:trPr>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tcPr>
          <w:p>
            <w:pPr>
              <w:jc w:val="center"/>
              <w:ind w:right="1622"/>
              <w:spacing w:after="0"/>
              <w:rPr>
                <w:sz w:val="20"/>
                <w:szCs w:val="20"/>
                <w:color w:val="auto"/>
              </w:rPr>
            </w:pPr>
            <w:r>
              <w:rPr>
                <w:rFonts w:ascii="Arial" w:cs="Arial" w:eastAsia="Arial" w:hAnsi="Arial"/>
                <w:sz w:val="18"/>
                <w:szCs w:val="18"/>
                <w:color w:val="auto"/>
                <w:w w:val="95"/>
              </w:rPr>
              <w:t>TERRENCE A. DUFFY</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Chairman of the Board, Director and Chief Executive Officer</w:t>
            </w: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5"/>
              </w:rPr>
              <w:t>Terrence A. Duffy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80" w:type="dxa"/>
            <w:vAlign w:val="bottom"/>
            <w:gridSpan w:val="2"/>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tcPr>
          <w:p>
            <w:pPr>
              <w:jc w:val="center"/>
              <w:ind w:right="1522"/>
              <w:spacing w:after="0"/>
              <w:rPr>
                <w:sz w:val="20"/>
                <w:szCs w:val="20"/>
                <w:color w:val="auto"/>
              </w:rPr>
            </w:pPr>
            <w:r>
              <w:rPr>
                <w:rFonts w:ascii="Arial" w:cs="Arial" w:eastAsia="Arial" w:hAnsi="Arial"/>
                <w:sz w:val="18"/>
                <w:szCs w:val="18"/>
                <w:color w:val="auto"/>
                <w:w w:val="94"/>
              </w:rPr>
              <w:t>JOHN W. PIETROWICZ</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Senior Managing Director and Chief Financial Officer</w:t>
            </w: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John W. Pietrowicz</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jc w:val="center"/>
              <w:ind w:right="188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JACK TOBIN</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Managing Director and Chief Accounting Officer</w:t>
            </w: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2"/>
              </w:rPr>
              <w:t>Jack Tobin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ind w:left="15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840" w:type="dxa"/>
            <w:vAlign w:val="bottom"/>
            <w:gridSpan w:val="2"/>
          </w:tcPr>
          <w:p>
            <w:pPr>
              <w:jc w:val="center"/>
              <w:ind w:right="1322"/>
              <w:spacing w:after="0"/>
              <w:rPr>
                <w:sz w:val="20"/>
                <w:szCs w:val="20"/>
                <w:color w:val="auto"/>
              </w:rPr>
            </w:pPr>
            <w:r>
              <w:rPr>
                <w:rFonts w:ascii="Arial" w:cs="Arial" w:eastAsia="Arial" w:hAnsi="Arial"/>
                <w:sz w:val="18"/>
                <w:szCs w:val="18"/>
                <w:color w:val="auto"/>
                <w:w w:val="96"/>
              </w:rPr>
              <w:t>JEFFREY M. BERNACCHI</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902"/>
              <w:spacing w:after="0"/>
              <w:rPr>
                <w:sz w:val="20"/>
                <w:szCs w:val="20"/>
                <w:color w:val="auto"/>
              </w:rPr>
            </w:pPr>
            <w:r>
              <w:rPr>
                <w:rFonts w:ascii="Arial" w:cs="Arial" w:eastAsia="Arial" w:hAnsi="Arial"/>
                <w:sz w:val="14"/>
                <w:szCs w:val="14"/>
                <w:b w:val="1"/>
                <w:bCs w:val="1"/>
                <w:color w:val="auto"/>
                <w:w w:val="94"/>
              </w:rPr>
              <w:t>Jeffrey M. Bernacchi</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TIMOTHY S. BITSBERGER</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3"/>
              </w:rPr>
              <w:t>Timothy S. Bitsberger</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tcPr>
          <w:p>
            <w:pPr>
              <w:jc w:val="center"/>
              <w:ind w:right="1602"/>
              <w:spacing w:after="0"/>
              <w:rPr>
                <w:sz w:val="20"/>
                <w:szCs w:val="20"/>
                <w:color w:val="auto"/>
              </w:rPr>
            </w:pPr>
            <w:r>
              <w:rPr>
                <w:rFonts w:ascii="Arial" w:cs="Arial" w:eastAsia="Arial" w:hAnsi="Arial"/>
                <w:sz w:val="18"/>
                <w:szCs w:val="18"/>
                <w:color w:val="auto"/>
                <w:w w:val="94"/>
              </w:rPr>
              <w:t>CHARLES P. CAREY</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3"/>
              </w:rPr>
              <w:t>Charles P. Carey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90"/>
        </w:trPr>
        <w:tc>
          <w:tcPr>
            <w:tcW w:w="5580" w:type="dxa"/>
            <w:vAlign w:val="bottom"/>
            <w:gridSpan w:val="3"/>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DENNIS H. CHOOKASZIAN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2"/>
              </w:rPr>
              <w:t>Dennis H. Chookaszian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3840" w:type="dxa"/>
            <w:vAlign w:val="bottom"/>
            <w:gridSpan w:val="2"/>
          </w:tcPr>
          <w:p>
            <w:pPr>
              <w:jc w:val="center"/>
              <w:ind w:right="1642"/>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ELIZABETH A. COOK</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Elizabeth A. Cook</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jc w:val="center"/>
              <w:ind w:right="1882"/>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ANA DUTRA</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902"/>
              <w:spacing w:after="0"/>
              <w:rPr>
                <w:sz w:val="20"/>
                <w:szCs w:val="20"/>
                <w:color w:val="auto"/>
              </w:rPr>
            </w:pPr>
            <w:r>
              <w:rPr>
                <w:rFonts w:ascii="Arial" w:cs="Arial" w:eastAsia="Arial" w:hAnsi="Arial"/>
                <w:sz w:val="14"/>
                <w:szCs w:val="14"/>
                <w:b w:val="1"/>
                <w:bCs w:val="1"/>
                <w:color w:val="auto"/>
                <w:w w:val="98"/>
              </w:rPr>
              <w:t>Ana Dutra</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tcPr>
          <w:p>
            <w:pPr>
              <w:jc w:val="center"/>
              <w:ind w:right="1522"/>
              <w:spacing w:after="0"/>
              <w:rPr>
                <w:sz w:val="20"/>
                <w:szCs w:val="20"/>
                <w:color w:val="auto"/>
              </w:rPr>
            </w:pPr>
            <w:r>
              <w:rPr>
                <w:rFonts w:ascii="Arial" w:cs="Arial" w:eastAsia="Arial" w:hAnsi="Arial"/>
                <w:sz w:val="18"/>
                <w:szCs w:val="18"/>
                <w:color w:val="auto"/>
                <w:w w:val="96"/>
              </w:rPr>
              <w:t>MARTIN J. GEPSMAN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5"/>
              </w:rPr>
              <w:t>Martin J. Gepsman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80" w:type="dxa"/>
            <w:vAlign w:val="bottom"/>
            <w:gridSpan w:val="2"/>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tcPr>
          <w:p>
            <w:pPr>
              <w:jc w:val="center"/>
              <w:ind w:right="1802"/>
              <w:spacing w:after="0"/>
              <w:rPr>
                <w:sz w:val="20"/>
                <w:szCs w:val="20"/>
                <w:color w:val="auto"/>
              </w:rPr>
            </w:pPr>
            <w:r>
              <w:rPr>
                <w:rFonts w:ascii="Arial" w:cs="Arial" w:eastAsia="Arial" w:hAnsi="Arial"/>
                <w:sz w:val="18"/>
                <w:szCs w:val="18"/>
                <w:color w:val="auto"/>
                <w:w w:val="94"/>
              </w:rPr>
              <w:t>LARRY G. GERDES</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Lead 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8"/>
              </w:rPr>
              <w:t>Larry G. Gerdes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80" w:type="dxa"/>
            <w:vAlign w:val="bottom"/>
            <w:gridSpan w:val="2"/>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tcPr>
          <w:p>
            <w:pPr>
              <w:jc w:val="center"/>
              <w:ind w:right="1582"/>
              <w:spacing w:after="0"/>
              <w:rPr>
                <w:sz w:val="20"/>
                <w:szCs w:val="20"/>
                <w:color w:val="auto"/>
              </w:rPr>
            </w:pPr>
            <w:r>
              <w:rPr>
                <w:rFonts w:ascii="Arial" w:cs="Arial" w:eastAsia="Arial" w:hAnsi="Arial"/>
                <w:sz w:val="18"/>
                <w:szCs w:val="18"/>
                <w:color w:val="auto"/>
              </w:rPr>
              <w:t>DANIEL R. GLICKMAN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902"/>
              <w:spacing w:after="0"/>
              <w:rPr>
                <w:sz w:val="20"/>
                <w:szCs w:val="20"/>
                <w:color w:val="auto"/>
              </w:rPr>
            </w:pPr>
            <w:r>
              <w:rPr>
                <w:rFonts w:ascii="Arial" w:cs="Arial" w:eastAsia="Arial" w:hAnsi="Arial"/>
                <w:sz w:val="14"/>
                <w:szCs w:val="14"/>
                <w:b w:val="1"/>
                <w:bCs w:val="1"/>
                <w:color w:val="auto"/>
                <w:w w:val="96"/>
              </w:rPr>
              <w:t>Daniel R. Glickman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3840" w:type="dxa"/>
            <w:vAlign w:val="bottom"/>
            <w:gridSpan w:val="2"/>
          </w:tcPr>
          <w:p>
            <w:pPr>
              <w:jc w:val="center"/>
              <w:ind w:right="1662"/>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GEDON HERTSHTEN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902"/>
              <w:spacing w:after="0"/>
              <w:rPr>
                <w:sz w:val="20"/>
                <w:szCs w:val="20"/>
                <w:color w:val="auto"/>
              </w:rPr>
            </w:pPr>
            <w:r>
              <w:rPr>
                <w:rFonts w:ascii="Arial" w:cs="Arial" w:eastAsia="Arial" w:hAnsi="Arial"/>
                <w:sz w:val="14"/>
                <w:szCs w:val="14"/>
                <w:b w:val="1"/>
                <w:bCs w:val="1"/>
                <w:color w:val="auto"/>
                <w:w w:val="93"/>
              </w:rPr>
              <w:t>Gedon Hertshten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3840" w:type="dxa"/>
            <w:vAlign w:val="bottom"/>
            <w:gridSpan w:val="2"/>
          </w:tcPr>
          <w:p>
            <w:pPr>
              <w:jc w:val="center"/>
              <w:ind w:right="1562"/>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WILLIAM H. HOBERT</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9"/>
              </w:rPr>
              <w:t>Wiliam H. Hobert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90"/>
        </w:trPr>
        <w:tc>
          <w:tcPr>
            <w:tcW w:w="1740" w:type="dxa"/>
            <w:vAlign w:val="bottom"/>
          </w:tcPr>
          <w:p>
            <w:pPr>
              <w:spacing w:after="0"/>
              <w:rPr>
                <w:sz w:val="24"/>
                <w:szCs w:val="24"/>
                <w:color w:val="auto"/>
              </w:rPr>
            </w:pPr>
          </w:p>
        </w:tc>
        <w:tc>
          <w:tcPr>
            <w:tcW w:w="3840" w:type="dxa"/>
            <w:vAlign w:val="bottom"/>
            <w:gridSpan w:val="2"/>
          </w:tcPr>
          <w:p>
            <w:pPr>
              <w:jc w:val="center"/>
              <w:ind w:right="1642"/>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DEBORAH J. LUCAS</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jc w:val="center"/>
              <w:ind w:right="1882"/>
              <w:spacing w:after="0"/>
              <w:rPr>
                <w:sz w:val="20"/>
                <w:szCs w:val="20"/>
                <w:color w:val="auto"/>
              </w:rPr>
            </w:pPr>
            <w:r>
              <w:rPr>
                <w:rFonts w:ascii="Arial" w:cs="Arial" w:eastAsia="Arial" w:hAnsi="Arial"/>
                <w:sz w:val="14"/>
                <w:szCs w:val="14"/>
                <w:b w:val="1"/>
                <w:bCs w:val="1"/>
                <w:color w:val="auto"/>
                <w:w w:val="92"/>
              </w:rPr>
              <w:t>Deborah J. Lucas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2"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RONALD A. PANKAU</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4"/>
              </w:rPr>
              <w:t>Ronald A. Pankau</w:t>
            </w:r>
          </w:p>
        </w:tc>
        <w:tc>
          <w:tcPr>
            <w:tcW w:w="2280" w:type="dxa"/>
            <w:vAlign w:val="bottom"/>
          </w:tcPr>
          <w:p>
            <w:pPr>
              <w:spacing w:after="0"/>
              <w:rPr>
                <w:sz w:val="20"/>
                <w:szCs w:val="20"/>
                <w:color w:val="auto"/>
              </w:rPr>
            </w:pPr>
          </w:p>
        </w:tc>
      </w:tr>
      <w:tr>
        <w:trPr>
          <w:trHeight w:val="37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ALEX J. POLLOCK</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3"/>
              </w:rPr>
              <w:t>Alex J. Pollock</w:t>
            </w:r>
          </w:p>
        </w:tc>
        <w:tc>
          <w:tcPr>
            <w:tcW w:w="2280" w:type="dxa"/>
            <w:vAlign w:val="bottom"/>
          </w:tcPr>
          <w:p>
            <w:pPr>
              <w:spacing w:after="0"/>
              <w:rPr>
                <w:sz w:val="20"/>
                <w:szCs w:val="20"/>
                <w:color w:val="auto"/>
              </w:rPr>
            </w:pPr>
          </w:p>
        </w:tc>
      </w:tr>
      <w:tr>
        <w:trPr>
          <w:trHeight w:val="37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4"/>
              </w:rPr>
              <w:t>/S/ TERRY L. SAVAGE</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24"/>
              <w:spacing w:after="0"/>
              <w:rPr>
                <w:sz w:val="20"/>
                <w:szCs w:val="20"/>
                <w:color w:val="auto"/>
              </w:rPr>
            </w:pPr>
            <w:r>
              <w:rPr>
                <w:rFonts w:ascii="Arial" w:cs="Arial" w:eastAsia="Arial" w:hAnsi="Arial"/>
                <w:sz w:val="14"/>
                <w:szCs w:val="14"/>
                <w:b w:val="1"/>
                <w:bCs w:val="1"/>
                <w:color w:val="auto"/>
                <w:w w:val="93"/>
              </w:rPr>
              <w:t>Terry L. Savage</w:t>
            </w:r>
          </w:p>
        </w:tc>
        <w:tc>
          <w:tcPr>
            <w:tcW w:w="2280" w:type="dxa"/>
            <w:vAlign w:val="bottom"/>
          </w:tcPr>
          <w:p>
            <w:pPr>
              <w:spacing w:after="0"/>
              <w:rPr>
                <w:sz w:val="20"/>
                <w:szCs w:val="20"/>
                <w:color w:val="auto"/>
              </w:rPr>
            </w:pPr>
          </w:p>
        </w:tc>
      </w:tr>
      <w:tr>
        <w:trPr>
          <w:trHeight w:val="377"/>
        </w:trPr>
        <w:tc>
          <w:tcPr>
            <w:tcW w:w="2000" w:type="dxa"/>
            <w:vAlign w:val="bottom"/>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564"/>
              <w:spacing w:after="0"/>
              <w:rPr>
                <w:sz w:val="20"/>
                <w:szCs w:val="20"/>
                <w:color w:val="auto"/>
              </w:rPr>
            </w:pPr>
            <w:r>
              <w:rPr>
                <w:rFonts w:ascii="Arial" w:cs="Arial" w:eastAsia="Arial" w:hAnsi="Arial"/>
                <w:sz w:val="18"/>
                <w:szCs w:val="18"/>
                <w:color w:val="auto"/>
                <w:w w:val="98"/>
              </w:rPr>
              <w:t>WILLIAM R. SHEPARD</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24"/>
              <w:spacing w:after="0"/>
              <w:rPr>
                <w:sz w:val="20"/>
                <w:szCs w:val="20"/>
                <w:color w:val="auto"/>
              </w:rPr>
            </w:pPr>
            <w:r>
              <w:rPr>
                <w:rFonts w:ascii="Arial" w:cs="Arial" w:eastAsia="Arial" w:hAnsi="Arial"/>
                <w:sz w:val="14"/>
                <w:szCs w:val="14"/>
                <w:b w:val="1"/>
                <w:bCs w:val="1"/>
                <w:color w:val="auto"/>
                <w:w w:val="96"/>
              </w:rPr>
              <w:t>William R. Shepard</w:t>
            </w:r>
          </w:p>
        </w:tc>
        <w:tc>
          <w:tcPr>
            <w:tcW w:w="2280" w:type="dxa"/>
            <w:vAlign w:val="bottom"/>
          </w:tcPr>
          <w:p>
            <w:pPr>
              <w:spacing w:after="0"/>
              <w:rPr>
                <w:sz w:val="20"/>
                <w:szCs w:val="20"/>
                <w:color w:val="auto"/>
              </w:rPr>
            </w:pPr>
          </w:p>
        </w:tc>
      </w:tr>
      <w:tr>
        <w:trPr>
          <w:trHeight w:val="41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HOWARD J. SIEGEL</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2"/>
              </w:rPr>
              <w:t>Howard J. Siegel</w:t>
            </w:r>
          </w:p>
        </w:tc>
        <w:tc>
          <w:tcPr>
            <w:tcW w:w="2280" w:type="dxa"/>
            <w:vAlign w:val="bottom"/>
          </w:tcPr>
          <w:p>
            <w:pPr>
              <w:spacing w:after="0"/>
              <w:rPr>
                <w:sz w:val="20"/>
                <w:szCs w:val="20"/>
                <w:color w:val="auto"/>
              </w:rPr>
            </w:pPr>
          </w:p>
        </w:tc>
      </w:tr>
      <w:tr>
        <w:trPr>
          <w:trHeight w:val="37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MICHAEL A. SPENCER</w:t>
            </w:r>
          </w:p>
        </w:tc>
        <w:tc>
          <w:tcPr>
            <w:tcW w:w="2280" w:type="dxa"/>
            <w:vAlign w:val="bottom"/>
          </w:tcPr>
          <w:p>
            <w:pPr>
              <w:ind w:left="160"/>
              <w:spacing w:after="0"/>
              <w:rPr>
                <w:sz w:val="20"/>
                <w:szCs w:val="20"/>
                <w:color w:val="auto"/>
              </w:rPr>
            </w:pPr>
            <w:r>
              <w:rPr>
                <w:rFonts w:ascii="Arial" w:cs="Arial" w:eastAsia="Arial" w:hAnsi="Arial"/>
                <w:sz w:val="18"/>
                <w:szCs w:val="18"/>
                <w:color w:val="auto"/>
                <w:w w:val="92"/>
              </w:rPr>
              <w:t>Director and Special Advisor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3"/>
              </w:rPr>
              <w:t>Michael A. Spencer</w:t>
            </w:r>
          </w:p>
        </w:tc>
        <w:tc>
          <w:tcPr>
            <w:tcW w:w="2280" w:type="dxa"/>
            <w:vAlign w:val="bottom"/>
          </w:tcPr>
          <w:p>
            <w:pPr>
              <w:spacing w:after="0"/>
              <w:rPr>
                <w:sz w:val="20"/>
                <w:szCs w:val="20"/>
                <w:color w:val="auto"/>
              </w:rPr>
            </w:pPr>
          </w:p>
        </w:tc>
      </w:tr>
      <w:tr>
        <w:trPr>
          <w:trHeight w:val="377"/>
        </w:trPr>
        <w:tc>
          <w:tcPr>
            <w:tcW w:w="2000" w:type="dxa"/>
            <w:vAlign w:val="bottom"/>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564"/>
              <w:spacing w:after="0"/>
              <w:rPr>
                <w:sz w:val="20"/>
                <w:szCs w:val="20"/>
                <w:color w:val="auto"/>
              </w:rPr>
            </w:pPr>
            <w:r>
              <w:rPr>
                <w:rFonts w:ascii="Arial" w:cs="Arial" w:eastAsia="Arial" w:hAnsi="Arial"/>
                <w:sz w:val="18"/>
                <w:szCs w:val="18"/>
                <w:color w:val="auto"/>
                <w:w w:val="97"/>
              </w:rPr>
              <w:t>DENNIS A. SUSKIND</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1"/>
              </w:rPr>
              <w:t>Dennis A. Suskind</w:t>
            </w:r>
          </w:p>
        </w:tc>
        <w:tc>
          <w:tcPr>
            <w:tcW w:w="2280" w:type="dxa"/>
            <w:vAlign w:val="bottom"/>
          </w:tcPr>
          <w:p>
            <w:pPr>
              <w:spacing w:after="0"/>
              <w:rPr>
                <w:sz w:val="20"/>
                <w:szCs w:val="20"/>
                <w:color w:val="auto"/>
              </w:rPr>
            </w:pPr>
          </w:p>
        </w:tc>
      </w:tr>
      <w:tr>
        <w:trPr>
          <w:trHeight w:val="37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DAVID J. WESCOTT</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2"/>
              </w:rPr>
              <w:t>David J. Wescott</w:t>
            </w:r>
          </w:p>
        </w:tc>
        <w:tc>
          <w:tcPr>
            <w:tcW w:w="2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219"/>
          </w:cols>
          <w:pgMar w:left="240" w:top="121"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CME Group Subsidiaries</w:t>
            </w:r>
          </w:p>
        </w:tc>
        <w:tc>
          <w:tcPr>
            <w:tcW w:w="4720" w:type="dxa"/>
            <w:vAlign w:val="bottom"/>
            <w:gridSpan w:val="2"/>
          </w:tcPr>
          <w:p>
            <w:pPr>
              <w:spacing w:after="0"/>
              <w:rPr>
                <w:sz w:val="17"/>
                <w:szCs w:val="17"/>
                <w:color w:val="auto"/>
              </w:rPr>
            </w:pPr>
          </w:p>
        </w:tc>
      </w:tr>
      <w:tr>
        <w:trPr>
          <w:trHeight w:val="520"/>
        </w:trPr>
        <w:tc>
          <w:tcPr>
            <w:tcW w:w="5740" w:type="dxa"/>
            <w:vAlign w:val="bottom"/>
            <w:gridSpan w:val="4"/>
          </w:tcPr>
          <w:p>
            <w:pPr>
              <w:ind w:left="40"/>
              <w:spacing w:after="0"/>
              <w:rPr>
                <w:sz w:val="20"/>
                <w:szCs w:val="20"/>
                <w:color w:val="auto"/>
              </w:rPr>
            </w:pPr>
            <w:r>
              <w:rPr>
                <w:rFonts w:ascii="Arial" w:cs="Arial" w:eastAsia="Arial" w:hAnsi="Arial"/>
                <w:sz w:val="18"/>
                <w:szCs w:val="18"/>
                <w:b w:val="1"/>
                <w:bCs w:val="1"/>
                <w:color w:val="auto"/>
              </w:rPr>
              <w:t>Name of Subsidiary*</w:t>
            </w: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48"/>
        </w:trPr>
        <w:tc>
          <w:tcPr>
            <w:tcW w:w="4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Abide Financial DRSP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Abide Financial Ltd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Abide Financial Repository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Astley &amp; Pearce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Board of Trade of the City of Chicago,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BrokerTec Americas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BrokerTec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BrokerTec Holdings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BrokerTec Investments</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Capital Shipbrokers LLP</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Capital Shipbroking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C-B-T Corporation</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CFETS-NEX Markets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Chicago Mercantile Exchange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Chicago Mercantile Exchange Korea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Republic of Korea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Chicago Mercantile Exchange Luxembourg Holdings S.à.r.l.</w:t>
            </w:r>
          </w:p>
        </w:tc>
        <w:tc>
          <w:tcPr>
            <w:tcW w:w="56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Chicago Mercantile Exchange Luxembourg S.à.r.l.</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Luxembourg</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Amsterdam B.V.</w:t>
            </w:r>
          </w:p>
        </w:tc>
        <w:tc>
          <w:tcPr>
            <w:tcW w:w="568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Benchmark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Clearing Europe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Consulting (Beijing) Co. 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Digital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Digital Vault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Europe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Finance Holdings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Global Marketplace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Asia Holdings Pte. 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Australia</w:t>
            </w:r>
          </w:p>
        </w:tc>
        <w:tc>
          <w:tcPr>
            <w:tcW w:w="5680" w:type="dxa"/>
            <w:vAlign w:val="bottom"/>
            <w:gridSpan w:val="3"/>
          </w:tcPr>
          <w:p>
            <w:pPr>
              <w:spacing w:after="0"/>
              <w:rPr>
                <w:sz w:val="20"/>
                <w:szCs w:val="20"/>
                <w:color w:val="auto"/>
              </w:rPr>
            </w:pPr>
            <w:r>
              <w:rPr>
                <w:rFonts w:ascii="Arial" w:cs="Arial" w:eastAsia="Arial" w:hAnsi="Arial"/>
                <w:sz w:val="18"/>
                <w:szCs w:val="18"/>
                <w:color w:val="auto"/>
              </w:rPr>
              <w:t>New South Wales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Hong Kong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Index Services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International Market Data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Japan Kabushiki Kaisha</w:t>
            </w:r>
          </w:p>
        </w:tc>
        <w:tc>
          <w:tcPr>
            <w:tcW w:w="5680" w:type="dxa"/>
            <w:vAlign w:val="bottom"/>
            <w:gridSpan w:val="3"/>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Marketing Canada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British Columbia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Singapore Operations Pte. Ltd.</w:t>
            </w:r>
          </w:p>
        </w:tc>
        <w:tc>
          <w:tcPr>
            <w:tcW w:w="5680" w:type="dxa"/>
            <w:vAlign w:val="bottom"/>
            <w:gridSpan w:val="3"/>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Strategic Investments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India Holdings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India Technology and Support Services Private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Interest Earning Facility for Customer-Segregated Funds,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Illinois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Interest Earning Facility for Proprietary Funds,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Investment Firm B.V.</w:t>
            </w:r>
          </w:p>
        </w:tc>
        <w:tc>
          <w:tcPr>
            <w:tcW w:w="568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London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Marketing Europe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661"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CME Operations Limited</w:t>
            </w:r>
          </w:p>
        </w:tc>
        <w:tc>
          <w:tcPr>
            <w:tcW w:w="65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 Platforms Inc.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Shareholder Servicing LLC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Illinois</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 Swaps Marketplace Ltd.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Technology and Support Services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 Trade Repository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Ventures LLC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CMEF Luxembourg S.à.r.l.</w:t>
            </w:r>
          </w:p>
        </w:tc>
        <w:tc>
          <w:tcPr>
            <w:tcW w:w="6580" w:type="dxa"/>
            <w:vAlign w:val="bottom"/>
          </w:tcPr>
          <w:p>
            <w:pPr>
              <w:ind w:left="900"/>
              <w:spacing w:after="0"/>
              <w:rPr>
                <w:sz w:val="20"/>
                <w:szCs w:val="20"/>
                <w:color w:val="auto"/>
              </w:rPr>
            </w:pPr>
            <w:r>
              <w:rPr>
                <w:rFonts w:ascii="Arial" w:cs="Arial" w:eastAsia="Arial" w:hAnsi="Arial"/>
                <w:sz w:val="18"/>
                <w:szCs w:val="18"/>
                <w:color w:val="auto"/>
              </w:rPr>
              <w:t>Luxembourg</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CMEG Brazil 1 Participações Ltda.</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Brazil</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CMEG Brazil Investments 1 LLC</w:t>
            </w:r>
          </w:p>
        </w:tc>
        <w:tc>
          <w:tcPr>
            <w:tcW w:w="6580" w:type="dxa"/>
            <w:vAlign w:val="bottom"/>
          </w:tcPr>
          <w:p>
            <w:pPr>
              <w:ind w:left="900"/>
              <w:spacing w:after="0"/>
              <w:rPr>
                <w:sz w:val="20"/>
                <w:szCs w:val="20"/>
                <w:color w:val="auto"/>
              </w:rPr>
            </w:pPr>
            <w:r>
              <w:rPr>
                <w:rFonts w:ascii="Arial" w:cs="Arial" w:eastAsia="Arial" w:hAnsi="Arial"/>
                <w:sz w:val="18"/>
                <w:szCs w:val="18"/>
                <w:b w:val="1"/>
                <w:bCs w:val="1"/>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CMEG Brazil Investments 2 LLC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CMEG Finance Holdings LLC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CMEG Foundation Services Inc.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CMEG México, S. de R.L. de C.V.</w:t>
            </w:r>
          </w:p>
        </w:tc>
        <w:tc>
          <w:tcPr>
            <w:tcW w:w="6580" w:type="dxa"/>
            <w:vAlign w:val="bottom"/>
          </w:tcPr>
          <w:p>
            <w:pPr>
              <w:ind w:left="900"/>
              <w:spacing w:after="0"/>
              <w:rPr>
                <w:sz w:val="20"/>
                <w:szCs w:val="20"/>
                <w:color w:val="auto"/>
              </w:rPr>
            </w:pPr>
            <w:r>
              <w:rPr>
                <w:rFonts w:ascii="Arial" w:cs="Arial" w:eastAsia="Arial" w:hAnsi="Arial"/>
                <w:sz w:val="18"/>
                <w:szCs w:val="18"/>
                <w:color w:val="auto"/>
              </w:rPr>
              <w:t>Mexico</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CMEG NYMEX Holdings Inc.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CMEG Strategic Sdn. Bhd.</w:t>
            </w:r>
          </w:p>
        </w:tc>
        <w:tc>
          <w:tcPr>
            <w:tcW w:w="6580" w:type="dxa"/>
            <w:vAlign w:val="bottom"/>
          </w:tcPr>
          <w:p>
            <w:pPr>
              <w:ind w:left="900"/>
              <w:spacing w:after="0"/>
              <w:rPr>
                <w:sz w:val="20"/>
                <w:szCs w:val="20"/>
                <w:color w:val="auto"/>
              </w:rPr>
            </w:pPr>
            <w:r>
              <w:rPr>
                <w:rFonts w:ascii="Arial" w:cs="Arial" w:eastAsia="Arial" w:hAnsi="Arial"/>
                <w:sz w:val="18"/>
                <w:szCs w:val="18"/>
                <w:color w:val="auto"/>
              </w:rPr>
              <w:t>Malaysia</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CMESCC Inc.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COMEX Clearing Association, Inc.</w:t>
            </w:r>
          </w:p>
        </w:tc>
        <w:tc>
          <w:tcPr>
            <w:tcW w:w="6580" w:type="dxa"/>
            <w:vAlign w:val="bottom"/>
          </w:tcPr>
          <w:p>
            <w:pPr>
              <w:ind w:left="900"/>
              <w:spacing w:after="0"/>
              <w:rPr>
                <w:sz w:val="20"/>
                <w:szCs w:val="20"/>
                <w:color w:val="auto"/>
              </w:rPr>
            </w:pPr>
            <w:r>
              <w:rPr>
                <w:rFonts w:ascii="Arial" w:cs="Arial" w:eastAsia="Arial" w:hAnsi="Arial"/>
                <w:sz w:val="18"/>
                <w:szCs w:val="18"/>
                <w:color w:val="auto"/>
              </w:rPr>
              <w:t>New York</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Exchange, Inc.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New York</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ConfirmHub, LLC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EBO Investments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Malta</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(Shanghai) Information Technology Co., Ltd.</w:t>
            </w:r>
          </w:p>
        </w:tc>
        <w:tc>
          <w:tcPr>
            <w:tcW w:w="6580" w:type="dxa"/>
            <w:vAlign w:val="bottom"/>
          </w:tcPr>
          <w:p>
            <w:pPr>
              <w:ind w:left="900"/>
              <w:spacing w:after="0"/>
              <w:rPr>
                <w:sz w:val="20"/>
                <w:szCs w:val="20"/>
                <w:color w:val="auto"/>
              </w:rPr>
            </w:pPr>
            <w:r>
              <w:rPr>
                <w:rFonts w:ascii="Arial" w:cs="Arial" w:eastAsia="Arial" w:hAnsi="Arial"/>
                <w:sz w:val="18"/>
                <w:szCs w:val="18"/>
                <w:color w:val="auto"/>
              </w:rPr>
              <w:t>China</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Dealing Resources International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Dealing Resources Japan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Japan</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Dealing Resources, Inc.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Financial Technologies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Israel</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Group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Holdco Inc.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Investments</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No. 2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No. 4, LLC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Service Company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Switzerland</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Elysian Systems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e-MID SIM S.p.A.</w:t>
            </w:r>
          </w:p>
        </w:tc>
        <w:tc>
          <w:tcPr>
            <w:tcW w:w="6580" w:type="dxa"/>
            <w:vAlign w:val="bottom"/>
          </w:tcPr>
          <w:p>
            <w:pPr>
              <w:ind w:left="900"/>
              <w:spacing w:after="0"/>
              <w:rPr>
                <w:sz w:val="20"/>
                <w:szCs w:val="20"/>
                <w:color w:val="auto"/>
              </w:rPr>
            </w:pPr>
            <w:r>
              <w:rPr>
                <w:rFonts w:ascii="Arial" w:cs="Arial" w:eastAsia="Arial" w:hAnsi="Arial"/>
                <w:sz w:val="18"/>
                <w:szCs w:val="18"/>
                <w:color w:val="auto"/>
              </w:rPr>
              <w:t>Italy</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Enso (UK)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Enso Financial Management LLP</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Enso LP</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Jersey</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Euclid Investment Holdings Inc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Euclid Opportunities SA</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Luxembourg</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Garban Broking Holdings (Europe)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Garban Broking Services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Garban Harlow Resources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Globex Markets Ltd.*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Godsell Astley &amp; Pearce (Foreign Exchange)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Godsell Astley &amp; Pearce (Holdings) Ltd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Harlow Ueda Savage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815"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Intercapital (Germany) GmbH</w:t>
            </w:r>
          </w:p>
        </w:tc>
        <w:tc>
          <w:tcPr>
            <w:tcW w:w="71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Germany</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Intercapital (Hong Kong)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Hong Kong</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Intercapital Argentina S.A.</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Argentina</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Intercapital Capital Markets LLC</w:t>
            </w:r>
          </w:p>
        </w:tc>
        <w:tc>
          <w:tcPr>
            <w:tcW w:w="710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Intercapital Lat Am Services S.A.</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Argentina</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Intercapital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Intercapital No. 1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Intercapital No. 1 Pte. Ltd.</w:t>
            </w:r>
          </w:p>
        </w:tc>
        <w:tc>
          <w:tcPr>
            <w:tcW w:w="7100" w:type="dxa"/>
            <w:vAlign w:val="bottom"/>
          </w:tcPr>
          <w:p>
            <w:pPr>
              <w:ind w:left="1420"/>
              <w:spacing w:after="0"/>
              <w:rPr>
                <w:sz w:val="20"/>
                <w:szCs w:val="20"/>
                <w:color w:val="auto"/>
              </w:rPr>
            </w:pPr>
            <w:r>
              <w:rPr>
                <w:rFonts w:ascii="Arial" w:cs="Arial" w:eastAsia="Arial" w:hAnsi="Arial"/>
                <w:sz w:val="18"/>
                <w:szCs w:val="18"/>
                <w:color w:val="auto"/>
              </w:rPr>
              <w:t>Singapore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Intercapital No. 2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Intercapital No. 2 Pte. Ltd.</w:t>
            </w:r>
          </w:p>
        </w:tc>
        <w:tc>
          <w:tcPr>
            <w:tcW w:w="7100" w:type="dxa"/>
            <w:vAlign w:val="bottom"/>
          </w:tcPr>
          <w:p>
            <w:pPr>
              <w:ind w:left="1420"/>
              <w:spacing w:after="0"/>
              <w:rPr>
                <w:sz w:val="20"/>
                <w:szCs w:val="20"/>
                <w:color w:val="auto"/>
              </w:rPr>
            </w:pPr>
            <w:r>
              <w:rPr>
                <w:rFonts w:ascii="Arial" w:cs="Arial" w:eastAsia="Arial" w:hAnsi="Arial"/>
                <w:sz w:val="18"/>
                <w:szCs w:val="18"/>
                <w:color w:val="auto"/>
              </w:rPr>
              <w:t>Singapore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Intercapital No. 3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Intercapital Securities Inc</w:t>
            </w:r>
          </w:p>
        </w:tc>
        <w:tc>
          <w:tcPr>
            <w:tcW w:w="7100" w:type="dxa"/>
            <w:vAlign w:val="bottom"/>
          </w:tcPr>
          <w:p>
            <w:pPr>
              <w:ind w:left="1420"/>
              <w:spacing w:after="0"/>
              <w:rPr>
                <w:sz w:val="20"/>
                <w:szCs w:val="20"/>
                <w:color w:val="auto"/>
              </w:rPr>
            </w:pPr>
            <w:r>
              <w:rPr>
                <w:rFonts w:ascii="Arial" w:cs="Arial" w:eastAsia="Arial" w:hAnsi="Arial"/>
                <w:sz w:val="18"/>
                <w:szCs w:val="18"/>
                <w:color w:val="auto"/>
              </w:rPr>
              <w:t>New York</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Midhurst Chartering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Molten Markets Inc.</w:t>
            </w:r>
          </w:p>
        </w:tc>
        <w:tc>
          <w:tcPr>
            <w:tcW w:w="710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Brokers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New York Mercantile Exchange, Inc.</w:t>
            </w:r>
          </w:p>
        </w:tc>
        <w:tc>
          <w:tcPr>
            <w:tcW w:w="710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Abide Trade Repository AB</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Sweden</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Data Services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Exchange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Finance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Group Holdings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Group Investments, Inc.</w:t>
            </w:r>
          </w:p>
        </w:tc>
        <w:tc>
          <w:tcPr>
            <w:tcW w:w="710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Group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International Investments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International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Investments LLC</w:t>
            </w:r>
          </w:p>
        </w:tc>
        <w:tc>
          <w:tcPr>
            <w:tcW w:w="710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Markets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Optimisation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SEF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Services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Services North America LLC</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Delaware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Services Pte. Ltd</w:t>
            </w:r>
          </w:p>
        </w:tc>
        <w:tc>
          <w:tcPr>
            <w:tcW w:w="7100" w:type="dxa"/>
            <w:vAlign w:val="bottom"/>
          </w:tcPr>
          <w:p>
            <w:pPr>
              <w:ind w:left="1420"/>
              <w:spacing w:after="0"/>
              <w:rPr>
                <w:sz w:val="20"/>
                <w:szCs w:val="20"/>
                <w:color w:val="auto"/>
              </w:rPr>
            </w:pPr>
            <w:r>
              <w:rPr>
                <w:rFonts w:ascii="Arial" w:cs="Arial" w:eastAsia="Arial" w:hAnsi="Arial"/>
                <w:sz w:val="18"/>
                <w:szCs w:val="18"/>
                <w:color w:val="auto"/>
              </w:rPr>
              <w:t>Singapore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Nexstep HK 2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Hong Kong</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Nexstep HK 3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Hong Kong</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Pivot, Inc.</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Delaware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Reset Holdings Private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Singapore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Reset Private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Singapore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Swapstream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Traiana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Traiana Technologies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Israel</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Traiana, Inc.</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Delaware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TriOptima AB</w:t>
            </w:r>
          </w:p>
        </w:tc>
        <w:tc>
          <w:tcPr>
            <w:tcW w:w="7100" w:type="dxa"/>
            <w:vAlign w:val="bottom"/>
          </w:tcPr>
          <w:p>
            <w:pPr>
              <w:ind w:left="1420"/>
              <w:spacing w:after="0"/>
              <w:rPr>
                <w:sz w:val="20"/>
                <w:szCs w:val="20"/>
                <w:color w:val="auto"/>
              </w:rPr>
            </w:pPr>
            <w:r>
              <w:rPr>
                <w:rFonts w:ascii="Arial" w:cs="Arial" w:eastAsia="Arial" w:hAnsi="Arial"/>
                <w:sz w:val="18"/>
                <w:szCs w:val="18"/>
                <w:color w:val="auto"/>
              </w:rPr>
              <w:t>Sweden</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TriOptima Asia Pacific Pte.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Singapore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TriOptima Japan K.K.</w:t>
            </w:r>
          </w:p>
        </w:tc>
        <w:tc>
          <w:tcPr>
            <w:tcW w:w="7100" w:type="dxa"/>
            <w:vAlign w:val="bottom"/>
          </w:tcPr>
          <w:p>
            <w:pPr>
              <w:ind w:left="1420"/>
              <w:spacing w:after="0"/>
              <w:rPr>
                <w:sz w:val="20"/>
                <w:szCs w:val="20"/>
                <w:color w:val="auto"/>
              </w:rPr>
            </w:pPr>
            <w:r>
              <w:rPr>
                <w:rFonts w:ascii="Arial" w:cs="Arial" w:eastAsia="Arial" w:hAnsi="Arial"/>
                <w:sz w:val="18"/>
                <w:szCs w:val="18"/>
                <w:color w:val="auto"/>
              </w:rPr>
              <w:t>Japan</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TriOptima North America LLC</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Delaware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TriOptima UK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815" w:right="239" w:bottom="1440" w:gutter="0" w:footer="0" w:header="0"/>
        </w:sectPr>
      </w:pPr>
    </w:p>
    <w:bookmarkStart w:id="99" w:name="page100"/>
    <w:bookmarkEnd w:id="99"/>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*Inactive subsidiaries and subsidiaries in the process of liquidation have been excluded.</w:t>
      </w:r>
    </w:p>
    <w:p>
      <w:pPr>
        <w:sectPr>
          <w:pgSz w:w="11900" w:h="16838" w:orient="portrait"/>
          <w:cols w:equalWidth="0" w:num="1">
            <w:col w:w="10179"/>
          </w:cols>
          <w:pgMar w:left="280" w:top="823"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23.1</w:t>
      </w:r>
    </w:p>
    <w:p>
      <w:pPr>
        <w:spacing w:after="0" w:line="220" w:lineRule="exact"/>
        <w:rPr>
          <w:sz w:val="20"/>
          <w:szCs w:val="20"/>
          <w:color w:val="auto"/>
        </w:rPr>
      </w:pPr>
    </w:p>
    <w:p>
      <w:pPr>
        <w:ind w:right="2940" w:firstLine="2947"/>
        <w:spacing w:after="0" w:line="463"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440" w:right="20"/>
        <w:spacing w:after="0" w:line="263" w:lineRule="auto"/>
        <w:tabs>
          <w:tab w:leader="none" w:pos="765"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333-105236) pertaining to the CME Group Inc. Amended and Restated Omnibus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333-159932) pertaining to the CME Group Inc. Amended and Restated Omnibus Stock Plan and the 2005 Director Stock Plan,</w:t>
      </w:r>
    </w:p>
    <w:p>
      <w:pPr>
        <w:spacing w:after="0" w:line="66" w:lineRule="exact"/>
        <w:rPr>
          <w:rFonts w:ascii="Arial" w:cs="Arial" w:eastAsia="Arial" w:hAnsi="Arial"/>
          <w:sz w:val="22"/>
          <w:szCs w:val="22"/>
          <w:color w:val="auto"/>
        </w:rPr>
      </w:pPr>
    </w:p>
    <w:p>
      <w:pPr>
        <w:ind w:left="440"/>
        <w:spacing w:after="0" w:line="287" w:lineRule="auto"/>
        <w:tabs>
          <w:tab w:leader="none" w:pos="769" w:val="left"/>
        </w:tabs>
        <w:numPr>
          <w:ilvl w:val="0"/>
          <w:numId w:val="49"/>
        </w:numPr>
        <w:rPr>
          <w:rFonts w:ascii="Arial" w:cs="Arial" w:eastAsia="Arial" w:hAnsi="Arial"/>
          <w:sz w:val="21"/>
          <w:szCs w:val="21"/>
          <w:color w:val="auto"/>
        </w:rPr>
      </w:pPr>
      <w:r>
        <w:rPr>
          <w:rFonts w:ascii="Arial" w:cs="Arial" w:eastAsia="Arial" w:hAnsi="Arial"/>
          <w:sz w:val="21"/>
          <w:szCs w:val="21"/>
          <w:color w:val="auto"/>
        </w:rPr>
        <w:t>Registration Statement ((Form S-8 and Post-Effective Amendment No. 1 No. 333-104804); Form S-8 No. 333-115656) pertaining to the Agreement between Chicago Mercantile Exchange Holdings Inc. and James J. McNulty,</w:t>
      </w:r>
    </w:p>
    <w:p>
      <w:pPr>
        <w:spacing w:after="0" w:line="43" w:lineRule="exact"/>
        <w:rPr>
          <w:rFonts w:ascii="Arial" w:cs="Arial" w:eastAsia="Arial" w:hAnsi="Arial"/>
          <w:sz w:val="21"/>
          <w:szCs w:val="21"/>
          <w:color w:val="auto"/>
        </w:rPr>
      </w:pPr>
    </w:p>
    <w:p>
      <w:pPr>
        <w:ind w:left="440"/>
        <w:spacing w:after="0" w:line="263" w:lineRule="auto"/>
        <w:tabs>
          <w:tab w:leader="none" w:pos="748"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333-124497) pertaining to the Employee Stock Purchase Plan and the 2005 Director Stock Plan,</w:t>
      </w:r>
    </w:p>
    <w:p>
      <w:pPr>
        <w:spacing w:after="0" w:line="66" w:lineRule="exact"/>
        <w:rPr>
          <w:rFonts w:ascii="Arial" w:cs="Arial" w:eastAsia="Arial" w:hAnsi="Arial"/>
          <w:sz w:val="22"/>
          <w:szCs w:val="22"/>
          <w:color w:val="auto"/>
        </w:rPr>
      </w:pPr>
    </w:p>
    <w:p>
      <w:pPr>
        <w:ind w:left="440"/>
        <w:spacing w:after="0" w:line="263" w:lineRule="auto"/>
        <w:tabs>
          <w:tab w:leader="none" w:pos="806"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333-144543) pertaining to CBOT Holdings, Inc.’s 2005 Long-Term Equity Incentive Plan,</w:t>
      </w:r>
    </w:p>
    <w:p>
      <w:pPr>
        <w:spacing w:after="0" w:line="66" w:lineRule="exact"/>
        <w:rPr>
          <w:rFonts w:ascii="Arial" w:cs="Arial" w:eastAsia="Arial" w:hAnsi="Arial"/>
          <w:sz w:val="22"/>
          <w:szCs w:val="22"/>
          <w:color w:val="auto"/>
        </w:rPr>
      </w:pPr>
    </w:p>
    <w:p>
      <w:pPr>
        <w:jc w:val="both"/>
        <w:ind w:left="440"/>
        <w:spacing w:after="0" w:line="253" w:lineRule="auto"/>
        <w:tabs>
          <w:tab w:leader="none" w:pos="782"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333-153462) and Post-Effective Amendments No. 1 and No. 2 to Registration Statement on Form S-4 (Form S-8 No. 333-151577) pertaining to the NYMEX Holdings, Inc.’s 2006 Omnibus Long-Term Incentive Plan,</w:t>
      </w:r>
    </w:p>
    <w:p>
      <w:pPr>
        <w:spacing w:after="0" w:line="77" w:lineRule="exact"/>
        <w:rPr>
          <w:rFonts w:ascii="Arial" w:cs="Arial" w:eastAsia="Arial" w:hAnsi="Arial"/>
          <w:sz w:val="22"/>
          <w:szCs w:val="22"/>
          <w:color w:val="auto"/>
        </w:rPr>
      </w:pPr>
    </w:p>
    <w:p>
      <w:pPr>
        <w:ind w:left="740" w:hanging="300"/>
        <w:spacing w:after="0"/>
        <w:tabs>
          <w:tab w:leader="none" w:pos="7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S-8 No. 333-182741) pertaining to the Employee Stock Purchase Plan,</w:t>
      </w:r>
    </w:p>
    <w:p>
      <w:pPr>
        <w:spacing w:after="0" w:line="111" w:lineRule="exact"/>
        <w:rPr>
          <w:rFonts w:ascii="Arial" w:cs="Arial" w:eastAsia="Arial" w:hAnsi="Arial"/>
          <w:sz w:val="22"/>
          <w:szCs w:val="22"/>
          <w:color w:val="auto"/>
        </w:rPr>
      </w:pPr>
    </w:p>
    <w:p>
      <w:pPr>
        <w:ind w:left="440" w:right="20"/>
        <w:spacing w:after="0" w:line="263" w:lineRule="auto"/>
        <w:tabs>
          <w:tab w:leader="none" w:pos="765"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S-3ASR No. 333-163473)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spacing w:after="0" w:line="263" w:lineRule="auto"/>
        <w:tabs>
          <w:tab w:leader="none" w:pos="766"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S-3ASR No. 333-185311)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right="20"/>
        <w:spacing w:after="0" w:line="263" w:lineRule="auto"/>
        <w:tabs>
          <w:tab w:leader="none" w:pos="866"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Registration Statement (Form S-3ASR No. 333-208334) Shelf Registration Statement for the offering of debt securities, Class A Common Stock, Preferred Stock and Warrants.</w:t>
      </w:r>
    </w:p>
    <w:p>
      <w:pPr>
        <w:spacing w:after="0" w:line="200" w:lineRule="exact"/>
        <w:rPr>
          <w:sz w:val="20"/>
          <w:szCs w:val="20"/>
          <w:color w:val="auto"/>
        </w:rPr>
      </w:pP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February 28, 2019, with respect to the consolidated financial statements and schedule of CME Group Inc., and the effectiveness of internal control over financial reporting of CME Group Inc., included in this Annual Report (Form 10-K) of CME Group Inc. for the year ended December 31, 2018.</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2019</w:t>
      </w:r>
    </w:p>
    <w:p>
      <w:pPr>
        <w:sectPr>
          <w:pgSz w:w="11900" w:h="16838" w:orient="portrait"/>
          <w:cols w:equalWidth="0" w:num="1">
            <w:col w:w="11420"/>
          </w:cols>
          <w:pgMar w:left="240" w:top="652"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620" w:hanging="180"/>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Terrence A. Duffy</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620" w:hanging="180"/>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Pietrowicz</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2018 as filed with the Securities and Exchange Commission on the date hereof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52" w:lineRule="exact"/>
        <w:rPr>
          <w:sz w:val="20"/>
          <w:szCs w:val="20"/>
          <w:color w:val="auto"/>
        </w:rPr>
      </w:pPr>
    </w:p>
    <w:p>
      <w:pPr>
        <w:ind w:left="1140" w:hanging="254"/>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Terrence A. Duffy</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Date: February 28, 2019</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/s/ John W. Pietrowicz</w:t>
            </w:r>
          </w:p>
        </w:tc>
      </w:tr>
      <w:tr>
        <w:trPr>
          <w:trHeight w:val="27"/>
        </w:trPr>
        <w:tc>
          <w:tcPr>
            <w:tcW w:w="68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John W. Pietrowicz</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2019</w:t>
      </w:r>
    </w:p>
    <w:p>
      <w:pPr>
        <w:spacing w:after="0" w:line="252"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3"/>
    </w:lvl>
  </w:abstractNum>
  <w:abstractNum w:abstractNumId="43">
    <w:nsid w:val="1BA026FA"/>
    <w:multiLevelType w:val="hybridMultilevel"/>
    <w:lvl w:ilvl="0">
      <w:lvlJc w:val="left"/>
      <w:lvlText w:val="%1."/>
      <w:numFmt w:val="decimal"/>
      <w:start w:val="3"/>
    </w:lvl>
  </w:abstractNum>
  <w:abstractNum w:abstractNumId="44">
    <w:nsid w:val="79A1DEAA"/>
    <w:multiLevelType w:val="hybridMultilevel"/>
    <w:lvl w:ilvl="0">
      <w:lvlJc w:val="left"/>
      <w:lvlText w:val="%1."/>
      <w:numFmt w:val="decimal"/>
      <w:start w:val="4"/>
    </w:lvl>
  </w:abstractNum>
  <w:abstractNum w:abstractNumId="45">
    <w:nsid w:val="75C6C33A"/>
    <w:multiLevelType w:val="hybridMultilevel"/>
    <w:lvl w:ilvl="0">
      <w:lvlJc w:val="left"/>
      <w:lvlText w:val="%1."/>
      <w:numFmt w:val="decimal"/>
      <w:start w:val="10"/>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decimal"/>
      <w:start w:val="5"/>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5"/>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55" Type="http://schemas.openxmlformats.org/officeDocument/2006/relationships/image" Target="media/image7.png"/><Relationship Id="rId56" Type="http://schemas.openxmlformats.org/officeDocument/2006/relationships/image" Target="media/image8.png"/><Relationship Id="rId57" Type="http://schemas.openxmlformats.org/officeDocument/2006/relationships/image" Target="media/image9.png"/><Relationship Id="rId58" Type="http://schemas.openxmlformats.org/officeDocument/2006/relationships/image" Target="media/image10.png"/><Relationship Id="rId14" Type="http://schemas.openxmlformats.org/officeDocument/2006/relationships/hyperlink" Target="http://www.sec.gov/Archives/edgar/data/1156375/000119312512251430/d359429dex31.htm" TargetMode="External"/><Relationship Id="rId15" Type="http://schemas.openxmlformats.org/officeDocument/2006/relationships/hyperlink" Target="http://www.sec.gov/Archives/edgar/data/1156375/000119312517344215/d460888dex31.htm" TargetMode="External"/><Relationship Id="rId16" Type="http://schemas.openxmlformats.org/officeDocument/2006/relationships/hyperlink" Target="http://www.sec.gov/Archives/edgar/data/1156375/000115637515000014/cme-2014123110kex41.htm" TargetMode="External"/><Relationship Id="rId17" Type="http://schemas.openxmlformats.org/officeDocument/2006/relationships/hyperlink" Target="http://www.sec.gov/Archives/edgar/data/1156375/000115637515000014/cme-2014123110kex42.htm" TargetMode="External"/><Relationship Id="rId18" Type="http://schemas.openxmlformats.org/officeDocument/2006/relationships/hyperlink" Target="http://www.sec.gov/Archives/edgar/data/1156375/000115637515000014/cme-2014123110kex43.htm" TargetMode="External"/><Relationship Id="rId19" Type="http://schemas.openxmlformats.org/officeDocument/2006/relationships/hyperlink" Target="http://www.sec.gov/Archives/edgar/data/1156375/000115637515000014/cme-2014123110kex44.htm" TargetMode="External"/><Relationship Id="rId20" Type="http://schemas.openxmlformats.org/officeDocument/2006/relationships/hyperlink" Target="http://www.sec.gov/Archives/edgar/data/1156375/000119312508176550/dex41.htm" TargetMode="External"/><Relationship Id="rId21" Type="http://schemas.openxmlformats.org/officeDocument/2006/relationships/hyperlink" Target="http://www.sec.gov/Archives/edgar/data/1156375/000119312512386203/d405801dex42.htm" TargetMode="External"/><Relationship Id="rId22" Type="http://schemas.openxmlformats.org/officeDocument/2006/relationships/hyperlink" Target="http://www.sec.gov/Archives/edgar/data/1156375/000119312513360978/d594525dex42.htm" TargetMode="External"/><Relationship Id="rId23" Type="http://schemas.openxmlformats.org/officeDocument/2006/relationships/hyperlink" Target="http://www.sec.gov/Archives/edgar/data/1156375/000119312515082491/d887316dex42.htm" TargetMode="External"/><Relationship Id="rId24" Type="http://schemas.openxmlformats.org/officeDocument/2006/relationships/hyperlink" Target="http://www.sec.gov/Archives/edgar/data/1156375/000119312518199544/d771010dex42.htm" TargetMode="External"/><Relationship Id="rId25" Type="http://schemas.openxmlformats.org/officeDocument/2006/relationships/hyperlink" Target="http://www.sec.gov/Archives/edgar/data/1156375/000119312518199544/d771010dex43.htm" TargetMode="External"/><Relationship Id="rId26" Type="http://schemas.openxmlformats.org/officeDocument/2006/relationships/hyperlink" Target="http://www.sec.gov/Archives/edgar/data/1156375/000119312517186768/d594804dex102.htm" TargetMode="External"/><Relationship Id="rId27" Type="http://schemas.openxmlformats.org/officeDocument/2006/relationships/hyperlink" Target="http://www.sec.gov/Archives/edgar/data/1156375/000115637518000026/cme-2017123110kex102.htm" TargetMode="External"/><Relationship Id="rId28" Type="http://schemas.openxmlformats.org/officeDocument/2006/relationships/hyperlink" Target="http://www.sec.gov/Archives/edgar/data/1156375/000115637518000026/cme-2017123110kex103.htm" TargetMode="External"/><Relationship Id="rId29" Type="http://schemas.openxmlformats.org/officeDocument/2006/relationships/hyperlink" Target="http://www.sec.gov/Archives/edgar/data/1156375/000119312514214151/d733968dex101.htm" TargetMode="External"/><Relationship Id="rId30" Type="http://schemas.openxmlformats.org/officeDocument/2006/relationships/hyperlink" Target="http://www.sec.gov/Archives/edgar/data/1156375/000115637518000026/cme-2017123110kex105.htm" TargetMode="External"/><Relationship Id="rId31" Type="http://schemas.openxmlformats.org/officeDocument/2006/relationships/hyperlink" Target="http://www.sec.gov/Archives/edgar/data/1156375/000119312512251430/d359429dex102.htm" TargetMode="External"/><Relationship Id="rId32" Type="http://schemas.openxmlformats.org/officeDocument/2006/relationships/hyperlink" Target="http://www.sec.gov/Archives/edgar/data/1156375/000115637513000007/cme-2012123110kex107.htm" TargetMode="External"/><Relationship Id="rId33" Type="http://schemas.openxmlformats.org/officeDocument/2006/relationships/hyperlink" Target="http://www.sec.gov/Archives/edgar/data/1156375/000115637517000080/cme-201763010qex101.htm" TargetMode="External"/><Relationship Id="rId34" Type="http://schemas.openxmlformats.org/officeDocument/2006/relationships/hyperlink" Target="http://www.sec.gov/Archives/edgar/data/1156375/000119312509042361/dex109.htm" TargetMode="External"/><Relationship Id="rId35" Type="http://schemas.openxmlformats.org/officeDocument/2006/relationships/hyperlink" Target="http://www.sec.gov/Archives/edgar/data/1156375/000119312508040449/dex109.htm" TargetMode="External"/><Relationship Id="rId36" Type="http://schemas.openxmlformats.org/officeDocument/2006/relationships/hyperlink" Target="http://www.sec.gov/Archives/edgar/data/1103945/000095013100001428/0000950131-00-001428.txt" TargetMode="External"/><Relationship Id="rId37" Type="http://schemas.openxmlformats.org/officeDocument/2006/relationships/hyperlink" Target="http://www.sec.gov/Archives/edgar/data/1105018/000095012301002844/y46628ex10-11.txt" TargetMode="External"/><Relationship Id="rId38" Type="http://schemas.openxmlformats.org/officeDocument/2006/relationships/hyperlink" Target="http://www.sec.gov/Archives/edgar/data/1156375/000115637515000108/cme-201593010qex101.htm" TargetMode="External"/><Relationship Id="rId39" Type="http://schemas.openxmlformats.org/officeDocument/2006/relationships/hyperlink" Target="http://www.sec.gov/Archives/edgar/data/1156375/000119312517186768/d594804dex101.htm" TargetMode="External"/><Relationship Id="rId40" Type="http://schemas.openxmlformats.org/officeDocument/2006/relationships/hyperlink" Target="http://www.sec.gov/Archives/edgar/data/1156375/000115637514000012/cme-2013123110kex1017.htm" TargetMode="External"/><Relationship Id="rId41" Type="http://schemas.openxmlformats.org/officeDocument/2006/relationships/hyperlink" Target="http://www.sec.gov/Archives/edgar/data/1156375/000115637515000014/cme-2014123110kex1016.htm" TargetMode="External"/><Relationship Id="rId42" Type="http://schemas.openxmlformats.org/officeDocument/2006/relationships/hyperlink" Target="http://www.sec.gov/Archives/edgar/data/1156375/000115637514000012/cme-2013123110kex1018.htm" TargetMode="External"/><Relationship Id="rId43" Type="http://schemas.openxmlformats.org/officeDocument/2006/relationships/hyperlink" Target="http://www.sec.gov/Archives/edgar/data/1156375/000115637515000014/cme-2014123110kex1017.htm" TargetMode="External"/><Relationship Id="rId44" Type="http://schemas.openxmlformats.org/officeDocument/2006/relationships/hyperlink" Target="http://www.sec.gov/Archives/edgar/data/1156375/000129993316003294/exhibit3.htm" TargetMode="External"/><Relationship Id="rId45" Type="http://schemas.openxmlformats.org/officeDocument/2006/relationships/hyperlink" Target="http://www.sec.gov/Archives/edgar/data/1156375/000119312518156901/d576588dex101.htm" TargetMode="External"/><Relationship Id="rId46" Type="http://schemas.openxmlformats.org/officeDocument/2006/relationships/hyperlink" Target="http://www.sec.gov/Archives/edgar/data/1156375/000119312509167292/dex102.htm" TargetMode="External"/><Relationship Id="rId47" Type="http://schemas.openxmlformats.org/officeDocument/2006/relationships/hyperlink" Target="http://www.sec.gov/Archives/edgar/data/1156375/000119312506046258/dex1028.htm" TargetMode="External"/><Relationship Id="rId48" Type="http://schemas.openxmlformats.org/officeDocument/2006/relationships/hyperlink" Target="http://www.sec.gov/Archives/edgar/data/1156375/000115637512000093/cme-201263010qex104.htm" TargetMode="External"/><Relationship Id="rId49" Type="http://schemas.openxmlformats.org/officeDocument/2006/relationships/hyperlink" Target="http://www.sec.gov/Archives/edgar/data/1156375/000115637518000047/cme-201833110qex101.htm" TargetMode="External"/><Relationship Id="rId50" Type="http://schemas.openxmlformats.org/officeDocument/2006/relationships/hyperlink" Target="http://www.sec.gov/Archives/edgar/data/1156375/000115637518000047/cme-201833110qex102.htm" TargetMode="External"/><Relationship Id="rId51" Type="http://schemas.openxmlformats.org/officeDocument/2006/relationships/hyperlink" Target="http://www.sec.gov/Archives/edgar/data/1156375/000119312518322722/d644644dex101.htm" TargetMode="External"/><Relationship Id="rId52" Type="http://schemas.openxmlformats.org/officeDocument/2006/relationships/hyperlink" Target="http://www.sec.gov/Archives/edgar/data/1156375/000115637512000093/cme-201263010qex106.htm" TargetMode="External"/><Relationship Id="rId53" Type="http://schemas.openxmlformats.org/officeDocument/2006/relationships/hyperlink" Target="http://www.sec.gov/Archives/edgar/data/1156375/000115637517000114/a20171121seniorcreditfacil.htm" TargetMode="External"/><Relationship Id="rId54" Type="http://schemas.openxmlformats.org/officeDocument/2006/relationships/hyperlink" Target="http://www.sec.gov/Archives/edgar/data/1156375/000119312518320479/d58144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2019-12-28T15:43:33Z</dcterms:created>
  <dcterms:modified xsi:type="dcterms:W3CDTF">2019-12-28T15:43:33Z</dcterms:modified>
</cp:coreProperties>
</file>