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4"/>
          <w:szCs w:val="24"/>
          <w:color w:val="auto"/>
        </w:rPr>
      </w:pPr>
    </w:p>
    <w:p>
      <w:pPr>
        <w:spacing w:after="0" w:line="3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UNITED STATES</w:t>
      </w:r>
    </w:p>
    <w:p>
      <w:pPr>
        <w:spacing w:after="0" w:line="4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7"/>
          <w:szCs w:val="27"/>
          <w:b w:val="1"/>
          <w:bCs w:val="1"/>
          <w:color w:val="auto"/>
        </w:rPr>
        <w:t>SECURITIES AND EXCHANGE COMMISSION</w:t>
      </w:r>
    </w:p>
    <w:p>
      <w:pPr>
        <w:jc w:val="center"/>
        <w:ind w:right="-19"/>
        <w:spacing w:after="0" w:line="238" w:lineRule="auto"/>
        <w:rPr>
          <w:sz w:val="20"/>
          <w:szCs w:val="20"/>
          <w:color w:val="auto"/>
        </w:rPr>
      </w:pPr>
      <w:r>
        <w:rPr>
          <w:rFonts w:ascii="Times New Roman" w:cs="Times New Roman" w:eastAsia="Times New Roman" w:hAnsi="Times New Roman"/>
          <w:sz w:val="22"/>
          <w:szCs w:val="22"/>
          <w:b w:val="1"/>
          <w:bCs w:val="1"/>
          <w:color w:val="auto"/>
        </w:rPr>
        <w:t>WASHINGTON, D.C. 20549</w:t>
      </w: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1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10-Q</w:t>
      </w:r>
    </w:p>
    <w:p>
      <w:pPr>
        <w:spacing w:after="0" w:line="49" w:lineRule="exact"/>
        <w:rPr>
          <w:sz w:val="24"/>
          <w:szCs w:val="24"/>
          <w:color w:val="auto"/>
        </w:rPr>
      </w:pPr>
    </w:p>
    <w:p>
      <w:pPr>
        <w:ind w:left="3820"/>
        <w:spacing w:after="0"/>
        <w:rPr>
          <w:sz w:val="20"/>
          <w:szCs w:val="20"/>
          <w:color w:val="auto"/>
        </w:rPr>
      </w:pPr>
      <w:r>
        <w:rPr>
          <w:rFonts w:ascii="Times New Roman" w:cs="Times New Roman" w:eastAsia="Times New Roman" w:hAnsi="Times New Roman"/>
          <w:sz w:val="13"/>
          <w:szCs w:val="13"/>
          <w:color w:val="auto"/>
        </w:rPr>
        <w:t>_________________________________________________________</w:t>
      </w:r>
    </w:p>
    <w:p>
      <w:pPr>
        <w:spacing w:after="0" w:line="75"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57" w:lineRule="exact"/>
        <w:rPr>
          <w:sz w:val="24"/>
          <w:szCs w:val="24"/>
          <w:color w:val="auto"/>
        </w:rPr>
      </w:pPr>
    </w:p>
    <w:p>
      <w:pPr>
        <w:ind w:left="620" w:hanging="403"/>
        <w:spacing w:after="0"/>
        <w:tabs>
          <w:tab w:leader="none" w:pos="6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w:t>
      </w:r>
    </w:p>
    <w:p>
      <w:pPr>
        <w:spacing w:after="0" w:line="14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September 30, 2024</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OR -</w:t>
      </w:r>
    </w:p>
    <w:p>
      <w:pPr>
        <w:spacing w:after="0" w:line="27" w:lineRule="exact"/>
        <w:rPr>
          <w:sz w:val="24"/>
          <w:szCs w:val="24"/>
          <w:color w:val="auto"/>
        </w:rPr>
      </w:pPr>
    </w:p>
    <w:p>
      <w:pPr>
        <w:ind w:left="620" w:hanging="403"/>
        <w:spacing w:after="0"/>
        <w:tabs>
          <w:tab w:leader="none" w:pos="6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144" w:lineRule="exact"/>
        <w:rPr>
          <w:sz w:val="24"/>
          <w:szCs w:val="24"/>
          <w:color w:val="auto"/>
        </w:rPr>
      </w:pPr>
    </w:p>
    <w:p>
      <w:pPr>
        <w:ind w:left="3660"/>
        <w:spacing w:after="0"/>
        <w:tabs>
          <w:tab w:leader="none" w:pos="670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001-31553</w:t>
      </w:r>
    </w:p>
    <w:p>
      <w:pPr>
        <w:spacing w:after="0" w:line="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6"/>
          <w:szCs w:val="36"/>
          <w:b w:val="1"/>
          <w:bCs w:val="1"/>
          <w:color w:val="auto"/>
        </w:rPr>
        <w:t>CME GROUP INC.</w:t>
      </w:r>
    </w:p>
    <w:p>
      <w:pPr>
        <w:spacing w:after="0" w:line="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50" w:lineRule="exact"/>
        <w:rPr>
          <w:sz w:val="24"/>
          <w:szCs w:val="24"/>
          <w:color w:val="auto"/>
        </w:rPr>
      </w:pPr>
    </w:p>
    <w:p>
      <w:pPr>
        <w:ind w:left="1720"/>
        <w:spacing w:after="0"/>
        <w:tabs>
          <w:tab w:leader="none" w:pos="7980" w:val="left"/>
        </w:tabs>
        <w:rPr>
          <w:sz w:val="20"/>
          <w:szCs w:val="20"/>
          <w:color w:val="auto"/>
        </w:rPr>
      </w:pPr>
      <w:r>
        <w:rPr>
          <w:rFonts w:ascii="Times New Roman" w:cs="Times New Roman" w:eastAsia="Times New Roman" w:hAnsi="Times New Roman"/>
          <w:sz w:val="18"/>
          <w:szCs w:val="18"/>
          <w:b w:val="1"/>
          <w:bCs w:val="1"/>
          <w:color w:val="auto"/>
        </w:rPr>
        <w:t>Delaware</w:t>
      </w:r>
      <w:r>
        <w:rPr>
          <w:sz w:val="20"/>
          <w:szCs w:val="20"/>
          <w:color w:val="auto"/>
        </w:rPr>
        <w:tab/>
      </w:r>
      <w:r>
        <w:rPr>
          <w:rFonts w:ascii="Times New Roman" w:cs="Times New Roman" w:eastAsia="Times New Roman" w:hAnsi="Times New Roman"/>
          <w:sz w:val="18"/>
          <w:szCs w:val="18"/>
          <w:b w:val="1"/>
          <w:bCs w:val="1"/>
          <w:color w:val="auto"/>
        </w:rPr>
        <w:t>36-4459170</w:t>
      </w:r>
    </w:p>
    <w:p>
      <w:pPr>
        <w:spacing w:after="0" w:line="12" w:lineRule="exact"/>
        <w:rPr>
          <w:sz w:val="24"/>
          <w:szCs w:val="24"/>
          <w:color w:val="auto"/>
        </w:rPr>
      </w:pPr>
    </w:p>
    <w:p>
      <w:pPr>
        <w:ind w:left="1180"/>
        <w:spacing w:after="0"/>
        <w:tabs>
          <w:tab w:leader="none" w:pos="7900" w:val="left"/>
        </w:tabs>
        <w:rPr>
          <w:sz w:val="20"/>
          <w:szCs w:val="20"/>
          <w:color w:val="auto"/>
        </w:rPr>
      </w:pPr>
      <w:r>
        <w:rPr>
          <w:rFonts w:ascii="Times New Roman" w:cs="Times New Roman" w:eastAsia="Times New Roman" w:hAnsi="Times New Roman"/>
          <w:sz w:val="14"/>
          <w:szCs w:val="14"/>
          <w:b w:val="1"/>
          <w:bCs w:val="1"/>
          <w:color w:val="auto"/>
        </w:rPr>
        <w:t>(State or other jurisdiction of</w:t>
      </w:r>
      <w:r>
        <w:rPr>
          <w:sz w:val="20"/>
          <w:szCs w:val="20"/>
          <w:color w:val="auto"/>
        </w:rPr>
        <w:tab/>
      </w:r>
      <w:r>
        <w:rPr>
          <w:rFonts w:ascii="Times New Roman" w:cs="Times New Roman" w:eastAsia="Times New Roman" w:hAnsi="Times New Roman"/>
          <w:sz w:val="14"/>
          <w:szCs w:val="14"/>
          <w:b w:val="1"/>
          <w:bCs w:val="1"/>
          <w:color w:val="auto"/>
        </w:rPr>
        <w:t>(I.R.S. Employer</w:t>
      </w:r>
    </w:p>
    <w:p>
      <w:pPr>
        <w:ind w:left="1140"/>
        <w:spacing w:after="0"/>
        <w:tabs>
          <w:tab w:leader="none" w:pos="7860" w:val="left"/>
        </w:tabs>
        <w:rPr>
          <w:sz w:val="20"/>
          <w:szCs w:val="20"/>
          <w:color w:val="auto"/>
        </w:rPr>
      </w:pPr>
      <w:r>
        <w:rPr>
          <w:rFonts w:ascii="Times New Roman" w:cs="Times New Roman" w:eastAsia="Times New Roman" w:hAnsi="Times New Roman"/>
          <w:sz w:val="14"/>
          <w:szCs w:val="14"/>
          <w:b w:val="1"/>
          <w:bCs w:val="1"/>
          <w:color w:val="auto"/>
        </w:rPr>
        <w:t>incorporation or organization)</w:t>
      </w:r>
      <w:r>
        <w:rPr>
          <w:sz w:val="20"/>
          <w:szCs w:val="20"/>
          <w:color w:val="auto"/>
        </w:rPr>
        <w:tab/>
      </w:r>
      <w:r>
        <w:rPr>
          <w:rFonts w:ascii="Times New Roman" w:cs="Times New Roman" w:eastAsia="Times New Roman" w:hAnsi="Times New Roman"/>
          <w:sz w:val="14"/>
          <w:szCs w:val="14"/>
          <w:b w:val="1"/>
          <w:bCs w:val="1"/>
          <w:color w:val="auto"/>
        </w:rPr>
        <w:t>Identification No.)</w:t>
      </w:r>
    </w:p>
    <w:p>
      <w:pPr>
        <w:spacing w:after="0" w:line="80" w:lineRule="exact"/>
        <w:rPr>
          <w:sz w:val="24"/>
          <w:szCs w:val="24"/>
          <w:color w:val="auto"/>
        </w:rPr>
      </w:pPr>
    </w:p>
    <w:p>
      <w:pPr>
        <w:ind w:left="1180"/>
        <w:spacing w:after="0"/>
        <w:tabs>
          <w:tab w:leader="none" w:pos="4140" w:val="left"/>
          <w:tab w:leader="none" w:pos="5180" w:val="left"/>
          <w:tab w:leader="none" w:pos="8200" w:val="left"/>
        </w:tabs>
        <w:rPr>
          <w:sz w:val="20"/>
          <w:szCs w:val="20"/>
          <w:color w:val="auto"/>
        </w:rPr>
      </w:pPr>
      <w:r>
        <w:rPr>
          <w:rFonts w:ascii="Times New Roman" w:cs="Times New Roman" w:eastAsia="Times New Roman" w:hAnsi="Times New Roman"/>
          <w:sz w:val="18"/>
          <w:szCs w:val="18"/>
          <w:b w:val="1"/>
          <w:bCs w:val="1"/>
          <w:color w:val="auto"/>
        </w:rPr>
        <w:t>20 South Wacker Drive</w:t>
      </w:r>
      <w:r>
        <w:rPr>
          <w:sz w:val="20"/>
          <w:szCs w:val="20"/>
          <w:color w:val="auto"/>
        </w:rPr>
        <w:tab/>
      </w:r>
      <w:r>
        <w:rPr>
          <w:rFonts w:ascii="Times New Roman" w:cs="Times New Roman" w:eastAsia="Times New Roman" w:hAnsi="Times New Roman"/>
          <w:sz w:val="18"/>
          <w:szCs w:val="18"/>
          <w:b w:val="1"/>
          <w:bCs w:val="1"/>
          <w:color w:val="auto"/>
        </w:rPr>
        <w:t>Chicago</w:t>
      </w:r>
      <w:r>
        <w:rPr>
          <w:sz w:val="20"/>
          <w:szCs w:val="20"/>
          <w:color w:val="auto"/>
        </w:rPr>
        <w:tab/>
      </w:r>
      <w:r>
        <w:rPr>
          <w:rFonts w:ascii="Times New Roman" w:cs="Times New Roman" w:eastAsia="Times New Roman" w:hAnsi="Times New Roman"/>
          <w:sz w:val="18"/>
          <w:szCs w:val="18"/>
          <w:b w:val="1"/>
          <w:bCs w:val="1"/>
          <w:color w:val="auto"/>
        </w:rPr>
        <w:t>Illinois</w:t>
      </w:r>
      <w:r>
        <w:rPr>
          <w:sz w:val="20"/>
          <w:szCs w:val="20"/>
          <w:color w:val="auto"/>
        </w:rPr>
        <w:tab/>
      </w:r>
      <w:r>
        <w:rPr>
          <w:rFonts w:ascii="Times New Roman" w:cs="Times New Roman" w:eastAsia="Times New Roman" w:hAnsi="Times New Roman"/>
          <w:sz w:val="17"/>
          <w:szCs w:val="17"/>
          <w:b w:val="1"/>
          <w:bCs w:val="1"/>
          <w:color w:val="auto"/>
        </w:rPr>
        <w:t>60606</w:t>
      </w:r>
    </w:p>
    <w:p>
      <w:pPr>
        <w:spacing w:after="0" w:line="31" w:lineRule="exact"/>
        <w:rPr>
          <w:sz w:val="24"/>
          <w:szCs w:val="24"/>
          <w:color w:val="auto"/>
        </w:rPr>
      </w:pPr>
    </w:p>
    <w:p>
      <w:pPr>
        <w:ind w:left="1860"/>
        <w:spacing w:after="0"/>
        <w:tabs>
          <w:tab w:leader="none" w:pos="8080" w:val="left"/>
        </w:tabs>
        <w:rPr>
          <w:sz w:val="20"/>
          <w:szCs w:val="20"/>
          <w:color w:val="auto"/>
        </w:rPr>
      </w:pPr>
      <w:r>
        <w:rPr>
          <w:rFonts w:ascii="Times New Roman" w:cs="Times New Roman" w:eastAsia="Times New Roman" w:hAnsi="Times New Roman"/>
          <w:sz w:val="14"/>
          <w:szCs w:val="14"/>
          <w:b w:val="1"/>
          <w:bCs w:val="1"/>
          <w:color w:val="auto"/>
        </w:rPr>
        <w:t>(Address of principal executive offices)</w:t>
      </w:r>
      <w:r>
        <w:rPr>
          <w:sz w:val="20"/>
          <w:szCs w:val="20"/>
          <w:color w:val="auto"/>
        </w:rPr>
        <w:tab/>
      </w:r>
      <w:r>
        <w:rPr>
          <w:rFonts w:ascii="Times New Roman" w:cs="Times New Roman" w:eastAsia="Times New Roman" w:hAnsi="Times New Roman"/>
          <w:sz w:val="14"/>
          <w:szCs w:val="14"/>
          <w:b w:val="1"/>
          <w:bCs w:val="1"/>
          <w:color w:val="auto"/>
        </w:rPr>
        <w:t>(Zip Code)</w:t>
      </w:r>
    </w:p>
    <w:p>
      <w:pPr>
        <w:spacing w:after="0" w:line="1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(312) 930-1000</w:t>
      </w:r>
    </w:p>
    <w:p>
      <w:pPr>
        <w:spacing w:after="0" w:line="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(Registrant’s telephone number, including area code)</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23" w:lineRule="exact"/>
        <w:rPr>
          <w:sz w:val="24"/>
          <w:szCs w:val="24"/>
          <w:color w:val="auto"/>
        </w:rPr>
      </w:pPr>
    </w:p>
    <w:p>
      <w:pPr>
        <w:ind w:left="308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82" w:lineRule="exact"/>
        <w:rPr>
          <w:sz w:val="24"/>
          <w:szCs w:val="24"/>
          <w:color w:val="auto"/>
        </w:rPr>
      </w:pPr>
    </w:p>
    <w:tbl>
      <w:tblPr>
        <w:tblLayout w:type="fixed"/>
        <w:tblInd w:w="800" w:type="dxa"/>
        <w:tblCellMar>
          <w:top w:w="0" w:type="dxa"/>
          <w:left w:w="0" w:type="dxa"/>
          <w:bottom w:w="0" w:type="dxa"/>
          <w:right w:w="0" w:type="dxa"/>
        </w:tblCellMar>
      </w:tblPr>
      <w:tr>
        <w:trPr>
          <w:trHeight w:val="207"/>
        </w:trPr>
        <w:tc>
          <w:tcPr>
            <w:tcW w:w="220" w:type="dxa"/>
            <w:vAlign w:val="bottom"/>
          </w:tcPr>
          <w:p>
            <w:pPr>
              <w:spacing w:after="0"/>
              <w:rPr>
                <w:sz w:val="18"/>
                <w:szCs w:val="18"/>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Title of each class</w:t>
            </w:r>
          </w:p>
        </w:tc>
        <w:tc>
          <w:tcPr>
            <w:tcW w:w="9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Trading symbol</w:t>
            </w:r>
          </w:p>
        </w:tc>
        <w:tc>
          <w:tcPr>
            <w:tcW w:w="5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Name of each exchange on which registered</w:t>
            </w:r>
          </w:p>
        </w:tc>
      </w:tr>
      <w:tr>
        <w:trPr>
          <w:trHeight w:val="20"/>
        </w:trPr>
        <w:tc>
          <w:tcPr>
            <w:tcW w:w="22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1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0"/>
        </w:trPr>
        <w:tc>
          <w:tcPr>
            <w:tcW w:w="2420" w:type="dxa"/>
            <w:vAlign w:val="bottom"/>
            <w:gridSpan w:val="3"/>
          </w:tcPr>
          <w:p>
            <w:pPr>
              <w:jc w:val="center"/>
              <w:ind w:right="680"/>
              <w:spacing w:after="0"/>
              <w:rPr>
                <w:sz w:val="20"/>
                <w:szCs w:val="20"/>
                <w:color w:val="auto"/>
              </w:rPr>
            </w:pPr>
            <w:r>
              <w:rPr>
                <w:rFonts w:ascii="Times New Roman" w:cs="Times New Roman" w:eastAsia="Times New Roman" w:hAnsi="Times New Roman"/>
                <w:sz w:val="18"/>
                <w:szCs w:val="18"/>
                <w:color w:val="auto"/>
              </w:rPr>
              <w:t>Class A Common Stock</w:t>
            </w:r>
          </w:p>
        </w:tc>
        <w:tc>
          <w:tcPr>
            <w:tcW w:w="680" w:type="dxa"/>
            <w:vAlign w:val="bottom"/>
          </w:tcPr>
          <w:p>
            <w:pPr>
              <w:spacing w:after="0"/>
              <w:rPr>
                <w:sz w:val="21"/>
                <w:szCs w:val="21"/>
                <w:color w:val="auto"/>
              </w:rPr>
            </w:pPr>
          </w:p>
        </w:tc>
        <w:tc>
          <w:tcPr>
            <w:tcW w:w="1680" w:type="dxa"/>
            <w:vAlign w:val="bottom"/>
            <w:gridSpan w:val="2"/>
          </w:tcPr>
          <w:p>
            <w:pPr>
              <w:jc w:val="center"/>
              <w:ind w:right="540"/>
              <w:spacing w:after="0"/>
              <w:rPr>
                <w:sz w:val="20"/>
                <w:szCs w:val="20"/>
                <w:color w:val="auto"/>
              </w:rPr>
            </w:pPr>
            <w:r>
              <w:rPr>
                <w:rFonts w:ascii="Times New Roman" w:cs="Times New Roman" w:eastAsia="Times New Roman" w:hAnsi="Times New Roman"/>
                <w:sz w:val="18"/>
                <w:szCs w:val="18"/>
                <w:color w:val="auto"/>
                <w:w w:val="97"/>
              </w:rPr>
              <w:t>CME</w:t>
            </w:r>
          </w:p>
        </w:tc>
        <w:tc>
          <w:tcPr>
            <w:tcW w:w="540" w:type="dxa"/>
            <w:vAlign w:val="bottom"/>
          </w:tcPr>
          <w:p>
            <w:pPr>
              <w:spacing w:after="0"/>
              <w:rPr>
                <w:sz w:val="21"/>
                <w:szCs w:val="21"/>
                <w:color w:val="auto"/>
              </w:rPr>
            </w:pPr>
          </w:p>
        </w:tc>
        <w:tc>
          <w:tcPr>
            <w:tcW w:w="320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w:t>
            </w:r>
          </w:p>
        </w:tc>
      </w:tr>
    </w:tbl>
    <w:p>
      <w:pPr>
        <w:spacing w:after="0" w:line="144" w:lineRule="exact"/>
        <w:rPr>
          <w:sz w:val="24"/>
          <w:szCs w:val="24"/>
          <w:color w:val="auto"/>
        </w:rPr>
      </w:pPr>
    </w:p>
    <w:p>
      <w:pPr>
        <w:ind w:right="120" w:firstLine="180"/>
        <w:spacing w:after="0" w:line="273" w:lineRule="auto"/>
        <w:rPr>
          <w:sz w:val="20"/>
          <w:szCs w:val="20"/>
          <w:color w:val="auto"/>
        </w:rPr>
      </w:pPr>
      <w:r>
        <w:rPr>
          <w:rFonts w:ascii="Times New Roman" w:cs="Times New Roman" w:eastAsia="Times New Roman" w:hAnsi="Times New Roman"/>
          <w:sz w:val="17"/>
          <w:szCs w:val="17"/>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w:t>
      </w:r>
    </w:p>
    <w:p>
      <w:pPr>
        <w:spacing w:after="0" w:line="1" w:lineRule="exact"/>
        <w:rPr>
          <w:sz w:val="24"/>
          <w:szCs w:val="24"/>
          <w:color w:val="auto"/>
        </w:rPr>
      </w:pPr>
    </w:p>
    <w:p>
      <w:pPr>
        <w:spacing w:after="0" w:line="207" w:lineRule="exact"/>
        <w:tabs>
          <w:tab w:leader="none" w:pos="2960" w:val="left"/>
          <w:tab w:leader="none" w:pos="3660" w:val="left"/>
        </w:tabs>
        <w:rPr>
          <w:sz w:val="20"/>
          <w:szCs w:val="20"/>
          <w:color w:val="auto"/>
        </w:rPr>
      </w:pPr>
      <w:r>
        <w:rPr>
          <w:rFonts w:ascii="Times New Roman" w:cs="Times New Roman" w:eastAsia="Times New Roman" w:hAnsi="Times New Roman"/>
          <w:sz w:val="18"/>
          <w:szCs w:val="18"/>
          <w:color w:val="auto"/>
        </w:rPr>
        <w:t>requirements for the past 90 days.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80" w:firstLine="180"/>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w:t>
      </w:r>
    </w:p>
    <w:p>
      <w:pPr>
        <w:spacing w:after="0" w:line="207" w:lineRule="exact"/>
        <w:tabs>
          <w:tab w:leader="none" w:pos="1440" w:val="left"/>
          <w:tab w:leader="none" w:pos="2120" w:val="left"/>
        </w:tabs>
        <w:rPr>
          <w:sz w:val="20"/>
          <w:szCs w:val="20"/>
          <w:color w:val="auto"/>
        </w:rPr>
      </w:pPr>
      <w:r>
        <w:rPr>
          <w:rFonts w:ascii="Times New Roman" w:cs="Times New Roman" w:eastAsia="Times New Roman" w:hAnsi="Times New Roman"/>
          <w:sz w:val="18"/>
          <w:szCs w:val="18"/>
          <w:color w:val="auto"/>
        </w:rPr>
        <w:t>files).</w:t>
      </w:r>
      <w:r>
        <w:rPr>
          <w:sz w:val="20"/>
          <w:szCs w:val="20"/>
          <w:color w:val="auto"/>
        </w:rPr>
        <w:tab/>
      </w: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50" w:lineRule="exact"/>
        <w:rPr>
          <w:sz w:val="24"/>
          <w:szCs w:val="24"/>
          <w:color w:val="auto"/>
        </w:rPr>
      </w:pPr>
    </w:p>
    <w:p>
      <w:pPr>
        <w:ind w:right="140" w:firstLine="1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 w:lineRule="exact"/>
        <w:rPr>
          <w:sz w:val="24"/>
          <w:szCs w:val="24"/>
          <w:color w:val="auto"/>
        </w:rPr>
      </w:pPr>
    </w:p>
    <w:tbl>
      <w:tblPr>
        <w:tblLayout w:type="fixed"/>
        <w:tblInd w:w="20" w:type="dxa"/>
        <w:tblCellMar>
          <w:top w:w="0" w:type="dxa"/>
          <w:left w:w="0" w:type="dxa"/>
          <w:bottom w:w="0" w:type="dxa"/>
          <w:right w:w="0" w:type="dxa"/>
        </w:tblCellMar>
      </w:tblPr>
      <w:tr>
        <w:trPr>
          <w:trHeight w:val="230"/>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Large accelerated filer</w:t>
            </w:r>
          </w:p>
        </w:tc>
        <w:tc>
          <w:tcPr>
            <w:tcW w:w="2900" w:type="dxa"/>
            <w:vAlign w:val="bottom"/>
          </w:tcPr>
          <w:p>
            <w:pPr>
              <w:ind w:left="64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Accelerated filer</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29"/>
        </w:trPr>
        <w:tc>
          <w:tcPr>
            <w:tcW w:w="2040" w:type="dxa"/>
            <w:vAlign w:val="bottom"/>
          </w:tcPr>
          <w:p>
            <w:pPr>
              <w:jc w:val="center"/>
              <w:ind w:right="499"/>
              <w:spacing w:after="0"/>
              <w:rPr>
                <w:sz w:val="20"/>
                <w:szCs w:val="20"/>
                <w:color w:val="auto"/>
              </w:rPr>
            </w:pPr>
            <w:r>
              <w:rPr>
                <w:rFonts w:ascii="Times New Roman" w:cs="Times New Roman" w:eastAsia="Times New Roman" w:hAnsi="Times New Roman"/>
                <w:sz w:val="16"/>
                <w:szCs w:val="16"/>
                <w:color w:val="auto"/>
              </w:rPr>
              <w:t>Non-accelerated filer</w:t>
            </w:r>
          </w:p>
        </w:tc>
        <w:tc>
          <w:tcPr>
            <w:tcW w:w="2900" w:type="dxa"/>
            <w:vAlign w:val="bottom"/>
          </w:tcPr>
          <w:p>
            <w:pPr>
              <w:ind w:left="600"/>
              <w:spacing w:after="0" w:line="161" w:lineRule="exact"/>
              <w:rPr>
                <w:sz w:val="20"/>
                <w:szCs w:val="20"/>
                <w:color w:val="auto"/>
              </w:rPr>
            </w:pPr>
            <w:r>
              <w:rPr>
                <w:rFonts w:ascii="MS PGothic" w:cs="MS PGothic" w:eastAsia="MS PGothic" w:hAnsi="MS PGothic"/>
                <w:sz w:val="16"/>
                <w:szCs w:val="16"/>
                <w:color w:val="auto"/>
              </w:rPr>
              <w:t>☐</w:t>
            </w: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2040" w:type="dxa"/>
            <w:vAlign w:val="bottom"/>
          </w:tcPr>
          <w:p>
            <w:pPr>
              <w:spacing w:after="0"/>
              <w:rPr>
                <w:sz w:val="23"/>
                <w:szCs w:val="23"/>
                <w:color w:val="auto"/>
              </w:rPr>
            </w:pPr>
          </w:p>
        </w:tc>
        <w:tc>
          <w:tcPr>
            <w:tcW w:w="2900" w:type="dxa"/>
            <w:vAlign w:val="bottom"/>
          </w:tcPr>
          <w:p>
            <w:pPr>
              <w:spacing w:after="0"/>
              <w:rPr>
                <w:sz w:val="23"/>
                <w:szCs w:val="23"/>
                <w:color w:val="auto"/>
              </w:rPr>
            </w:pPr>
          </w:p>
        </w:tc>
        <w:tc>
          <w:tcPr>
            <w:tcW w:w="4580" w:type="dxa"/>
            <w:vAlign w:val="bottom"/>
          </w:tcPr>
          <w:p>
            <w:pPr>
              <w:ind w:left="2120"/>
              <w:spacing w:after="0"/>
              <w:rPr>
                <w:sz w:val="20"/>
                <w:szCs w:val="20"/>
                <w:color w:val="auto"/>
              </w:rPr>
            </w:pPr>
            <w:r>
              <w:rPr>
                <w:rFonts w:ascii="Times New Roman" w:cs="Times New Roman" w:eastAsia="Times New Roman" w:hAnsi="Times New Roman"/>
                <w:sz w:val="16"/>
                <w:szCs w:val="16"/>
                <w:color w:val="auto"/>
              </w:rPr>
              <w:t>Emerging growth company</w:t>
            </w:r>
          </w:p>
        </w:tc>
        <w:tc>
          <w:tcPr>
            <w:tcW w:w="820" w:type="dxa"/>
            <w:vAlign w:val="bottom"/>
          </w:tcPr>
          <w:p>
            <w:pPr>
              <w:ind w:left="6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137" w:lineRule="exact"/>
        <w:rPr>
          <w:sz w:val="24"/>
          <w:szCs w:val="24"/>
          <w:color w:val="auto"/>
        </w:rPr>
      </w:pPr>
    </w:p>
    <w:p>
      <w:pPr>
        <w:ind w:firstLine="162"/>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2"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27" w:lineRule="exact"/>
        <w:rPr>
          <w:sz w:val="24"/>
          <w:szCs w:val="24"/>
          <w:color w:val="auto"/>
        </w:rPr>
      </w:pPr>
    </w:p>
    <w:p>
      <w:pPr>
        <w:ind w:left="2220"/>
        <w:spacing w:after="0" w:line="207" w:lineRule="exact"/>
        <w:tabs>
          <w:tab w:leader="none" w:pos="2940" w:val="left"/>
        </w:tabs>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65" w:lineRule="exact"/>
        <w:rPr>
          <w:sz w:val="24"/>
          <w:szCs w:val="24"/>
          <w:color w:val="auto"/>
        </w:rPr>
      </w:pPr>
    </w:p>
    <w:p>
      <w:pPr>
        <w:ind w:right="80"/>
        <w:spacing w:after="0" w:line="254" w:lineRule="auto"/>
        <w:rPr>
          <w:sz w:val="20"/>
          <w:szCs w:val="20"/>
          <w:color w:val="auto"/>
        </w:rPr>
      </w:pPr>
      <w:r>
        <w:rPr>
          <w:rFonts w:ascii="Times New Roman" w:cs="Times New Roman" w:eastAsia="Times New Roman" w:hAnsi="Times New Roman"/>
          <w:sz w:val="18"/>
          <w:szCs w:val="18"/>
          <w:color w:val="auto"/>
        </w:rPr>
        <w:t>The number of shares outstanding of each of the registrant’s classes of common stock as of October 9, 2024 was as follows: 360,359,063 shares of Class A common stock, $0.01 par value; 625 shares of Class B-1 common stock, $0.01 par value; 813 shares of Class B-2 common stock, $0.01 par value; 1,287 shares of Class B-3 common stock, $0.01 par value; and 413 shares of Class B-4 common stock, $0.01 par value.</w:t>
      </w:r>
    </w:p>
    <w:p>
      <w:pPr>
        <w:sectPr>
          <w:pgSz w:w="11900" w:h="16838" w:orient="portrait"/>
          <w:cols w:equalWidth="0" w:num="1">
            <w:col w:w="11240"/>
          </w:cols>
          <w:pgMar w:left="320" w:top="229" w:right="339" w:bottom="1440" w:gutter="0" w:footer="0" w:header="0"/>
        </w:sectPr>
      </w:pPr>
    </w:p>
    <w:p>
      <w:pPr>
        <w:spacing w:after="0" w:line="200" w:lineRule="exact"/>
        <w:rPr>
          <w:sz w:val="24"/>
          <w:szCs w:val="24"/>
          <w:color w:val="auto"/>
        </w:rPr>
      </w:pPr>
    </w:p>
    <w:p>
      <w:pPr>
        <w:spacing w:after="0" w:line="3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9"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CME GROUP INC.</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10-Q</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68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480" w:type="dxa"/>
            <w:vAlign w:val="bottom"/>
          </w:tcPr>
          <w:p>
            <w:pPr>
              <w:spacing w:after="0"/>
              <w:rPr>
                <w:sz w:val="2"/>
                <w:szCs w:val="2"/>
                <w:color w:val="auto"/>
              </w:rPr>
            </w:pPr>
          </w:p>
        </w:tc>
        <w:tc>
          <w:tcPr>
            <w:tcW w:w="300" w:type="dxa"/>
            <w:vAlign w:val="bottom"/>
          </w:tcPr>
          <w:p>
            <w:pPr>
              <w:spacing w:after="0"/>
              <w:rPr>
                <w:sz w:val="2"/>
                <w:szCs w:val="2"/>
                <w:color w:val="auto"/>
              </w:rPr>
            </w:pPr>
          </w:p>
        </w:tc>
        <w:tc>
          <w:tcPr>
            <w:tcW w:w="3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20" w:type="dxa"/>
            <w:vAlign w:val="bottom"/>
          </w:tcPr>
          <w:p>
            <w:pPr>
              <w:spacing w:after="0"/>
              <w:rPr>
                <w:sz w:val="2"/>
                <w:szCs w:val="2"/>
                <w:color w:val="auto"/>
              </w:rPr>
            </w:pPr>
          </w:p>
        </w:tc>
        <w:tc>
          <w:tcPr>
            <w:tcW w:w="5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1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20" w:type="dxa"/>
            <w:vAlign w:val="bottom"/>
          </w:tcPr>
          <w:p>
            <w:pPr>
              <w:spacing w:after="0"/>
              <w:rPr>
                <w:sz w:val="24"/>
                <w:szCs w:val="24"/>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PART I. FINANCIAL INFORMATION</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460" w:type="dxa"/>
            <w:vAlign w:val="bottom"/>
            <w:tcBorders>
              <w:top w:val="single" w:sz="8" w:color="0000FF"/>
              <w:bottom w:val="single" w:sz="8" w:color="0000FF"/>
            </w:tcBorders>
            <w:gridSpan w:val="5"/>
          </w:tcPr>
          <w:p>
            <w:pPr>
              <w:spacing w:after="0"/>
              <w:rPr>
                <w:sz w:val="20"/>
                <w:szCs w:val="20"/>
                <w:color w:val="auto"/>
              </w:rPr>
            </w:pPr>
            <w:r>
              <w:rPr>
                <w:rFonts w:ascii="Times New Roman" w:cs="Times New Roman" w:eastAsia="Times New Roman" w:hAnsi="Times New Roman"/>
                <w:sz w:val="16"/>
                <w:szCs w:val="16"/>
                <w:b w:val="1"/>
                <w:bCs w:val="1"/>
                <w:color w:val="0000FF"/>
              </w:rPr>
              <w:t>Financial Statements</w:t>
            </w:r>
          </w:p>
        </w:tc>
        <w:tc>
          <w:tcPr>
            <w:tcW w:w="360" w:type="dxa"/>
            <w:vAlign w:val="bottom"/>
            <w:tcBorders>
              <w:top w:val="single" w:sz="8" w:color="0000FF"/>
            </w:tcBorders>
            <w:gridSpan w:val="3"/>
          </w:tcPr>
          <w:p>
            <w:pPr>
              <w:spacing w:after="0"/>
              <w:rPr>
                <w:sz w:val="24"/>
                <w:szCs w:val="24"/>
                <w:color w:val="auto"/>
              </w:rPr>
            </w:pPr>
          </w:p>
        </w:tc>
        <w:tc>
          <w:tcPr>
            <w:tcW w:w="7780" w:type="dxa"/>
            <w:vAlign w:val="bottom"/>
            <w:gridSpan w:val="10"/>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Consolidated Balance Sheets at September 30, 2024 and December 31,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980" w:type="dxa"/>
            <w:vAlign w:val="bottom"/>
            <w:tcBorders>
              <w:bottom w:val="single" w:sz="8" w:color="0000FF"/>
            </w:tcBorders>
            <w:gridSpan w:val="16"/>
          </w:tcPr>
          <w:p>
            <w:pPr>
              <w:spacing w:after="0"/>
              <w:rPr>
                <w:sz w:val="20"/>
                <w:szCs w:val="20"/>
                <w:color w:val="auto"/>
              </w:rPr>
            </w:pPr>
            <w:r>
              <w:rPr>
                <w:rFonts w:ascii="Times New Roman" w:cs="Times New Roman" w:eastAsia="Times New Roman" w:hAnsi="Times New Roman"/>
                <w:sz w:val="16"/>
                <w:szCs w:val="16"/>
                <w:color w:val="0000FF"/>
              </w:rPr>
              <w:t>Consolidated Statements of Income for the Quarters and Nine Months Ended September 30, 2024 and 2023</w:t>
            </w:r>
          </w:p>
        </w:tc>
        <w:tc>
          <w:tcPr>
            <w:tcW w:w="2620" w:type="dxa"/>
            <w:vAlign w:val="bottom"/>
            <w:gridSpan w:val="2"/>
          </w:tcPr>
          <w:p>
            <w:pPr>
              <w:spacing w:after="0"/>
              <w:rPr>
                <w:sz w:val="22"/>
                <w:szCs w:val="22"/>
                <w:color w:val="auto"/>
              </w:rPr>
            </w:pP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Consolidated Statements of Comprehensive Income for the Quarters and Nine Months Ended September 30, 2024 and 2023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920" w:type="dxa"/>
            <w:vAlign w:val="bottom"/>
            <w:tcBorders>
              <w:top w:val="single" w:sz="8" w:color="0000FF"/>
              <w:bottom w:val="single" w:sz="8" w:color="0000FF"/>
            </w:tcBorders>
            <w:gridSpan w:val="15"/>
          </w:tcPr>
          <w:p>
            <w:pPr>
              <w:spacing w:after="0"/>
              <w:rPr>
                <w:sz w:val="20"/>
                <w:szCs w:val="20"/>
                <w:color w:val="auto"/>
              </w:rPr>
            </w:pPr>
            <w:r>
              <w:rPr>
                <w:rFonts w:ascii="Times New Roman" w:cs="Times New Roman" w:eastAsia="Times New Roman" w:hAnsi="Times New Roman"/>
                <w:sz w:val="16"/>
                <w:szCs w:val="16"/>
                <w:color w:val="0000FF"/>
              </w:rPr>
              <w:t>Consolidated Statements of Equity for the Quarters and Nine Months Ended September 30, 2024 and 2023</w:t>
            </w:r>
          </w:p>
        </w:tc>
        <w:tc>
          <w:tcPr>
            <w:tcW w:w="1100" w:type="dxa"/>
            <w:vAlign w:val="bottom"/>
            <w:tcBorders>
              <w:top w:val="single" w:sz="8" w:color="0000FF"/>
            </w:tcBorders>
            <w:gridSpan w:val="2"/>
          </w:tcPr>
          <w:p>
            <w:pPr>
              <w:spacing w:after="0"/>
              <w:rPr>
                <w:sz w:val="22"/>
                <w:szCs w:val="22"/>
                <w:color w:val="auto"/>
              </w:rPr>
            </w:pPr>
          </w:p>
        </w:tc>
        <w:tc>
          <w:tcPr>
            <w:tcW w:w="1580" w:type="dxa"/>
            <w:vAlign w:val="bottom"/>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380" w:type="dxa"/>
            <w:vAlign w:val="bottom"/>
            <w:tcBorders>
              <w:bottom w:val="single" w:sz="8" w:color="0000FF"/>
            </w:tcBorders>
            <w:gridSpan w:val="14"/>
          </w:tcPr>
          <w:p>
            <w:pPr>
              <w:spacing w:after="0"/>
              <w:rPr>
                <w:sz w:val="20"/>
                <w:szCs w:val="20"/>
                <w:color w:val="auto"/>
              </w:rPr>
            </w:pPr>
            <w:r>
              <w:rPr>
                <w:rFonts w:ascii="Times New Roman" w:cs="Times New Roman" w:eastAsia="Times New Roman" w:hAnsi="Times New Roman"/>
                <w:sz w:val="16"/>
                <w:szCs w:val="16"/>
                <w:color w:val="0000FF"/>
              </w:rPr>
              <w:t>Consolidated Statements of Cash Flows for the Nine Months Ended September 30, 2024 and 2023</w:t>
            </w:r>
          </w:p>
        </w:tc>
        <w:tc>
          <w:tcPr>
            <w:tcW w:w="3220" w:type="dxa"/>
            <w:vAlign w:val="bottom"/>
            <w:gridSpan w:val="4"/>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6"/>
                <w:szCs w:val="16"/>
                <w:color w:val="0000FF"/>
              </w:rPr>
              <w:t>Notes to Unaudited Consolidated Financial Statements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940" w:type="dxa"/>
            <w:vAlign w:val="bottom"/>
            <w:vMerge w:val="restart"/>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10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820" w:type="dxa"/>
            <w:vAlign w:val="bottom"/>
            <w:gridSpan w:val="2"/>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940" w:type="dxa"/>
            <w:vAlign w:val="bottom"/>
            <w:gridSpan w:val="2"/>
          </w:tcPr>
          <w:p>
            <w:pPr>
              <w:spacing w:after="0" w:line="20" w:lineRule="exact"/>
              <w:rPr>
                <w:sz w:val="1"/>
                <w:szCs w:val="1"/>
                <w:color w:val="auto"/>
              </w:rPr>
            </w:pPr>
          </w:p>
        </w:tc>
        <w:tc>
          <w:tcPr>
            <w:tcW w:w="3460" w:type="dxa"/>
            <w:vAlign w:val="bottom"/>
            <w:gridSpan w:val="5"/>
          </w:tcPr>
          <w:p>
            <w:pPr>
              <w:spacing w:after="0" w:line="20" w:lineRule="exact"/>
              <w:rPr>
                <w:sz w:val="1"/>
                <w:szCs w:val="1"/>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vMerge w:val="continue"/>
          </w:tcPr>
          <w:p>
            <w:pPr>
              <w:spacing w:after="0"/>
              <w:rPr>
                <w:sz w:val="22"/>
                <w:szCs w:val="22"/>
                <w:color w:val="auto"/>
              </w:rPr>
            </w:pPr>
          </w:p>
        </w:tc>
        <w:tc>
          <w:tcPr>
            <w:tcW w:w="9600" w:type="dxa"/>
            <w:vAlign w:val="bottom"/>
            <w:gridSpan w:val="18"/>
          </w:tcPr>
          <w:p>
            <w:pPr>
              <w:spacing w:after="0"/>
              <w:rPr>
                <w:sz w:val="20"/>
                <w:szCs w:val="20"/>
                <w:color w:val="auto"/>
              </w:rPr>
            </w:pPr>
            <w:r>
              <w:rPr>
                <w:rFonts w:ascii="Times New Roman" w:cs="Times New Roman" w:eastAsia="Times New Roman" w:hAnsi="Times New Roman"/>
                <w:sz w:val="16"/>
                <w:szCs w:val="16"/>
                <w:b w:val="1"/>
                <w:bCs w:val="1"/>
                <w:color w:val="0000FF"/>
              </w:rPr>
              <w:t>Management’s Discussion and Analysis of Financial Condition and Results of Operations</w:t>
            </w:r>
          </w:p>
        </w:tc>
        <w:tc>
          <w:tcPr>
            <w:tcW w:w="680" w:type="dxa"/>
            <w:vAlign w:val="bottom"/>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3.</w:t>
            </w:r>
          </w:p>
        </w:tc>
        <w:tc>
          <w:tcPr>
            <w:tcW w:w="4200" w:type="dxa"/>
            <w:vAlign w:val="bottom"/>
            <w:tcBorders>
              <w:top w:val="single" w:sz="8" w:color="0000FF"/>
              <w:bottom w:val="single" w:sz="8" w:color="0000FF"/>
            </w:tcBorders>
            <w:gridSpan w:val="11"/>
          </w:tcPr>
          <w:p>
            <w:pPr>
              <w:spacing w:after="0"/>
              <w:rPr>
                <w:sz w:val="20"/>
                <w:szCs w:val="20"/>
                <w:color w:val="auto"/>
              </w:rPr>
            </w:pPr>
            <w:r>
              <w:rPr>
                <w:rFonts w:ascii="Times New Roman" w:cs="Times New Roman" w:eastAsia="Times New Roman" w:hAnsi="Times New Roman"/>
                <w:sz w:val="16"/>
                <w:szCs w:val="16"/>
                <w:b w:val="1"/>
                <w:bCs w:val="1"/>
                <w:color w:val="0000FF"/>
              </w:rPr>
              <w:t>Quantitative and Qualitative Disclosures About Market Risk</w:t>
            </w:r>
          </w:p>
        </w:tc>
        <w:tc>
          <w:tcPr>
            <w:tcW w:w="1940" w:type="dxa"/>
            <w:vAlign w:val="bottom"/>
            <w:tcBorders>
              <w:top w:val="single" w:sz="8" w:color="0000FF"/>
            </w:tcBorders>
            <w:gridSpan w:val="2"/>
          </w:tcPr>
          <w:p>
            <w:pPr>
              <w:spacing w:after="0"/>
              <w:rPr>
                <w:sz w:val="22"/>
                <w:szCs w:val="22"/>
                <w:color w:val="auto"/>
              </w:rPr>
            </w:pPr>
          </w:p>
        </w:tc>
        <w:tc>
          <w:tcPr>
            <w:tcW w:w="3460" w:type="dxa"/>
            <w:vAlign w:val="bottom"/>
            <w:gridSpan w:val="5"/>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4.</w:t>
            </w:r>
          </w:p>
        </w:tc>
        <w:tc>
          <w:tcPr>
            <w:tcW w:w="172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Controls and Procedures</w:t>
            </w:r>
          </w:p>
        </w:tc>
        <w:tc>
          <w:tcPr>
            <w:tcW w:w="7880" w:type="dxa"/>
            <w:vAlign w:val="bottom"/>
            <w:gridSpan w:val="11"/>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2500" w:type="dxa"/>
            <w:vAlign w:val="bottom"/>
            <w:tcBorders>
              <w:bottom w:val="single" w:sz="8" w:color="0000FF"/>
            </w:tcBorders>
            <w:gridSpan w:val="7"/>
          </w:tcPr>
          <w:p>
            <w:pPr>
              <w:spacing w:after="0"/>
              <w:rPr>
                <w:sz w:val="20"/>
                <w:szCs w:val="20"/>
                <w:color w:val="auto"/>
              </w:rPr>
            </w:pPr>
            <w:r>
              <w:rPr>
                <w:rFonts w:ascii="Times New Roman" w:cs="Times New Roman" w:eastAsia="Times New Roman" w:hAnsi="Times New Roman"/>
                <w:sz w:val="16"/>
                <w:szCs w:val="16"/>
                <w:b w:val="1"/>
                <w:bCs w:val="1"/>
                <w:color w:val="0000FF"/>
                <w:w w:val="99"/>
              </w:rPr>
              <w:t>PART II. OTHER INFORMATION</w:t>
            </w:r>
          </w:p>
        </w:tc>
        <w:tc>
          <w:tcPr>
            <w:tcW w:w="8040" w:type="dxa"/>
            <w:vAlign w:val="bottom"/>
            <w:gridSpan w:val="12"/>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w:t>
            </w:r>
          </w:p>
        </w:tc>
        <w:tc>
          <w:tcPr>
            <w:tcW w:w="1260" w:type="dxa"/>
            <w:vAlign w:val="bottom"/>
            <w:tcBorders>
              <w:bottom w:val="single" w:sz="8" w:color="0000FF"/>
            </w:tcBorders>
            <w:gridSpan w:val="4"/>
          </w:tcPr>
          <w:p>
            <w:pPr>
              <w:spacing w:after="0"/>
              <w:rPr>
                <w:sz w:val="20"/>
                <w:szCs w:val="20"/>
                <w:color w:val="auto"/>
              </w:rPr>
            </w:pPr>
            <w:r>
              <w:rPr>
                <w:rFonts w:ascii="Times New Roman" w:cs="Times New Roman" w:eastAsia="Times New Roman" w:hAnsi="Times New Roman"/>
                <w:sz w:val="16"/>
                <w:szCs w:val="16"/>
                <w:b w:val="1"/>
                <w:bCs w:val="1"/>
                <w:color w:val="0000FF"/>
                <w:w w:val="99"/>
              </w:rPr>
              <w:t>Legal Proceedings</w:t>
            </w:r>
          </w:p>
        </w:tc>
        <w:tc>
          <w:tcPr>
            <w:tcW w:w="8340" w:type="dxa"/>
            <w:vAlign w:val="bottom"/>
            <w:gridSpan w:val="14"/>
          </w:tcPr>
          <w:p>
            <w:pPr>
              <w:spacing w:after="0"/>
              <w:rPr>
                <w:sz w:val="24"/>
                <w:szCs w:val="2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1A.</w:t>
            </w:r>
          </w:p>
        </w:tc>
        <w:tc>
          <w:tcPr>
            <w:tcW w:w="880" w:type="dxa"/>
            <w:vAlign w:val="bottom"/>
            <w:tcBorders>
              <w:bottom w:val="single" w:sz="8" w:color="0000FF"/>
            </w:tcBorders>
            <w:gridSpan w:val="3"/>
          </w:tcPr>
          <w:p>
            <w:pPr>
              <w:spacing w:after="0"/>
              <w:rPr>
                <w:sz w:val="20"/>
                <w:szCs w:val="20"/>
                <w:color w:val="auto"/>
              </w:rPr>
            </w:pPr>
            <w:r>
              <w:rPr>
                <w:rFonts w:ascii="Times New Roman" w:cs="Times New Roman" w:eastAsia="Times New Roman" w:hAnsi="Times New Roman"/>
                <w:sz w:val="16"/>
                <w:szCs w:val="16"/>
                <w:b w:val="1"/>
                <w:bCs w:val="1"/>
                <w:color w:val="0000FF"/>
                <w:w w:val="99"/>
              </w:rPr>
              <w:t>Risk Factors</w:t>
            </w:r>
          </w:p>
        </w:tc>
        <w:tc>
          <w:tcPr>
            <w:tcW w:w="8720" w:type="dxa"/>
            <w:vAlign w:val="bottom"/>
            <w:gridSpan w:val="15"/>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2.</w:t>
            </w:r>
          </w:p>
        </w:tc>
        <w:tc>
          <w:tcPr>
            <w:tcW w:w="4120" w:type="dxa"/>
            <w:vAlign w:val="bottom"/>
            <w:tcBorders>
              <w:bottom w:val="single" w:sz="8" w:color="0000FF"/>
            </w:tcBorders>
            <w:gridSpan w:val="10"/>
          </w:tcPr>
          <w:p>
            <w:pPr>
              <w:spacing w:after="0"/>
              <w:rPr>
                <w:sz w:val="20"/>
                <w:szCs w:val="20"/>
                <w:color w:val="auto"/>
              </w:rPr>
            </w:pPr>
            <w:r>
              <w:rPr>
                <w:rFonts w:ascii="Times New Roman" w:cs="Times New Roman" w:eastAsia="Times New Roman" w:hAnsi="Times New Roman"/>
                <w:sz w:val="16"/>
                <w:szCs w:val="16"/>
                <w:b w:val="1"/>
                <w:bCs w:val="1"/>
                <w:color w:val="0000FF"/>
              </w:rPr>
              <w:t>Unregistered Sales of Equity Securities and Use of Proceeds</w:t>
            </w:r>
          </w:p>
        </w:tc>
        <w:tc>
          <w:tcPr>
            <w:tcW w:w="5480" w:type="dxa"/>
            <w:vAlign w:val="bottom"/>
            <w:gridSpan w:val="8"/>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Item 6.</w:t>
            </w:r>
          </w:p>
        </w:tc>
        <w:tc>
          <w:tcPr>
            <w:tcW w:w="58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6"/>
                <w:szCs w:val="16"/>
                <w:b w:val="1"/>
                <w:bCs w:val="1"/>
                <w:color w:val="0000FF"/>
                <w:w w:val="98"/>
              </w:rPr>
              <w:t>Exhibits</w:t>
            </w:r>
          </w:p>
        </w:tc>
        <w:tc>
          <w:tcPr>
            <w:tcW w:w="9020" w:type="dxa"/>
            <w:vAlign w:val="bottom"/>
            <w:gridSpan w:val="16"/>
          </w:tcPr>
          <w:p>
            <w:pPr>
              <w:spacing w:after="0"/>
              <w:rPr>
                <w:sz w:val="22"/>
                <w:szCs w:val="22"/>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0540" w:type="dxa"/>
            <w:vAlign w:val="bottom"/>
            <w:gridSpan w:val="19"/>
          </w:tcPr>
          <w:p>
            <w:pPr>
              <w:spacing w:after="0"/>
              <w:rPr>
                <w:sz w:val="20"/>
                <w:szCs w:val="20"/>
                <w:color w:val="auto"/>
              </w:rPr>
            </w:pPr>
            <w:r>
              <w:rPr>
                <w:rFonts w:ascii="Times New Roman" w:cs="Times New Roman" w:eastAsia="Times New Roman" w:hAnsi="Times New Roman"/>
                <w:sz w:val="16"/>
                <w:szCs w:val="16"/>
                <w:b w:val="1"/>
                <w:bCs w:val="1"/>
                <w:color w:val="0000FF"/>
              </w:rPr>
              <w:t>SIGNATURES</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0" w:type="dxa"/>
            <w:vAlign w:val="bottom"/>
          </w:tcPr>
          <w:p>
            <w:pPr>
              <w:spacing w:after="0"/>
              <w:rPr>
                <w:sz w:val="1"/>
                <w:szCs w:val="1"/>
                <w:color w:val="auto"/>
              </w:rPr>
            </w:pPr>
          </w:p>
        </w:tc>
      </w:tr>
      <w:tr>
        <w:trPr>
          <w:trHeight w:val="912"/>
        </w:trPr>
        <w:tc>
          <w:tcPr>
            <w:tcW w:w="20" w:type="dxa"/>
            <w:vAlign w:val="bottom"/>
          </w:tcPr>
          <w:p>
            <w:pPr>
              <w:spacing w:after="0"/>
              <w:rPr>
                <w:sz w:val="24"/>
                <w:szCs w:val="24"/>
                <w:color w:val="auto"/>
              </w:rPr>
            </w:pPr>
          </w:p>
        </w:tc>
        <w:tc>
          <w:tcPr>
            <w:tcW w:w="94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4860" w:type="dxa"/>
            <w:vAlign w:val="bottom"/>
            <w:gridSpan w:val="11"/>
          </w:tcPr>
          <w:p>
            <w:pPr>
              <w:jc w:val="right"/>
              <w:ind w:right="260"/>
              <w:spacing w:after="0"/>
              <w:rPr>
                <w:sz w:val="20"/>
                <w:szCs w:val="20"/>
                <w:color w:val="auto"/>
              </w:rPr>
            </w:pPr>
            <w:r>
              <w:rPr>
                <w:rFonts w:ascii="Times New Roman" w:cs="Times New Roman" w:eastAsia="Times New Roman" w:hAnsi="Times New Roman"/>
                <w:sz w:val="18"/>
                <w:szCs w:val="18"/>
                <w:color w:val="auto"/>
              </w:rPr>
              <w:t>2</w:t>
            </w: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72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11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540" w:type="dxa"/>
            <w:vAlign w:val="bottom"/>
            <w:tcBorders>
              <w:bottom w:val="single" w:sz="8" w:color="9A9A9A"/>
            </w:tcBorders>
          </w:tcPr>
          <w:p>
            <w:pPr>
              <w:spacing w:after="0"/>
              <w:rPr>
                <w:sz w:val="10"/>
                <w:szCs w:val="10"/>
                <w:color w:val="auto"/>
              </w:rPr>
            </w:pPr>
          </w:p>
        </w:tc>
        <w:tc>
          <w:tcPr>
            <w:tcW w:w="6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58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references to “options” or “options contracts” in the text of this document refer to options on futures contracts.</w:t>
      </w:r>
    </w:p>
    <w:p>
      <w:pPr>
        <w:spacing w:after="0" w:line="27" w:lineRule="exact"/>
        <w:rPr>
          <w:sz w:val="20"/>
          <w:szCs w:val="20"/>
          <w:color w:val="auto"/>
        </w:rPr>
      </w:pPr>
    </w:p>
    <w:p>
      <w:pPr>
        <w:ind w:right="280"/>
        <w:spacing w:after="0" w:line="260" w:lineRule="auto"/>
        <w:rPr>
          <w:sz w:val="20"/>
          <w:szCs w:val="20"/>
          <w:color w:val="auto"/>
        </w:rPr>
      </w:pPr>
      <w:r>
        <w:rPr>
          <w:rFonts w:ascii="Times New Roman" w:cs="Times New Roman" w:eastAsia="Times New Roman" w:hAnsi="Times New Roman"/>
          <w:sz w:val="18"/>
          <w:szCs w:val="18"/>
          <w:color w:val="auto"/>
        </w:rPr>
        <w:t>Further information about CME Group and its products can be found at http://www.cmegroup.com. Information made available on our website does not constitute a part of this Quarterly Report on Form 10-Q.</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about Contract Volume and Average Rate per Contract</w:t>
      </w:r>
    </w:p>
    <w:p>
      <w:pPr>
        <w:spacing w:after="0" w:line="108"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All amounts regarding contract volume and average rate per contract are for CME Group’s listed futures and options on futures contracts unless otherwise noted.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Trademark Information</w:t>
      </w:r>
    </w:p>
    <w:p>
      <w:pPr>
        <w:spacing w:after="0" w:line="135"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CME Group, the Globe logo, CME, Chicago Mercantile Exchange, Globex, and E-mini are trademarks of Chicago Mercantile Exchange Inc. CBOT and Chicago Board of Trade are trademarks of Board of Trade of the City of Chicago, Inc. NYMEX, New York Mercantile Exchange and ClearPort are</w:t>
      </w:r>
    </w:p>
    <w:p>
      <w:pPr>
        <w:spacing w:after="0" w:line="1" w:lineRule="exact"/>
        <w:rPr>
          <w:sz w:val="20"/>
          <w:szCs w:val="20"/>
          <w:color w:val="auto"/>
        </w:rPr>
      </w:pPr>
    </w:p>
    <w:p>
      <w:pPr>
        <w:ind w:right="240"/>
        <w:spacing w:after="0" w:line="239" w:lineRule="auto"/>
        <w:rPr>
          <w:sz w:val="20"/>
          <w:szCs w:val="20"/>
          <w:color w:val="auto"/>
        </w:rPr>
      </w:pPr>
      <w:r>
        <w:rPr>
          <w:rFonts w:ascii="Times New Roman" w:cs="Times New Roman" w:eastAsia="Times New Roman" w:hAnsi="Times New Roman"/>
          <w:sz w:val="18"/>
          <w:szCs w:val="18"/>
          <w:color w:val="auto"/>
        </w:rPr>
        <w:t>trademarks of New York Mercantile Exchange, Inc. COMEX is a trademark of Commodity Exchange, Inc. BrokerTec is a trademark of BrokerTec Americas LLC and EBS is a trademark of EBS Group Limited. OSTTRA is a trademark of MarkitSERV Limited. Dow Jones, Dow Jones Industrial Average, S&amp;P 500 and S&amp;P are service and/or trademarks of Dow Jones Trademark Holdings LLC, Standard &amp; Poor's Financial Services LLC and S&amp;P Dow Jones Indices LLC, as the case may be, and have been licensed for use by Chicago Mercantile Exchange Inc. (CME). All other trademarks are the property of their respective owners.</w:t>
      </w:r>
    </w:p>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4" w:lineRule="exact"/>
        <w:rPr>
          <w:sz w:val="20"/>
          <w:szCs w:val="20"/>
          <w:color w:val="auto"/>
        </w:rPr>
      </w:pPr>
    </w:p>
    <w:p>
      <w:pPr>
        <w:ind w:right="40"/>
        <w:spacing w:after="0" w:line="237" w:lineRule="auto"/>
        <w:rPr>
          <w:sz w:val="20"/>
          <w:szCs w:val="20"/>
          <w:color w:val="auto"/>
        </w:rPr>
      </w:pPr>
      <w:r>
        <w:rPr>
          <w:rFonts w:ascii="Times New Roman" w:cs="Times New Roman" w:eastAsia="Times New Roman" w:hAnsi="Times New Roman"/>
          <w:sz w:val="18"/>
          <w:szCs w:val="18"/>
          <w:color w:val="auto"/>
        </w:rPr>
        <w:t>From time to time, in this Quarterly Report on Form 10-Q as well as in other written reports and verbal statements, we discuss our expectations regarding future performance. These forward-looking statements are identified by their use of terms and phrases such as “believe,” “anticipate,” “could,” “estimate,” “intend,” “may,” “plan,” “expect” and similar expressions, including references to assumptions. These forward-looking statements are based on currently available competitive, financial and economic data, current expectations, estimates, forecasts and projections about the industries in which we operate and management's beliefs and assumptions. These statements are not guarantees of future performance and involve risks, uncertainties and assumptions that are difficult to predict. Therefore, actual outcomes and results may differ materially from what is expressed or implied in any forward-looking statements. We want to caution you not to place undue reliance on any forward-looking statements. We undertake no obligation to publicly update any forward-looking statements, whether as a result of new information, future events or otherwise. Among the factors that might affect our performance are:</w:t>
      </w:r>
    </w:p>
    <w:p>
      <w:pPr>
        <w:spacing w:after="0" w:line="93" w:lineRule="exact"/>
        <w:rPr>
          <w:sz w:val="20"/>
          <w:szCs w:val="20"/>
          <w:color w:val="auto"/>
        </w:rPr>
      </w:pPr>
    </w:p>
    <w:p>
      <w:pPr>
        <w:ind w:left="660" w:right="1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competition by foreign and domestic entities, including increased competition from new entrants into our markets and consolidation of existing entities;</w:t>
      </w:r>
    </w:p>
    <w:p>
      <w:pPr>
        <w:spacing w:after="0" w:line="53" w:lineRule="exact"/>
        <w:rPr>
          <w:rFonts w:ascii="Times New Roman" w:cs="Times New Roman" w:eastAsia="Times New Roman" w:hAnsi="Times New Roman"/>
          <w:sz w:val="18"/>
          <w:szCs w:val="18"/>
          <w:color w:val="auto"/>
        </w:rPr>
      </w:pPr>
    </w:p>
    <w:p>
      <w:pPr>
        <w:ind w:left="660" w:right="560" w:hanging="328"/>
        <w:spacing w:after="0" w:line="26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keep pace with rapid technological developments, including our ability to complete the development, implementation and maintenance of the enhanced functionality required by our customers while maintaining reliability and ensuring that such technology is not vulnerable to security risks;</w:t>
      </w:r>
    </w:p>
    <w:p>
      <w:pPr>
        <w:spacing w:after="0" w:line="13" w:lineRule="exact"/>
        <w:rPr>
          <w:rFonts w:ascii="Times New Roman" w:cs="Times New Roman" w:eastAsia="Times New Roman" w:hAnsi="Times New Roman"/>
          <w:sz w:val="18"/>
          <w:szCs w:val="18"/>
          <w:color w:val="auto"/>
        </w:rPr>
      </w:pPr>
    </w:p>
    <w:p>
      <w:pPr>
        <w:ind w:left="66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introducing competitive new products and services on a timely, cost-effective basis, including through our electronic trading capabilities, and our ability to maintain the competitiveness of our existing products and services;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adjust our fixed costs and expenses if our revenues decline;</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existing customers at substantially similar trading levels, develop strategic relationships and attract new customers;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expand and globally offer our products and services;</w:t>
      </w:r>
    </w:p>
    <w:p>
      <w:pPr>
        <w:spacing w:after="0" w:line="63" w:lineRule="exact"/>
        <w:rPr>
          <w:rFonts w:ascii="Times New Roman" w:cs="Times New Roman" w:eastAsia="Times New Roman" w:hAnsi="Times New Roman"/>
          <w:sz w:val="18"/>
          <w:szCs w:val="18"/>
          <w:color w:val="auto"/>
        </w:rPr>
      </w:pPr>
    </w:p>
    <w:p>
      <w:pPr>
        <w:ind w:left="660" w:right="460" w:hanging="328"/>
        <w:spacing w:after="0" w:line="298"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regulations, including the impact of any changes in laws or government policies with respect to our products or services or our industry, such as any changes to regulations and policies that require increased financial and operational resources from us or our customers;</w:t>
      </w:r>
    </w:p>
    <w:p>
      <w:pPr>
        <w:ind w:left="660" w:right="620" w:hanging="328"/>
        <w:spacing w:after="0" w:line="28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costs associated with protecting our intellectual property rights and our ability to operate our business without violating the intellectual property rights of others;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revenue from our market data as a result of decreased demand or changes to regulations in various jurisdictions;</w:t>
      </w:r>
    </w:p>
    <w:p>
      <w:pPr>
        <w:spacing w:after="0" w:line="63" w:lineRule="exact"/>
        <w:rPr>
          <w:rFonts w:ascii="Times New Roman" w:cs="Times New Roman" w:eastAsia="Times New Roman" w:hAnsi="Times New Roman"/>
          <w:sz w:val="18"/>
          <w:szCs w:val="18"/>
          <w:color w:val="auto"/>
        </w:rPr>
      </w:pPr>
    </w:p>
    <w:p>
      <w:pPr>
        <w:ind w:left="660" w:right="160" w:hanging="328"/>
        <w:spacing w:after="0" w:line="298" w:lineRule="auto"/>
        <w:tabs>
          <w:tab w:leader="none" w:pos="655"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our rate per contract due to shifts in the mix of the products traded, the trading venue and the mix of customers (whether the customer receives member or non-member fees or participates in one of our various incentive programs) and the impact of our tiered pricing structure;</w:t>
      </w:r>
    </w:p>
    <w:p>
      <w:pPr>
        <w:ind w:left="660" w:right="500" w:hanging="328"/>
        <w:spacing w:after="0" w:line="282"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credit and liquidity risk management practices to adequately protect us from the credit risks of clearing members and other counterparties, and to satisfy the margin and liquidity requirements associated with the BrokerTec matched principal business;</w:t>
      </w:r>
    </w:p>
    <w:p>
      <w:pPr>
        <w:spacing w:after="0" w:line="200" w:lineRule="exact"/>
        <w:rPr>
          <w:sz w:val="20"/>
          <w:szCs w:val="20"/>
          <w:color w:val="auto"/>
        </w:rPr>
      </w:pPr>
    </w:p>
    <w:p>
      <w:pPr>
        <w:spacing w:after="0" w:line="3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660" w:right="20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our compliance and risk management programs to effectively monitor and manage our risks, including our ability to prevent errors and misconduct and protect our infrastructure against security breaches and misappropriation of our intellectual property assets;</w:t>
      </w:r>
    </w:p>
    <w:p>
      <w:pPr>
        <w:spacing w:after="0" w:line="1" w:lineRule="exact"/>
        <w:rPr>
          <w:rFonts w:ascii="Times New Roman" w:cs="Times New Roman" w:eastAsia="Times New Roman" w:hAnsi="Times New Roman"/>
          <w:sz w:val="18"/>
          <w:szCs w:val="18"/>
          <w:color w:val="auto"/>
        </w:rPr>
      </w:pPr>
    </w:p>
    <w:p>
      <w:pPr>
        <w:ind w:left="660" w:right="48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dependence on third-party providers and exposure to risk through third parties, including risks related to the performance, reliability and security of technology used by our third-party providers and third-party providers that our clients rely on;</w:t>
      </w:r>
    </w:p>
    <w:p>
      <w:pPr>
        <w:spacing w:after="0" w:line="1" w:lineRule="exact"/>
        <w:rPr>
          <w:rFonts w:ascii="Times New Roman" w:cs="Times New Roman" w:eastAsia="Times New Roman" w:hAnsi="Times New Roman"/>
          <w:sz w:val="18"/>
          <w:szCs w:val="18"/>
          <w:color w:val="auto"/>
        </w:rPr>
      </w:pPr>
    </w:p>
    <w:p>
      <w:pPr>
        <w:ind w:left="660" w:right="8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commodity, equity and fixed income prices, and price volatility of financial benchmarks and instruments such as interest rates, equity indices, fixed income instruments and foreign exchange rates;</w:t>
      </w:r>
    </w:p>
    <w:p>
      <w:pPr>
        <w:spacing w:after="0" w:line="1" w:lineRule="exact"/>
        <w:rPr>
          <w:rFonts w:ascii="Times New Roman" w:cs="Times New Roman" w:eastAsia="Times New Roman" w:hAnsi="Times New Roman"/>
          <w:sz w:val="18"/>
          <w:szCs w:val="18"/>
          <w:color w:val="auto"/>
        </w:rPr>
      </w:pPr>
    </w:p>
    <w:p>
      <w:pPr>
        <w:ind w:left="660" w:right="12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social, political and market conditions, including the volatility of the capital and credit markets and the impact of economic conditions on the trading activity of our current and potential customers;</w:t>
      </w:r>
    </w:p>
    <w:p>
      <w:pPr>
        <w:spacing w:after="0" w:line="1" w:lineRule="exact"/>
        <w:rPr>
          <w:rFonts w:ascii="Times New Roman" w:cs="Times New Roman" w:eastAsia="Times New Roman" w:hAnsi="Times New Roman"/>
          <w:sz w:val="18"/>
          <w:szCs w:val="18"/>
          <w:color w:val="auto"/>
        </w:rPr>
      </w:pPr>
    </w:p>
    <w:p>
      <w:pPr>
        <w:ind w:left="660" w:right="800" w:hanging="328"/>
        <w:spacing w:after="0" w:line="281"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accommodate increases in contract volume and order messaging traffic and to implement enhancements without failure or degradation of the performance of our trading and clearing systems;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our growth strategy and maintain our growth effectively;</w:t>
      </w:r>
    </w:p>
    <w:p>
      <w:pPr>
        <w:spacing w:after="0" w:line="63" w:lineRule="exact"/>
        <w:rPr>
          <w:rFonts w:ascii="Times New Roman" w:cs="Times New Roman" w:eastAsia="Times New Roman" w:hAnsi="Times New Roman"/>
          <w:sz w:val="18"/>
          <w:szCs w:val="18"/>
          <w:color w:val="auto"/>
        </w:rPr>
      </w:pPr>
    </w:p>
    <w:p>
      <w:pPr>
        <w:ind w:left="660" w:right="20" w:hanging="328"/>
        <w:spacing w:after="0" w:line="287" w:lineRule="auto"/>
        <w:tabs>
          <w:tab w:leader="none" w:pos="655"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manage the risks, control the costs and achieve the synergies associated with our strategy for acquisitions, investments and alliances, including those associated with the performance of our joint ventures with S&amp;P Dow Jones (S&amp;P Dow Jones Indices LLC) in index services and in trade processing/post trade services (OSTTRA), our primary business and distribution partners’ actions and our partnership with Google Cloud;</w:t>
      </w: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variances in earnings on cash accounts and collateral that our clearing house holds for its clients;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CME Group pricing and incentive changes;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 of aggregation services and internalization on trade flow and volumes;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negative financial impacts from changes to the terms of intellectual property and index rights;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continue to generate funds and/or manage our indebtedness to allow us to continue to invest in our business;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industry, channel partner and customer consolidation and/or concentration;</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trading and clearing activity;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imposition of a transaction tax or user fee on futures and options transactions and/or repeal of the 60/40 tax treatment of such transactions;</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effective tax rates, borrowing costs or changes in tax policy;</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our brand and reputation; and</w:t>
      </w:r>
    </w:p>
    <w:p>
      <w:pPr>
        <w:spacing w:after="0" w:line="6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unfavorable resolution of material legal proceedings.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a detailed discussion of these and other factors that might affect our performance, see Item 1A. of our Annual Report on Form 10-K for the year ended December 31, 2023, filed with the Securities and Exchange Commission on February 28, 2024 and Item 1A. in Part II of this Quarterly Report on Form 10-Q.</w:t>
      </w: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07"/>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0000FF"/>
              </w:rPr>
              <w:t>Table of Contents</w:t>
            </w: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1240" w:type="dxa"/>
            <w:vAlign w:val="bottom"/>
            <w:tcBorders>
              <w:right w:val="single" w:sz="8" w:color="0000FF"/>
            </w:tcBorders>
            <w:shd w:val="clear" w:color="auto" w:fill="0000FF"/>
          </w:tcPr>
          <w:p>
            <w:pPr>
              <w:spacing w:after="0" w:line="20" w:lineRule="exact"/>
              <w:rPr>
                <w:sz w:val="1"/>
                <w:szCs w:val="1"/>
                <w:color w:val="auto"/>
              </w:rPr>
            </w:pPr>
          </w:p>
        </w:tc>
        <w:tc>
          <w:tcPr>
            <w:tcW w:w="66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831"/>
        </w:trPr>
        <w:tc>
          <w:tcPr>
            <w:tcW w:w="128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FINANCIAL STATEMENTS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50"/>
        </w:trPr>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CME GROUP INC. AND SUBSIDIARIES</w:t>
            </w:r>
          </w:p>
        </w:tc>
        <w:tc>
          <w:tcPr>
            <w:tcW w:w="1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20"/>
        </w:trPr>
        <w:tc>
          <w:tcPr>
            <w:tcW w:w="4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6620" w:type="dxa"/>
            <w:vAlign w:val="bottom"/>
          </w:tcPr>
          <w:p>
            <w:pPr>
              <w:jc w:val="center"/>
              <w:ind w:left="1970"/>
              <w:spacing w:after="0"/>
              <w:rPr>
                <w:sz w:val="20"/>
                <w:szCs w:val="20"/>
                <w:color w:val="auto"/>
              </w:rPr>
            </w:pPr>
            <w:r>
              <w:rPr>
                <w:rFonts w:ascii="Times New Roman" w:cs="Times New Roman" w:eastAsia="Times New Roman" w:hAnsi="Times New Roman"/>
                <w:sz w:val="18"/>
                <w:szCs w:val="18"/>
                <w:b w:val="1"/>
                <w:bCs w:val="1"/>
                <w:color w:val="auto"/>
                <w:w w:val="99"/>
              </w:rPr>
              <w:t>CONSOLIDATED BALANCE SHEETS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34"/>
        </w:trPr>
        <w:tc>
          <w:tcPr>
            <w:tcW w:w="4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6620" w:type="dxa"/>
            <w:vAlign w:val="bottom"/>
          </w:tcPr>
          <w:p>
            <w:pPr>
              <w:jc w:val="center"/>
              <w:ind w:left="1990"/>
              <w:spacing w:after="0"/>
              <w:rPr>
                <w:sz w:val="20"/>
                <w:szCs w:val="20"/>
                <w:color w:val="auto"/>
              </w:rPr>
            </w:pPr>
            <w:r>
              <w:rPr>
                <w:rFonts w:ascii="Times New Roman" w:cs="Times New Roman" w:eastAsia="Times New Roman" w:hAnsi="Times New Roman"/>
                <w:sz w:val="18"/>
                <w:szCs w:val="18"/>
                <w:color w:val="auto"/>
              </w:rPr>
              <w:t>(dollars in millions, except par value data; shares in thousands)</w:t>
            </w:r>
          </w:p>
        </w:tc>
        <w:tc>
          <w:tcPr>
            <w:tcW w:w="1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r>
      <w:tr>
        <w:trPr>
          <w:trHeight w:val="260"/>
        </w:trPr>
        <w:tc>
          <w:tcPr>
            <w:tcW w:w="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66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60" w:type="dxa"/>
            <w:vAlign w:val="bottom"/>
          </w:tcPr>
          <w:p>
            <w:pPr>
              <w:spacing w:after="0"/>
              <w:rPr>
                <w:sz w:val="22"/>
                <w:szCs w:val="22"/>
                <w:color w:val="auto"/>
              </w:rPr>
            </w:pPr>
          </w:p>
        </w:tc>
        <w:tc>
          <w:tcPr>
            <w:tcW w:w="1420" w:type="dxa"/>
            <w:vAlign w:val="bottom"/>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40" w:type="dxa"/>
            <w:vAlign w:val="bottom"/>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66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96"/>
        </w:trPr>
        <w:tc>
          <w:tcPr>
            <w:tcW w:w="40" w:type="dxa"/>
            <w:vAlign w:val="bottom"/>
          </w:tcPr>
          <w:p>
            <w:pPr>
              <w:spacing w:after="0"/>
              <w:rPr>
                <w:sz w:val="17"/>
                <w:szCs w:val="17"/>
                <w:color w:val="auto"/>
              </w:rPr>
            </w:pPr>
          </w:p>
        </w:tc>
        <w:tc>
          <w:tcPr>
            <w:tcW w:w="1240" w:type="dxa"/>
            <w:vAlign w:val="bottom"/>
            <w:tcBorders>
              <w:right w:val="single" w:sz="8" w:color="CCEEFF"/>
            </w:tcBorders>
            <w:shd w:val="clear" w:color="auto" w:fill="CCEEFF"/>
          </w:tcPr>
          <w:p>
            <w:pPr>
              <w:spacing w:after="0"/>
              <w:rPr>
                <w:sz w:val="17"/>
                <w:szCs w:val="17"/>
                <w:color w:val="auto"/>
              </w:rPr>
            </w:pPr>
          </w:p>
        </w:tc>
        <w:tc>
          <w:tcPr>
            <w:tcW w:w="66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80" w:type="dxa"/>
            <w:vAlign w:val="bottom"/>
            <w:shd w:val="clear" w:color="auto" w:fill="CCEEFF"/>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6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2,912.0</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Marketable securities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111.7</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Accounts receivable, net of allowance of $8.6 and $7.1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629.4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535.6</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 (includes $6.5 and $5.2 in restricted cash)</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622.0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1,138.4</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90,192.5</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assets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103,142.8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94,890.2</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Property, net of accumulated depreciation and amortization of $1,012.4 and $931.1</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409.5</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Intangible assets—trading products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17,175.3</w:t>
            </w: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Intangible assets—other, net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2,892.2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3,050.2</w:t>
            </w:r>
          </w:p>
        </w:tc>
      </w:tr>
      <w:tr>
        <w:trPr>
          <w:trHeight w:val="229"/>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Goodwill</w:t>
            </w:r>
          </w:p>
        </w:tc>
        <w:tc>
          <w:tcPr>
            <w:tcW w:w="6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10,495.3</w:t>
            </w:r>
          </w:p>
        </w:tc>
      </w:tr>
      <w:tr>
        <w:trPr>
          <w:trHeight w:val="229"/>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6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3,684.5</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3,685.6</w:t>
            </w:r>
          </w:p>
        </w:tc>
      </w:tr>
      <w:tr>
        <w:trPr>
          <w:trHeight w:val="248"/>
        </w:trPr>
        <w:tc>
          <w:tcPr>
            <w:tcW w:w="40" w:type="dxa"/>
            <w:vAlign w:val="bottom"/>
          </w:tcPr>
          <w:p>
            <w:pPr>
              <w:spacing w:after="0"/>
              <w:rPr>
                <w:sz w:val="21"/>
                <w:szCs w:val="21"/>
                <w:color w:val="auto"/>
              </w:rPr>
            </w:pPr>
          </w:p>
        </w:tc>
        <w:tc>
          <w:tcPr>
            <w:tcW w:w="1240" w:type="dxa"/>
            <w:vAlign w:val="bottom"/>
            <w:tcBorders>
              <w:bottom w:val="single" w:sz="8" w:color="CCEEFF"/>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66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129,706.1</w:t>
            </w:r>
          </w:p>
        </w:tc>
      </w:tr>
      <w:tr>
        <w:trPr>
          <w:trHeight w:val="20"/>
        </w:trPr>
        <w:tc>
          <w:tcPr>
            <w:tcW w:w="40" w:type="dxa"/>
            <w:vAlign w:val="bottom"/>
          </w:tcPr>
          <w:p>
            <w:pPr>
              <w:spacing w:after="0" w:line="20" w:lineRule="exact"/>
              <w:rPr>
                <w:sz w:val="1"/>
                <w:szCs w:val="1"/>
                <w:color w:val="auto"/>
              </w:rPr>
            </w:pPr>
          </w:p>
        </w:tc>
        <w:tc>
          <w:tcPr>
            <w:tcW w:w="786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 and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90.6</w:t>
            </w:r>
          </w:p>
        </w:tc>
      </w:tr>
      <w:tr>
        <w:trPr>
          <w:trHeight w:val="230"/>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Short-term debt</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485.2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3,133.8</w:t>
            </w:r>
          </w:p>
        </w:tc>
      </w:tr>
      <w:tr>
        <w:trPr>
          <w:trHeight w:val="230"/>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ind w:left="340"/>
              <w:spacing w:after="0"/>
              <w:rPr>
                <w:sz w:val="20"/>
                <w:szCs w:val="20"/>
                <w:color w:val="auto"/>
              </w:rPr>
            </w:pPr>
            <w:r>
              <w:rPr>
                <w:rFonts w:ascii="Times New Roman" w:cs="Times New Roman" w:eastAsia="Times New Roman" w:hAnsi="Times New Roman"/>
                <w:sz w:val="18"/>
                <w:szCs w:val="18"/>
                <w:color w:val="auto"/>
              </w:rPr>
              <w:t>Performance bonds and guaranty fund contributions</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99,457.0</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90,192.5</w:t>
            </w:r>
          </w:p>
        </w:tc>
      </w:tr>
      <w:tr>
        <w:trPr>
          <w:trHeight w:val="223"/>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100,821.8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93,416.9</w:t>
            </w:r>
          </w:p>
        </w:tc>
      </w:tr>
      <w:tr>
        <w:trPr>
          <w:trHeight w:val="230"/>
        </w:trPr>
        <w:tc>
          <w:tcPr>
            <w:tcW w:w="4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Long-term debt</w:t>
            </w:r>
          </w:p>
        </w:tc>
        <w:tc>
          <w:tcPr>
            <w:tcW w:w="6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2,677.7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3,425.4</w:t>
            </w:r>
          </w:p>
        </w:tc>
      </w:tr>
      <w:tr>
        <w:trPr>
          <w:trHeight w:val="229"/>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Deferred income tax liabilities, net</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5,310.0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5,327.7</w:t>
            </w:r>
          </w:p>
        </w:tc>
      </w:tr>
      <w:tr>
        <w:trPr>
          <w:trHeight w:val="230"/>
        </w:trPr>
        <w:tc>
          <w:tcPr>
            <w:tcW w:w="40" w:type="dxa"/>
            <w:vAlign w:val="bottom"/>
          </w:tcPr>
          <w:p>
            <w:pPr>
              <w:spacing w:after="0"/>
              <w:rPr>
                <w:sz w:val="19"/>
                <w:szCs w:val="19"/>
                <w:color w:val="auto"/>
              </w:rPr>
            </w:pPr>
          </w:p>
        </w:tc>
        <w:tc>
          <w:tcPr>
            <w:tcW w:w="12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66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769.4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798.2</w:t>
            </w:r>
          </w:p>
        </w:tc>
      </w:tr>
      <w:tr>
        <w:trPr>
          <w:trHeight w:val="223"/>
        </w:trPr>
        <w:tc>
          <w:tcPr>
            <w:tcW w:w="40" w:type="dxa"/>
            <w:vAlign w:val="bottom"/>
          </w:tcPr>
          <w:p>
            <w:pPr>
              <w:spacing w:after="0"/>
              <w:rPr>
                <w:sz w:val="19"/>
                <w:szCs w:val="19"/>
                <w:color w:val="auto"/>
              </w:rPr>
            </w:pPr>
          </w:p>
        </w:tc>
        <w:tc>
          <w:tcPr>
            <w:tcW w:w="1240" w:type="dxa"/>
            <w:vAlign w:val="bottom"/>
            <w:tcBorders>
              <w:right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Liabilities</w:t>
            </w:r>
          </w:p>
        </w:tc>
        <w:tc>
          <w:tcPr>
            <w:tcW w:w="66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109,578.9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102,968.2</w:t>
            </w:r>
          </w:p>
        </w:tc>
      </w:tr>
      <w:tr>
        <w:trPr>
          <w:trHeight w:val="142"/>
        </w:trPr>
        <w:tc>
          <w:tcPr>
            <w:tcW w:w="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20" w:type="dxa"/>
            <w:vAlign w:val="bottom"/>
          </w:tcPr>
          <w:p>
            <w:pPr>
              <w:spacing w:after="0"/>
              <w:rPr>
                <w:sz w:val="12"/>
                <w:szCs w:val="12"/>
                <w:color w:val="auto"/>
              </w:rPr>
            </w:pP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 Equity:</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Preferred stock, $0.01 par value, 10,000 shares authorized as of September 30, 2024 and December</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31, 2023; 4,584 issued and outstanding as of September 30, 2024 and December 31, 2023</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A common stock, $0.01 par value, 1,000,000 shares authorized at September 30, 2024 and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175"/>
        </w:trPr>
        <w:tc>
          <w:tcPr>
            <w:tcW w:w="40" w:type="dxa"/>
            <w:vAlign w:val="bottom"/>
          </w:tcPr>
          <w:p>
            <w:pPr>
              <w:spacing w:after="0"/>
              <w:rPr>
                <w:sz w:val="15"/>
                <w:szCs w:val="15"/>
                <w:color w:val="auto"/>
              </w:rPr>
            </w:pPr>
          </w:p>
        </w:tc>
        <w:tc>
          <w:tcPr>
            <w:tcW w:w="7860" w:type="dxa"/>
            <w:vAlign w:val="bottom"/>
            <w:gridSpan w:val="2"/>
            <w:shd w:val="clear" w:color="auto" w:fill="CCEEFF"/>
          </w:tcPr>
          <w:p>
            <w:pPr>
              <w:ind w:left="340"/>
              <w:spacing w:after="0" w:line="176" w:lineRule="exact"/>
              <w:rPr>
                <w:sz w:val="20"/>
                <w:szCs w:val="20"/>
                <w:color w:val="auto"/>
              </w:rPr>
            </w:pPr>
            <w:r>
              <w:rPr>
                <w:rFonts w:ascii="Times New Roman" w:cs="Times New Roman" w:eastAsia="Times New Roman" w:hAnsi="Times New Roman"/>
                <w:sz w:val="18"/>
                <w:szCs w:val="18"/>
                <w:color w:val="auto"/>
              </w:rPr>
              <w:t>December 31, 2023; 359,559 and 359,231 shares issued and outstanding as of September 30, 2024 and</w:t>
            </w:r>
          </w:p>
        </w:tc>
        <w:tc>
          <w:tcPr>
            <w:tcW w:w="160" w:type="dxa"/>
            <w:vAlign w:val="bottom"/>
            <w:shd w:val="clear" w:color="auto" w:fill="CCEEFF"/>
          </w:tcPr>
          <w:p>
            <w:pPr>
              <w:spacing w:after="0"/>
              <w:rPr>
                <w:sz w:val="15"/>
                <w:szCs w:val="15"/>
                <w:color w:val="auto"/>
              </w:rPr>
            </w:pPr>
          </w:p>
        </w:tc>
        <w:tc>
          <w:tcPr>
            <w:tcW w:w="1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December 31, 2023, respectively</w:t>
            </w:r>
          </w:p>
        </w:tc>
        <w:tc>
          <w:tcPr>
            <w:tcW w:w="160" w:type="dxa"/>
            <w:vAlign w:val="bottom"/>
            <w:shd w:val="clear" w:color="auto" w:fill="CCEEFF"/>
          </w:tcPr>
          <w:p>
            <w:pPr>
              <w:spacing w:after="0"/>
              <w:rPr>
                <w:sz w:val="21"/>
                <w:szCs w:val="21"/>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175"/>
        </w:trPr>
        <w:tc>
          <w:tcPr>
            <w:tcW w:w="40" w:type="dxa"/>
            <w:vAlign w:val="bottom"/>
          </w:tcPr>
          <w:p>
            <w:pPr>
              <w:spacing w:after="0"/>
              <w:rPr>
                <w:sz w:val="15"/>
                <w:szCs w:val="15"/>
                <w:color w:val="auto"/>
              </w:rPr>
            </w:pPr>
          </w:p>
        </w:tc>
        <w:tc>
          <w:tcPr>
            <w:tcW w:w="7860" w:type="dxa"/>
            <w:vAlign w:val="bottom"/>
            <w:gridSpan w:val="2"/>
          </w:tcPr>
          <w:p>
            <w:pPr>
              <w:ind w:left="340"/>
              <w:spacing w:after="0" w:line="176" w:lineRule="exact"/>
              <w:rPr>
                <w:sz w:val="20"/>
                <w:szCs w:val="20"/>
                <w:color w:val="auto"/>
              </w:rPr>
            </w:pPr>
            <w:r>
              <w:rPr>
                <w:rFonts w:ascii="Times New Roman" w:cs="Times New Roman" w:eastAsia="Times New Roman" w:hAnsi="Times New Roman"/>
                <w:sz w:val="18"/>
                <w:szCs w:val="18"/>
                <w:color w:val="auto"/>
              </w:rPr>
              <w:t>Class B common stock, $0.01 par value, 3 shares authorized, issued and outstanding as of September</w:t>
            </w:r>
          </w:p>
        </w:tc>
        <w:tc>
          <w:tcPr>
            <w:tcW w:w="16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spacing w:after="0"/>
              <w:rPr>
                <w:sz w:val="15"/>
                <w:szCs w:val="15"/>
                <w:color w:val="auto"/>
              </w:rPr>
            </w:pPr>
          </w:p>
        </w:tc>
      </w:tr>
      <w:tr>
        <w:trPr>
          <w:trHeight w:val="243"/>
        </w:trPr>
        <w:tc>
          <w:tcPr>
            <w:tcW w:w="40" w:type="dxa"/>
            <w:vAlign w:val="bottom"/>
          </w:tcPr>
          <w:p>
            <w:pPr>
              <w:spacing w:after="0"/>
              <w:rPr>
                <w:sz w:val="21"/>
                <w:szCs w:val="21"/>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30, 2024 and December 31, 2023</w:t>
            </w:r>
          </w:p>
        </w:tc>
        <w:tc>
          <w:tcPr>
            <w:tcW w:w="160" w:type="dxa"/>
            <w:vAlign w:val="bottom"/>
          </w:tcPr>
          <w:p>
            <w:pPr>
              <w:spacing w:after="0"/>
              <w:rPr>
                <w:sz w:val="21"/>
                <w:szCs w:val="21"/>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22,375.3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22,334.7</w:t>
            </w:r>
          </w:p>
        </w:tc>
      </w:tr>
      <w:tr>
        <w:trPr>
          <w:trHeight w:val="229"/>
        </w:trPr>
        <w:tc>
          <w:tcPr>
            <w:tcW w:w="40" w:type="dxa"/>
            <w:vAlign w:val="bottom"/>
          </w:tcPr>
          <w:p>
            <w:pPr>
              <w:spacing w:after="0"/>
              <w:rPr>
                <w:sz w:val="19"/>
                <w:szCs w:val="19"/>
                <w:color w:val="auto"/>
              </w:rPr>
            </w:pPr>
          </w:p>
        </w:tc>
        <w:tc>
          <w:tcPr>
            <w:tcW w:w="7860" w:type="dxa"/>
            <w:vAlign w:val="bottom"/>
            <w:gridSpan w:val="2"/>
          </w:tcPr>
          <w:p>
            <w:pPr>
              <w:ind w:left="340"/>
              <w:spacing w:after="0"/>
              <w:rPr>
                <w:sz w:val="20"/>
                <w:szCs w:val="20"/>
                <w:color w:val="auto"/>
              </w:rPr>
            </w:pPr>
            <w:r>
              <w:rPr>
                <w:rFonts w:ascii="Times New Roman" w:cs="Times New Roman" w:eastAsia="Times New Roman" w:hAnsi="Times New Roman"/>
                <w:sz w:val="18"/>
                <w:szCs w:val="18"/>
                <w:color w:val="auto"/>
              </w:rPr>
              <w:t>Retained earnings</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5,848.2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4,455.2</w:t>
            </w:r>
          </w:p>
        </w:tc>
      </w:tr>
      <w:tr>
        <w:trPr>
          <w:trHeight w:val="230"/>
        </w:trPr>
        <w:tc>
          <w:tcPr>
            <w:tcW w:w="40" w:type="dxa"/>
            <w:vAlign w:val="bottom"/>
          </w:tcPr>
          <w:p>
            <w:pPr>
              <w:spacing w:after="0"/>
              <w:rPr>
                <w:sz w:val="19"/>
                <w:szCs w:val="19"/>
                <w:color w:val="auto"/>
              </w:rPr>
            </w:pPr>
          </w:p>
        </w:tc>
        <w:tc>
          <w:tcPr>
            <w:tcW w:w="7860" w:type="dxa"/>
            <w:vAlign w:val="bottom"/>
            <w:gridSpan w:val="2"/>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r>
      <w:tr>
        <w:trPr>
          <w:trHeight w:val="223"/>
        </w:trPr>
        <w:tc>
          <w:tcPr>
            <w:tcW w:w="40" w:type="dxa"/>
            <w:vAlign w:val="bottom"/>
          </w:tcPr>
          <w:p>
            <w:pPr>
              <w:spacing w:after="0"/>
              <w:rPr>
                <w:sz w:val="19"/>
                <w:szCs w:val="19"/>
                <w:color w:val="auto"/>
              </w:rPr>
            </w:pPr>
          </w:p>
        </w:tc>
        <w:tc>
          <w:tcPr>
            <w:tcW w:w="7860" w:type="dxa"/>
            <w:vAlign w:val="bottom"/>
            <w:tcBorders>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color w:val="auto"/>
              </w:rPr>
              <w:t>Total CME Group Shareholders’ Equity</w:t>
            </w:r>
          </w:p>
        </w:tc>
        <w:tc>
          <w:tcPr>
            <w:tcW w:w="1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26,737.9</w:t>
            </w:r>
          </w:p>
        </w:tc>
      </w:tr>
      <w:tr>
        <w:trPr>
          <w:trHeight w:val="248"/>
        </w:trPr>
        <w:tc>
          <w:tcPr>
            <w:tcW w:w="40" w:type="dxa"/>
            <w:vAlign w:val="bottom"/>
          </w:tcPr>
          <w:p>
            <w:pPr>
              <w:spacing w:after="0"/>
              <w:rPr>
                <w:sz w:val="21"/>
                <w:szCs w:val="21"/>
                <w:color w:val="auto"/>
              </w:rPr>
            </w:pPr>
          </w:p>
        </w:tc>
        <w:tc>
          <w:tcPr>
            <w:tcW w:w="78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Equity</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137,795.1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129,706.1</w:t>
            </w:r>
          </w:p>
        </w:tc>
      </w:tr>
      <w:tr>
        <w:trPr>
          <w:trHeight w:val="20"/>
        </w:trPr>
        <w:tc>
          <w:tcPr>
            <w:tcW w:w="40" w:type="dxa"/>
            <w:vAlign w:val="bottom"/>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66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r>
    </w:tbl>
    <w:p>
      <w:pPr>
        <w:spacing w:after="0" w:line="3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08" w:right="3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CONSOLIDATED STATEMENTS OF INCOME</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(unaudited)</w:t>
      </w:r>
    </w:p>
    <w:p>
      <w:pPr>
        <w:spacing w:after="0" w:line="214" w:lineRule="exact"/>
        <w:rPr>
          <w:sz w:val="20"/>
          <w:szCs w:val="20"/>
          <w:color w:val="auto"/>
        </w:rPr>
      </w:pPr>
    </w:p>
    <w:tbl>
      <w:tblPr>
        <w:tblLayout w:type="fixed"/>
        <w:tblInd w:w="60" w:type="dxa"/>
        <w:tblCellMar>
          <w:top w:w="0" w:type="dxa"/>
          <w:left w:w="0" w:type="dxa"/>
          <w:bottom w:w="0" w:type="dxa"/>
          <w:right w:w="0" w:type="dxa"/>
        </w:tblCellMar>
      </w:tblPr>
      <w:tr>
        <w:trPr>
          <w:trHeight w:val="190"/>
        </w:trPr>
        <w:tc>
          <w:tcPr>
            <w:tcW w:w="5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60" w:type="dxa"/>
            <w:vAlign w:val="bottom"/>
            <w:gridSpan w:val="4"/>
          </w:tcPr>
          <w:p>
            <w:pPr>
              <w:jc w:val="right"/>
              <w:ind w:right="6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54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80" w:type="dxa"/>
            <w:vAlign w:val="bottom"/>
          </w:tcPr>
          <w:p>
            <w:pPr>
              <w:spacing w:after="0"/>
              <w:rPr>
                <w:sz w:val="17"/>
                <w:szCs w:val="17"/>
                <w:color w:val="auto"/>
              </w:rPr>
            </w:pPr>
          </w:p>
        </w:tc>
      </w:tr>
      <w:tr>
        <w:trPr>
          <w:trHeight w:val="2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4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100" w:type="dxa"/>
            <w:vAlign w:val="bottom"/>
          </w:tcPr>
          <w:p>
            <w:pPr>
              <w:spacing w:after="0"/>
              <w:rPr>
                <w:sz w:val="19"/>
                <w:szCs w:val="19"/>
                <w:color w:val="auto"/>
              </w:rPr>
            </w:pPr>
          </w:p>
        </w:tc>
        <w:tc>
          <w:tcPr>
            <w:tcW w:w="4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3,404.0</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r>
      <w:tr>
        <w:trPr>
          <w:trHeight w:val="229"/>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 Revenues</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4,139.6</w:t>
            </w:r>
          </w:p>
        </w:tc>
      </w:tr>
      <w:tr>
        <w:trPr>
          <w:trHeight w:val="20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Expenses</w:t>
            </w:r>
          </w:p>
        </w:tc>
        <w:tc>
          <w:tcPr>
            <w:tcW w:w="3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Expenses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1,567.1</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1,024.2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820.2</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2,984.4</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2,572.5</w:t>
            </w:r>
          </w:p>
        </w:tc>
      </w:tr>
      <w:tr>
        <w:trPr>
          <w:trHeight w:val="162"/>
        </w:trPr>
        <w:tc>
          <w:tcPr>
            <w:tcW w:w="5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29"/>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3,142.6</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4,198.4</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(119.7)</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230.1</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(3,733.7)</w:t>
            </w:r>
          </w:p>
        </w:tc>
      </w:tr>
      <w:tr>
        <w:trPr>
          <w:trHeight w:val="223"/>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Total Non-Operating Income (Expense)</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1,176.9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974.3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3,444.8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3,147.6</w:t>
            </w:r>
          </w:p>
        </w:tc>
      </w:tr>
      <w:tr>
        <w:trPr>
          <w:trHeight w:val="230"/>
        </w:trPr>
        <w:tc>
          <w:tcPr>
            <w:tcW w:w="54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provision</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1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224.1</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793.6</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736.0</w:t>
            </w:r>
          </w:p>
        </w:tc>
      </w:tr>
      <w:tr>
        <w:trPr>
          <w:trHeight w:val="223"/>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2,411.6</w:t>
            </w:r>
          </w:p>
        </w:tc>
      </w:tr>
      <w:tr>
        <w:trPr>
          <w:trHeight w:val="223"/>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Common Shareholders of CME Group</w:t>
            </w: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0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2,617.8</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2,381.3</w:t>
            </w:r>
          </w:p>
        </w:tc>
      </w:tr>
      <w:tr>
        <w:trPr>
          <w:trHeight w:val="20"/>
        </w:trPr>
        <w:tc>
          <w:tcPr>
            <w:tcW w:w="54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r>
        <w:trPr>
          <w:trHeight w:val="237"/>
        </w:trPr>
        <w:tc>
          <w:tcPr>
            <w:tcW w:w="54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r>
      <w:tr>
        <w:trPr>
          <w:trHeight w:val="180"/>
        </w:trPr>
        <w:tc>
          <w:tcPr>
            <w:tcW w:w="5420" w:type="dxa"/>
            <w:vAlign w:val="bottom"/>
          </w:tcPr>
          <w:p>
            <w:pPr>
              <w:ind w:left="20"/>
              <w:spacing w:after="0" w:line="180" w:lineRule="exact"/>
              <w:rPr>
                <w:sz w:val="20"/>
                <w:szCs w:val="20"/>
                <w:color w:val="auto"/>
              </w:rPr>
            </w:pPr>
            <w:r>
              <w:rPr>
                <w:rFonts w:ascii="Times New Roman" w:cs="Times New Roman" w:eastAsia="Times New Roman" w:hAnsi="Times New Roman"/>
                <w:sz w:val="18"/>
                <w:szCs w:val="18"/>
                <w:b w:val="1"/>
                <w:bCs w:val="1"/>
                <w:color w:val="auto"/>
              </w:rPr>
              <w:t>Earnings per Share Attributable to Common Shareholders of CME</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238"/>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Group:</w:t>
            </w: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r>
      <w:tr>
        <w:trPr>
          <w:trHeight w:val="229"/>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Weighted Average Number of Common Shares: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r>
      <w:tr>
        <w:trPr>
          <w:trHeight w:val="230"/>
        </w:trPr>
        <w:tc>
          <w:tcPr>
            <w:tcW w:w="5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359,400</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359,020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359,329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358,965</w:t>
            </w:r>
          </w:p>
        </w:tc>
      </w:tr>
      <w:tr>
        <w:trPr>
          <w:trHeight w:val="230"/>
        </w:trPr>
        <w:tc>
          <w:tcPr>
            <w:tcW w:w="54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359,989</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359,899</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359,448</w:t>
            </w:r>
          </w:p>
        </w:tc>
      </w:tr>
    </w:tbl>
    <w:p>
      <w:pPr>
        <w:spacing w:after="0" w:line="198"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tbl>
      <w:tblPr>
        <w:tblLayout w:type="fixed"/>
        <w:tblInd w:w="40" w:type="dxa"/>
        <w:tblCellMar>
          <w:top w:w="0" w:type="dxa"/>
          <w:left w:w="0" w:type="dxa"/>
          <w:bottom w:w="0" w:type="dxa"/>
          <w:right w:w="0" w:type="dxa"/>
        </w:tblCellMar>
      </w:tblPr>
      <w:tr>
        <w:trPr>
          <w:trHeight w:val="190"/>
        </w:trPr>
        <w:tc>
          <w:tcPr>
            <w:tcW w:w="6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220" w:type="dxa"/>
            <w:vAlign w:val="bottom"/>
            <w:gridSpan w:val="4"/>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203"/>
        </w:trPr>
        <w:tc>
          <w:tcPr>
            <w:tcW w:w="6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Pr>
          <w:p>
            <w:pPr>
              <w:spacing w:after="0"/>
              <w:rPr>
                <w:sz w:val="17"/>
                <w:szCs w:val="17"/>
                <w:color w:val="auto"/>
              </w:rPr>
            </w:pPr>
          </w:p>
        </w:tc>
      </w:tr>
      <w:tr>
        <w:trPr>
          <w:trHeight w:val="23"/>
        </w:trPr>
        <w:tc>
          <w:tcPr>
            <w:tcW w:w="6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90"/>
        </w:trPr>
        <w:tc>
          <w:tcPr>
            <w:tcW w:w="61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740" w:type="dxa"/>
            <w:vAlign w:val="bottom"/>
            <w:tcBorders>
              <w:bottom w:val="single" w:sz="8" w:color="auto"/>
            </w:tcBorders>
          </w:tcPr>
          <w:p>
            <w:pPr>
              <w:jc w:val="right"/>
              <w:ind w:right="35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2,411.6</w:t>
            </w:r>
          </w:p>
        </w:tc>
      </w:tr>
      <w:tr>
        <w:trPr>
          <w:trHeight w:val="229"/>
        </w:trPr>
        <w:tc>
          <w:tcPr>
            <w:tcW w:w="6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Investment securities: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unrealized holding gains (losses) arising during the period</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4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Investment securities, net</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plans: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Net change in defined benefit plans arising during the period</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r>
        <w:trPr>
          <w:trHeight w:val="175"/>
        </w:trPr>
        <w:tc>
          <w:tcPr>
            <w:tcW w:w="6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Amortization of net actuarial (gains) losses included in compensation and</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benefits expense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r>
      <w:tr>
        <w:trPr>
          <w:trHeight w:val="229"/>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19"/>
                <w:szCs w:val="19"/>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r>
      <w:tr>
        <w:trPr>
          <w:trHeight w:val="223"/>
        </w:trPr>
        <w:tc>
          <w:tcPr>
            <w:tcW w:w="61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Defined benefit plans, net</w:t>
            </w:r>
          </w:p>
        </w:tc>
        <w:tc>
          <w:tcPr>
            <w:tcW w:w="280" w:type="dxa"/>
            <w:vAlign w:val="bottom"/>
            <w:tcBorders>
              <w:top w:val="single" w:sz="8" w:color="auto"/>
            </w:tcBorders>
            <w:shd w:val="clear" w:color="auto" w:fill="CCEEFF"/>
          </w:tcPr>
          <w:p>
            <w:pPr>
              <w:spacing w:after="0"/>
              <w:rPr>
                <w:sz w:val="19"/>
                <w:szCs w:val="19"/>
                <w:color w:val="auto"/>
              </w:rPr>
            </w:pPr>
          </w:p>
        </w:tc>
        <w:tc>
          <w:tcPr>
            <w:tcW w:w="9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tcBorders>
            <w:shd w:val="clear" w:color="auto" w:fill="CCEEFF"/>
          </w:tcPr>
          <w:p>
            <w:pPr>
              <w:spacing w:after="0"/>
              <w:rPr>
                <w:sz w:val="19"/>
                <w:szCs w:val="19"/>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r>
      <w:tr>
        <w:trPr>
          <w:trHeight w:val="229"/>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Derivative investments:</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176"/>
        </w:trPr>
        <w:tc>
          <w:tcPr>
            <w:tcW w:w="6120" w:type="dxa"/>
            <w:vAlign w:val="bottom"/>
            <w:shd w:val="clear" w:color="auto" w:fill="CCEEFF"/>
          </w:tcPr>
          <w:p>
            <w:pPr>
              <w:ind w:left="460"/>
              <w:spacing w:after="0" w:line="176" w:lineRule="exact"/>
              <w:rPr>
                <w:sz w:val="20"/>
                <w:szCs w:val="20"/>
                <w:color w:val="auto"/>
              </w:rPr>
            </w:pPr>
            <w:r>
              <w:rPr>
                <w:rFonts w:ascii="Times New Roman" w:cs="Times New Roman" w:eastAsia="Times New Roman" w:hAnsi="Times New Roman"/>
                <w:sz w:val="18"/>
                <w:szCs w:val="18"/>
                <w:color w:val="auto"/>
              </w:rPr>
              <w:t>Reclassification of net unrealized (gains) losses to interest expense and other</w:t>
            </w:r>
          </w:p>
        </w:tc>
        <w:tc>
          <w:tcPr>
            <w:tcW w:w="28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243"/>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280" w:type="dxa"/>
            <w:vAlign w:val="bottom"/>
            <w:shd w:val="clear" w:color="auto" w:fill="CCEEFF"/>
          </w:tcPr>
          <w:p>
            <w:pPr>
              <w:spacing w:after="0"/>
              <w:rPr>
                <w:sz w:val="21"/>
                <w:szCs w:val="21"/>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0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420" w:type="dxa"/>
            <w:vAlign w:val="bottom"/>
            <w:shd w:val="clear" w:color="auto" w:fill="CCEEFF"/>
          </w:tcPr>
          <w:p>
            <w:pPr>
              <w:spacing w:after="0"/>
              <w:rPr>
                <w:sz w:val="21"/>
                <w:szCs w:val="21"/>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612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r>
      <w:tr>
        <w:trPr>
          <w:trHeight w:val="223"/>
        </w:trPr>
        <w:tc>
          <w:tcPr>
            <w:tcW w:w="612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Derivative investments, net</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30"/>
        </w:trPr>
        <w:tc>
          <w:tcPr>
            <w:tcW w:w="612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2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spacing w:after="0"/>
              <w:rPr>
                <w:sz w:val="19"/>
                <w:szCs w:val="19"/>
                <w:color w:val="auto"/>
              </w:rPr>
            </w:pPr>
          </w:p>
        </w:tc>
      </w:tr>
      <w:tr>
        <w:trPr>
          <w:trHeight w:val="229"/>
        </w:trPr>
        <w:tc>
          <w:tcPr>
            <w:tcW w:w="612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28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88.4</w:t>
            </w:r>
          </w:p>
        </w:tc>
        <w:tc>
          <w:tcPr>
            <w:tcW w:w="10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30"/>
        </w:trPr>
        <w:tc>
          <w:tcPr>
            <w:tcW w:w="61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120" w:type="dxa"/>
            <w:vAlign w:val="bottom"/>
            <w:tcBorders>
              <w:top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 net</w:t>
            </w: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84.2</w:t>
            </w:r>
          </w:p>
        </w:tc>
        <w:tc>
          <w:tcPr>
            <w:tcW w:w="100" w:type="dxa"/>
            <w:vAlign w:val="bottom"/>
            <w:tcBorders>
              <w:top w:val="single" w:sz="8" w:color="CCEEFF"/>
            </w:tcBorders>
            <w:shd w:val="clear" w:color="auto" w:fill="CCEEFF"/>
          </w:tcPr>
          <w:p>
            <w:pPr>
              <w:spacing w:after="0"/>
              <w:rPr>
                <w:sz w:val="19"/>
                <w:szCs w:val="19"/>
                <w:color w:val="auto"/>
              </w:rPr>
            </w:pPr>
          </w:p>
        </w:tc>
        <w:tc>
          <w:tcPr>
            <w:tcW w:w="440" w:type="dxa"/>
            <w:vAlign w:val="bottom"/>
            <w:tcBorders>
              <w:top w:val="single" w:sz="8" w:color="auto"/>
              <w:bottom w:val="single" w:sz="8" w:color="auto"/>
            </w:tcBorders>
            <w:shd w:val="clear" w:color="auto" w:fill="CCEEFF"/>
          </w:tcPr>
          <w:p>
            <w:pPr>
              <w:spacing w:after="0"/>
              <w:rPr>
                <w:sz w:val="19"/>
                <w:szCs w:val="19"/>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Borders>
              <w:top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19"/>
                <w:szCs w:val="19"/>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0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bottom w:val="single" w:sz="8" w:color="auto"/>
            </w:tcBorders>
            <w:shd w:val="clear" w:color="auto" w:fill="CCEEFF"/>
          </w:tcPr>
          <w:p>
            <w:pPr>
              <w:spacing w:after="0"/>
              <w:rPr>
                <w:sz w:val="19"/>
                <w:szCs w:val="19"/>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r>
      <w:tr>
        <w:trPr>
          <w:trHeight w:val="223"/>
        </w:trPr>
        <w:tc>
          <w:tcPr>
            <w:tcW w:w="61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28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248"/>
        </w:trPr>
        <w:tc>
          <w:tcPr>
            <w:tcW w:w="61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Comprehensive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996.9</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2,427.6</w:t>
            </w:r>
          </w:p>
        </w:tc>
      </w:tr>
      <w:tr>
        <w:trPr>
          <w:trHeight w:val="20"/>
        </w:trPr>
        <w:tc>
          <w:tcPr>
            <w:tcW w:w="6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20"/>
          </w:cols>
          <w:pgMar w:left="320" w:top="121" w:right="3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7" w:name="page8"/>
    <w:bookmarkEnd w:id="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2182495</wp:posOffset>
            </wp:positionH>
            <wp:positionV relativeFrom="paragraph">
              <wp:posOffset>177165</wp:posOffset>
            </wp:positionV>
            <wp:extent cx="4946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46015" cy="8255"/>
                    </a:xfrm>
                    <a:prstGeom prst="rect">
                      <a:avLst/>
                    </a:prstGeom>
                    <a:noFill/>
                  </pic:spPr>
                </pic:pic>
              </a:graphicData>
            </a:graphic>
          </wp:anchor>
        </w:drawing>
      </w:r>
    </w:p>
    <w:p>
      <w:pPr>
        <w:spacing w:after="0" w:line="261"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4"/>
          <w:szCs w:val="14"/>
          <w:b w:val="1"/>
          <w:bCs w:val="1"/>
          <w:color w:val="auto"/>
        </w:rPr>
        <w:t>Nine Months Ended, September 30, 2024</w:t>
      </w:r>
    </w:p>
    <w:p>
      <w:pPr>
        <w:spacing w:after="0" w:line="33" w:lineRule="exact"/>
        <w:rPr>
          <w:sz w:val="20"/>
          <w:szCs w:val="20"/>
          <w:color w:val="auto"/>
        </w:rPr>
      </w:pPr>
    </w:p>
    <w:tbl>
      <w:tblPr>
        <w:tblLayout w:type="fixed"/>
        <w:tblInd w:w="3440" w:type="dxa"/>
        <w:tblCellMar>
          <w:top w:w="0" w:type="dxa"/>
          <w:left w:w="0" w:type="dxa"/>
          <w:bottom w:w="0" w:type="dxa"/>
          <w:right w:w="0" w:type="dxa"/>
        </w:tblCellMar>
      </w:tblPr>
      <w:tr>
        <w:trPr>
          <w:trHeight w:val="151"/>
        </w:trPr>
        <w:tc>
          <w:tcPr>
            <w:tcW w:w="9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9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9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20" w:type="dxa"/>
            <w:vAlign w:val="bottom"/>
            <w:vMerge w:val="restart"/>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4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60" w:type="dxa"/>
            <w:vAlign w:val="bottom"/>
            <w:vMerge w:val="restart"/>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80" w:type="dxa"/>
            <w:vAlign w:val="bottom"/>
            <w:vMerge w:val="continue"/>
          </w:tcPr>
          <w:p>
            <w:pPr>
              <w:spacing w:after="0"/>
              <w:rPr>
                <w:sz w:val="12"/>
                <w:szCs w:val="12"/>
                <w:color w:val="auto"/>
              </w:rPr>
            </w:pPr>
          </w:p>
        </w:tc>
        <w:tc>
          <w:tcPr>
            <w:tcW w:w="920" w:type="dxa"/>
            <w:vAlign w:val="bottom"/>
            <w:vMerge w:val="continue"/>
          </w:tcPr>
          <w:p>
            <w:pPr>
              <w:spacing w:after="0"/>
              <w:rPr>
                <w:sz w:val="12"/>
                <w:szCs w:val="12"/>
                <w:color w:val="auto"/>
              </w:rPr>
            </w:pP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9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37"/>
        </w:trPr>
        <w:tc>
          <w:tcPr>
            <w:tcW w:w="960" w:type="dxa"/>
            <w:vAlign w:val="bottom"/>
            <w:vMerge w:val="continue"/>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92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4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ind w:left="8"/>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2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vMerge w:val="continue"/>
          </w:tcPr>
          <w:p>
            <w:pPr>
              <w:spacing w:after="0"/>
              <w:rPr>
                <w:sz w:val="12"/>
                <w:szCs w:val="12"/>
                <w:color w:val="auto"/>
              </w:rPr>
            </w:pPr>
          </w:p>
        </w:tc>
        <w:tc>
          <w:tcPr>
            <w:tcW w:w="136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20" w:type="dxa"/>
            <w:vAlign w:val="bottom"/>
          </w:tcPr>
          <w:p>
            <w:pPr>
              <w:jc w:val="center"/>
              <w:ind w:left="6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3"/>
        </w:trPr>
        <w:tc>
          <w:tcPr>
            <w:tcW w:w="96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2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20" w:type="dxa"/>
            <w:vAlign w:val="bottom"/>
          </w:tcPr>
          <w:p>
            <w:pPr>
              <w:jc w:val="center"/>
              <w:ind w:left="6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sectPr>
      </w:pPr>
    </w:p>
    <w:p>
      <w:pPr>
        <w:spacing w:after="0" w:line="4" w:lineRule="exact"/>
        <w:rPr>
          <w:sz w:val="20"/>
          <w:szCs w:val="20"/>
          <w:color w:val="auto"/>
        </w:rPr>
      </w:pPr>
    </w:p>
    <w:p>
      <w:pPr>
        <w:ind w:left="40" w:right="1140"/>
        <w:spacing w:after="0" w:line="276" w:lineRule="auto"/>
        <w:rPr>
          <w:sz w:val="20"/>
          <w:szCs w:val="20"/>
          <w:color w:val="auto"/>
        </w:rPr>
      </w:pPr>
      <w:r>
        <w:rPr>
          <w:rFonts w:ascii="Times New Roman" w:cs="Times New Roman" w:eastAsia="Times New Roman" w:hAnsi="Times New Roman"/>
          <w:sz w:val="18"/>
          <w:szCs w:val="18"/>
          <w:color w:val="auto"/>
        </w:rPr>
        <w:t>Balance at December 31, 2023 Net income</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40" w:right="100"/>
        <w:spacing w:after="0" w:line="242" w:lineRule="auto"/>
        <w:rPr>
          <w:sz w:val="20"/>
          <w:szCs w:val="20"/>
          <w:color w:val="auto"/>
        </w:rPr>
      </w:pPr>
      <w:r>
        <w:rPr>
          <w:rFonts w:ascii="Times New Roman" w:cs="Times New Roman" w:eastAsia="Times New Roman" w:hAnsi="Times New Roman"/>
          <w:sz w:val="18"/>
          <w:szCs w:val="18"/>
          <w:color w:val="auto"/>
        </w:rPr>
        <w:t>Dividends on common and preferred stock of $3.45 per share</w:t>
      </w:r>
    </w:p>
    <w:p>
      <w:pPr>
        <w:spacing w:after="0" w:line="1" w:lineRule="exact"/>
        <w:rPr>
          <w:sz w:val="20"/>
          <w:szCs w:val="20"/>
          <w:color w:val="auto"/>
        </w:rPr>
      </w:pPr>
    </w:p>
    <w:p>
      <w:pPr>
        <w:ind w:left="40" w:right="140"/>
        <w:spacing w:after="0" w:line="242"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Shares issued to Board of Directors</w:t>
      </w:r>
    </w:p>
    <w:p>
      <w:pPr>
        <w:spacing w:after="0" w:line="23" w:lineRule="exact"/>
        <w:rPr>
          <w:sz w:val="20"/>
          <w:szCs w:val="20"/>
          <w:color w:val="auto"/>
        </w:rPr>
      </w:pPr>
    </w:p>
    <w:p>
      <w:pPr>
        <w:ind w:left="40"/>
        <w:spacing w:after="0" w:line="242" w:lineRule="auto"/>
        <w:rPr>
          <w:sz w:val="20"/>
          <w:szCs w:val="20"/>
          <w:color w:val="auto"/>
        </w:rPr>
      </w:pPr>
      <w:r>
        <w:rPr>
          <w:rFonts w:ascii="Times New Roman" w:cs="Times New Roman" w:eastAsia="Times New Roman" w:hAnsi="Times New Roman"/>
          <w:sz w:val="18"/>
          <w:szCs w:val="18"/>
          <w:color w:val="auto"/>
        </w:rPr>
        <w:t>Shares issued under Employee Stock Purchase Plan</w:t>
      </w:r>
    </w:p>
    <w:p>
      <w:pPr>
        <w:spacing w:after="0" w:line="1" w:lineRule="exact"/>
        <w:rPr>
          <w:sz w:val="20"/>
          <w:szCs w:val="20"/>
          <w:color w:val="auto"/>
        </w:rPr>
      </w:pPr>
    </w:p>
    <w:p>
      <w:pPr>
        <w:ind w:left="40" w:right="1000"/>
        <w:spacing w:after="0" w:line="292" w:lineRule="auto"/>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18"/>
          <w:szCs w:val="18"/>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359,231</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22,338.3</w:t>
            </w:r>
          </w:p>
        </w:tc>
        <w:tc>
          <w:tcPr>
            <w:tcW w:w="100" w:type="dxa"/>
            <w:vAlign w:val="bottom"/>
          </w:tcPr>
          <w:p>
            <w:pPr>
              <w:spacing w:after="0"/>
              <w:rPr>
                <w:sz w:val="19"/>
                <w:szCs w:val="19"/>
                <w:color w:val="auto"/>
              </w:rPr>
            </w:pP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4,455.2</w:t>
            </w:r>
          </w:p>
        </w:tc>
        <w:tc>
          <w:tcPr>
            <w:tcW w:w="120" w:type="dxa"/>
            <w:vAlign w:val="bottom"/>
          </w:tcPr>
          <w:p>
            <w:pPr>
              <w:spacing w:after="0"/>
              <w:rPr>
                <w:sz w:val="19"/>
                <w:szCs w:val="19"/>
                <w:color w:val="auto"/>
              </w:rPr>
            </w:pPr>
          </w:p>
        </w:tc>
        <w:tc>
          <w:tcPr>
            <w:tcW w:w="48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(55.6)</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26,737.9</w:t>
            </w:r>
          </w:p>
        </w:tc>
      </w:tr>
      <w:tr>
        <w:trPr>
          <w:trHeight w:val="229"/>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2,651.2</w:t>
            </w: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5"/>
              </w:rPr>
              <w:t>44.7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r>
      <w:tr>
        <w:trPr>
          <w:trHeight w:val="418"/>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(1,258.2)</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(1,258.2)</w:t>
            </w:r>
          </w:p>
        </w:tc>
      </w:tr>
      <w:tr>
        <w:trPr>
          <w:trHeight w:val="41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w:t>
            </w:r>
          </w:p>
        </w:tc>
      </w:tr>
      <w:tr>
        <w:trPr>
          <w:trHeight w:val="41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w:t>
            </w:r>
          </w:p>
        </w:tc>
      </w:tr>
      <w:tr>
        <w:trPr>
          <w:trHeight w:val="234"/>
        </w:trPr>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7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62.4</w:t>
            </w:r>
          </w:p>
        </w:tc>
      </w:tr>
      <w:tr>
        <w:trPr>
          <w:trHeight w:val="22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359,559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22,378.9</w:t>
            </w:r>
          </w:p>
        </w:tc>
        <w:tc>
          <w:tcPr>
            <w:tcW w:w="10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5,848.2</w:t>
            </w:r>
          </w:p>
        </w:tc>
        <w:tc>
          <w:tcPr>
            <w:tcW w:w="120" w:type="dxa"/>
            <w:vAlign w:val="bottom"/>
          </w:tcPr>
          <w:p>
            <w:pPr>
              <w:spacing w:after="0"/>
              <w:rPr>
                <w:sz w:val="19"/>
                <w:szCs w:val="19"/>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center"/>
              <w:ind w:left="27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28,216.2</w:t>
            </w:r>
          </w:p>
        </w:tc>
      </w:tr>
      <w:tr>
        <w:trPr>
          <w:trHeight w:val="21"/>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-2170430</wp:posOffset>
            </wp:positionH>
            <wp:positionV relativeFrom="paragraph">
              <wp:posOffset>-1722120</wp:posOffset>
            </wp:positionV>
            <wp:extent cx="7115175" cy="1543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15175" cy="15430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-1422400</wp:posOffset>
            </wp:positionV>
            <wp:extent cx="7115175" cy="1454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15175" cy="145415"/>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-1010920</wp:posOffset>
            </wp:positionV>
            <wp:extent cx="7115175" cy="26543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-599440</wp:posOffset>
            </wp:positionV>
            <wp:extent cx="7115175" cy="26543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15175" cy="265430"/>
                    </a:xfrm>
                    <a:prstGeom prst="rect">
                      <a:avLst/>
                    </a:prstGeom>
                    <a:noFill/>
                  </pic:spPr>
                </pic:pic>
              </a:graphicData>
            </a:graphic>
          </wp:anchor>
        </w:drawing>
        <w:drawing>
          <wp:anchor simplePos="0" relativeHeight="251657728" behindDoc="1" locked="0" layoutInCell="0" allowOverlap="1">
            <wp:simplePos x="0" y="0"/>
            <wp:positionH relativeFrom="column">
              <wp:posOffset>-2170430</wp:posOffset>
            </wp:positionH>
            <wp:positionV relativeFrom="paragraph">
              <wp:posOffset>-187960</wp:posOffset>
            </wp:positionV>
            <wp:extent cx="7115175" cy="17145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15175" cy="17145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386080</wp:posOffset>
            </wp:positionV>
            <wp:extent cx="49377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3776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400" w:space="40"/>
            <w:col w:w="7800"/>
          </w:cols>
          <w:pgMar w:left="320" w:top="121" w:right="339" w:bottom="1440" w:gutter="0" w:footer="0" w:header="0"/>
          <w:type w:val="continuous"/>
        </w:sectPr>
      </w:pPr>
    </w:p>
    <w:p>
      <w:pPr>
        <w:spacing w:after="0" w:line="200" w:lineRule="exact"/>
        <w:rPr>
          <w:sz w:val="20"/>
          <w:szCs w:val="20"/>
          <w:color w:val="auto"/>
        </w:rPr>
      </w:pPr>
    </w:p>
    <w:p>
      <w:pPr>
        <w:spacing w:after="0" w:line="210" w:lineRule="exact"/>
        <w:rPr>
          <w:sz w:val="20"/>
          <w:szCs w:val="20"/>
          <w:color w:val="auto"/>
        </w:rPr>
      </w:pPr>
    </w:p>
    <w:p>
      <w:pPr>
        <w:ind w:left="6240"/>
        <w:spacing w:after="0"/>
        <w:rPr>
          <w:sz w:val="20"/>
          <w:szCs w:val="20"/>
          <w:color w:val="auto"/>
        </w:rPr>
      </w:pPr>
      <w:r>
        <w:rPr>
          <w:rFonts w:ascii="Times New Roman" w:cs="Times New Roman" w:eastAsia="Times New Roman" w:hAnsi="Times New Roman"/>
          <w:sz w:val="14"/>
          <w:szCs w:val="14"/>
          <w:b w:val="1"/>
          <w:bCs w:val="1"/>
          <w:color w:val="auto"/>
        </w:rPr>
        <w:t>Quarter Ended, September 30, 2024</w:t>
      </w:r>
    </w:p>
    <w:p>
      <w:pPr>
        <w:spacing w:after="0" w:line="33" w:lineRule="exact"/>
        <w:rPr>
          <w:sz w:val="20"/>
          <w:szCs w:val="20"/>
          <w:color w:val="auto"/>
        </w:rPr>
      </w:pPr>
    </w:p>
    <w:tbl>
      <w:tblPr>
        <w:tblLayout w:type="fixed"/>
        <w:tblInd w:w="3460" w:type="dxa"/>
        <w:tblCellMar>
          <w:top w:w="0" w:type="dxa"/>
          <w:left w:w="0" w:type="dxa"/>
          <w:bottom w:w="0" w:type="dxa"/>
          <w:right w:w="0" w:type="dxa"/>
        </w:tblCellMar>
      </w:tblPr>
      <w:tr>
        <w:trPr>
          <w:trHeight w:val="151"/>
        </w:trPr>
        <w:tc>
          <w:tcPr>
            <w:tcW w:w="96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30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9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6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7"/>
        </w:trPr>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Preferred</w:t>
            </w:r>
          </w:p>
        </w:tc>
        <w:tc>
          <w:tcPr>
            <w:tcW w:w="980" w:type="dxa"/>
            <w:vAlign w:val="bottom"/>
            <w:vMerge w:val="continue"/>
          </w:tcPr>
          <w:p>
            <w:pPr>
              <w:spacing w:after="0"/>
              <w:rPr>
                <w:sz w:val="11"/>
                <w:szCs w:val="11"/>
                <w:color w:val="auto"/>
              </w:rPr>
            </w:pPr>
          </w:p>
        </w:tc>
        <w:tc>
          <w:tcPr>
            <w:tcW w:w="900" w:type="dxa"/>
            <w:vAlign w:val="bottom"/>
            <w:vMerge w:val="continue"/>
          </w:tcPr>
          <w:p>
            <w:pPr>
              <w:spacing w:after="0"/>
              <w:rPr>
                <w:sz w:val="11"/>
                <w:szCs w:val="11"/>
                <w:color w:val="auto"/>
              </w:rPr>
            </w:pPr>
          </w:p>
        </w:tc>
        <w:tc>
          <w:tcPr>
            <w:tcW w:w="13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960" w:type="dxa"/>
            <w:vAlign w:val="bottom"/>
          </w:tcPr>
          <w:p>
            <w:pPr>
              <w:spacing w:after="0"/>
              <w:rPr>
                <w:sz w:val="11"/>
                <w:szCs w:val="11"/>
                <w:color w:val="auto"/>
              </w:rPr>
            </w:pPr>
          </w:p>
        </w:tc>
        <w:tc>
          <w:tcPr>
            <w:tcW w:w="1360" w:type="dxa"/>
            <w:vAlign w:val="bottom"/>
            <w:vMerge w:val="continue"/>
          </w:tcPr>
          <w:p>
            <w:pPr>
              <w:spacing w:after="0"/>
              <w:rPr>
                <w:sz w:val="11"/>
                <w:szCs w:val="11"/>
                <w:color w:val="auto"/>
              </w:rPr>
            </w:pPr>
          </w:p>
        </w:tc>
        <w:tc>
          <w:tcPr>
            <w:tcW w:w="13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46"/>
        </w:trPr>
        <w:tc>
          <w:tcPr>
            <w:tcW w:w="960" w:type="dxa"/>
            <w:vAlign w:val="bottom"/>
            <w:vMerge w:val="continue"/>
          </w:tcPr>
          <w:p>
            <w:pPr>
              <w:spacing w:after="0"/>
              <w:rPr>
                <w:sz w:val="12"/>
                <w:szCs w:val="12"/>
                <w:color w:val="auto"/>
              </w:rPr>
            </w:pP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0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Other</w:t>
            </w:r>
          </w:p>
        </w:tc>
        <w:tc>
          <w:tcPr>
            <w:tcW w:w="13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30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vMerge w:val="continue"/>
          </w:tcPr>
          <w:p>
            <w:pPr>
              <w:spacing w:after="0"/>
              <w:rPr>
                <w:sz w:val="12"/>
                <w:szCs w:val="12"/>
                <w:color w:val="auto"/>
              </w:rPr>
            </w:pPr>
          </w:p>
        </w:tc>
        <w:tc>
          <w:tcPr>
            <w:tcW w:w="13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3"/>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20" w:type="dxa"/>
            <w:vAlign w:val="bottom"/>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w w:val="98"/>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21" w:right="339" w:bottom="1440" w:gutter="0" w:footer="0" w:header="0"/>
          <w:type w:val="continuous"/>
        </w:sectPr>
      </w:pPr>
    </w:p>
    <w:p>
      <w:pPr>
        <w:spacing w:after="0" w:line="4" w:lineRule="exact"/>
        <w:rPr>
          <w:sz w:val="20"/>
          <w:szCs w:val="20"/>
          <w:color w:val="auto"/>
        </w:rPr>
      </w:pPr>
    </w:p>
    <w:p>
      <w:pPr>
        <w:ind w:left="20" w:right="1480"/>
        <w:spacing w:after="0" w:line="276" w:lineRule="auto"/>
        <w:rPr>
          <w:sz w:val="20"/>
          <w:szCs w:val="20"/>
          <w:color w:val="auto"/>
        </w:rPr>
      </w:pPr>
      <w:r>
        <w:rPr>
          <w:rFonts w:ascii="Times New Roman" w:cs="Times New Roman" w:eastAsia="Times New Roman" w:hAnsi="Times New Roman"/>
          <w:sz w:val="18"/>
          <w:szCs w:val="18"/>
          <w:color w:val="auto"/>
        </w:rPr>
        <w:t>Balance at June 30, 2024 Net income</w:t>
      </w:r>
    </w:p>
    <w:p>
      <w:pPr>
        <w:spacing w:after="0" w:line="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20"/>
        <w:spacing w:after="0" w:line="234" w:lineRule="auto"/>
        <w:rPr>
          <w:sz w:val="20"/>
          <w:szCs w:val="20"/>
          <w:color w:val="auto"/>
        </w:rPr>
      </w:pPr>
      <w:r>
        <w:rPr>
          <w:rFonts w:ascii="Times New Roman" w:cs="Times New Roman" w:eastAsia="Times New Roman" w:hAnsi="Times New Roman"/>
          <w:sz w:val="18"/>
          <w:szCs w:val="18"/>
          <w:color w:val="auto"/>
        </w:rPr>
        <w:t>Dividends on common and preferred stock of $1.15 per share</w:t>
      </w:r>
    </w:p>
    <w:p>
      <w:pPr>
        <w:spacing w:after="0" w:line="10" w:lineRule="exact"/>
        <w:rPr>
          <w:sz w:val="20"/>
          <w:szCs w:val="20"/>
          <w:color w:val="auto"/>
        </w:rPr>
      </w:pPr>
    </w:p>
    <w:p>
      <w:pPr>
        <w:ind w:left="20" w:right="4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20" w:right="920"/>
        <w:spacing w:after="0" w:line="297" w:lineRule="auto"/>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18"/>
          <w:szCs w:val="18"/>
          <w:b w:val="1"/>
          <w:bCs w:val="1"/>
          <w:color w:val="auto"/>
        </w:rPr>
        <w:t>Balance at September 30, 2024</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359,361</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22,375.7</w:t>
            </w:r>
          </w:p>
        </w:tc>
        <w:tc>
          <w:tcPr>
            <w:tcW w:w="10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5,355.1</w:t>
            </w:r>
          </w:p>
        </w:tc>
        <w:tc>
          <w:tcPr>
            <w:tcW w:w="100" w:type="dxa"/>
            <w:vAlign w:val="bottom"/>
          </w:tcPr>
          <w:p>
            <w:pPr>
              <w:spacing w:after="0"/>
              <w:rPr>
                <w:sz w:val="19"/>
                <w:szCs w:val="19"/>
                <w:color w:val="auto"/>
              </w:rPr>
            </w:pPr>
          </w:p>
        </w:tc>
        <w:tc>
          <w:tcPr>
            <w:tcW w:w="500" w:type="dxa"/>
            <w:vAlign w:val="bottom"/>
            <w:tcBorders>
              <w:top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top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(95.0)</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27,635.8</w:t>
            </w:r>
          </w:p>
        </w:tc>
      </w:tr>
      <w:tr>
        <w:trPr>
          <w:trHeight w:val="230"/>
        </w:trPr>
        <w:tc>
          <w:tcPr>
            <w:tcW w:w="9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912.8</w:t>
            </w:r>
          </w:p>
        </w:tc>
      </w:tr>
      <w:tr>
        <w:trPr>
          <w:trHeight w:val="234"/>
        </w:trPr>
        <w:tc>
          <w:tcPr>
            <w:tcW w:w="9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840" w:type="dxa"/>
            <w:vAlign w:val="bottom"/>
          </w:tcPr>
          <w:p>
            <w:pPr>
              <w:jc w:val="center"/>
              <w:ind w:left="270"/>
              <w:spacing w:after="0"/>
              <w:rPr>
                <w:sz w:val="20"/>
                <w:szCs w:val="20"/>
                <w:color w:val="auto"/>
              </w:rPr>
            </w:pPr>
            <w:r>
              <w:rPr>
                <w:rFonts w:ascii="Times New Roman" w:cs="Times New Roman" w:eastAsia="Times New Roman" w:hAnsi="Times New Roman"/>
                <w:sz w:val="18"/>
                <w:szCs w:val="18"/>
                <w:color w:val="auto"/>
              </w:rPr>
              <w:t>84.1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84.1</w:t>
            </w:r>
          </w:p>
        </w:tc>
      </w:tr>
      <w:tr>
        <w:trPr>
          <w:trHeight w:val="418"/>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(419.7)</w:t>
            </w:r>
          </w:p>
        </w:tc>
      </w:tr>
      <w:tr>
        <w:trPr>
          <w:trHeight w:val="414"/>
        </w:trPr>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198</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234"/>
        </w:trPr>
        <w:tc>
          <w:tcPr>
            <w:tcW w:w="90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23"/>
        </w:trPr>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80" w:type="dxa"/>
            <w:vAlign w:val="bottom"/>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359,559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22,378.9</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5,848.2</w:t>
            </w:r>
          </w:p>
        </w:tc>
        <w:tc>
          <w:tcPr>
            <w:tcW w:w="10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Borders>
              <w:bottom w:val="single" w:sz="8" w:color="auto"/>
            </w:tcBorders>
          </w:tcPr>
          <w:p>
            <w:pPr>
              <w:jc w:val="center"/>
              <w:ind w:left="2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28,216.2</w:t>
            </w:r>
          </w:p>
        </w:tc>
      </w:tr>
      <w:tr>
        <w:trPr>
          <w:trHeight w:val="20"/>
        </w:trPr>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-2191385</wp:posOffset>
            </wp:positionH>
            <wp:positionV relativeFrom="paragraph">
              <wp:posOffset>-1310640</wp:posOffset>
            </wp:positionV>
            <wp:extent cx="7132320" cy="1543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-1010920</wp:posOffset>
            </wp:positionV>
            <wp:extent cx="7132320" cy="1454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-599440</wp:posOffset>
            </wp:positionV>
            <wp:extent cx="7132320" cy="26543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-2191385</wp:posOffset>
            </wp:positionH>
            <wp:positionV relativeFrom="paragraph">
              <wp:posOffset>-187960</wp:posOffset>
            </wp:positionV>
            <wp:extent cx="7132320" cy="171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300" w:space="160"/>
            <w:col w:w="778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ectPr>
          <w:pgSz w:w="11900" w:h="16838" w:orient="portrait"/>
          <w:cols w:equalWidth="0" w:num="1">
            <w:col w:w="11240"/>
          </w:cols>
          <w:pgMar w:left="320" w:top="121"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ind w:left="3320"/>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EQUITY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3360"/>
        <w:spacing w:after="0"/>
        <w:rPr>
          <w:sz w:val="20"/>
          <w:szCs w:val="20"/>
          <w:color w:val="auto"/>
        </w:rPr>
      </w:pPr>
      <w:r>
        <w:rPr>
          <w:rFonts w:ascii="Times New Roman" w:cs="Times New Roman" w:eastAsia="Times New Roman" w:hAnsi="Times New Roman"/>
          <w:sz w:val="18"/>
          <w:szCs w:val="18"/>
          <w:color w:val="auto"/>
        </w:rPr>
        <w:t>(dollars in millions, except per share data; shares in thousands)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2079625</wp:posOffset>
            </wp:positionH>
            <wp:positionV relativeFrom="paragraph">
              <wp:posOffset>177165</wp:posOffset>
            </wp:positionV>
            <wp:extent cx="495490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54905" cy="8255"/>
                    </a:xfrm>
                    <a:prstGeom prst="rect">
                      <a:avLst/>
                    </a:prstGeom>
                    <a:noFill/>
                  </pic:spPr>
                </pic:pic>
              </a:graphicData>
            </a:graphic>
          </wp:anchor>
        </w:drawing>
      </w:r>
    </w:p>
    <w:p>
      <w:pPr>
        <w:spacing w:after="0" w:line="261" w:lineRule="exact"/>
        <w:rPr>
          <w:sz w:val="20"/>
          <w:szCs w:val="20"/>
          <w:color w:val="auto"/>
        </w:rPr>
      </w:pPr>
    </w:p>
    <w:p>
      <w:pPr>
        <w:jc w:val="right"/>
        <w:ind w:right="2660"/>
        <w:spacing w:after="0"/>
        <w:rPr>
          <w:sz w:val="20"/>
          <w:szCs w:val="20"/>
          <w:color w:val="auto"/>
        </w:rPr>
      </w:pPr>
      <w:r>
        <w:rPr>
          <w:rFonts w:ascii="Times New Roman" w:cs="Times New Roman" w:eastAsia="Times New Roman" w:hAnsi="Times New Roman"/>
          <w:sz w:val="14"/>
          <w:szCs w:val="14"/>
          <w:b w:val="1"/>
          <w:bCs w:val="1"/>
          <w:color w:val="auto"/>
        </w:rPr>
        <w:t>Nine Months Ended, September 30, 2023</w:t>
      </w:r>
    </w:p>
    <w:p>
      <w:pPr>
        <w:spacing w:after="0" w:line="33" w:lineRule="exact"/>
        <w:rPr>
          <w:sz w:val="20"/>
          <w:szCs w:val="20"/>
          <w:color w:val="auto"/>
        </w:rPr>
      </w:pPr>
    </w:p>
    <w:tbl>
      <w:tblPr>
        <w:tblLayout w:type="fixed"/>
        <w:tblInd w:w="3280" w:type="dxa"/>
        <w:tblCellMar>
          <w:top w:w="0" w:type="dxa"/>
          <w:left w:w="0" w:type="dxa"/>
          <w:bottom w:w="0" w:type="dxa"/>
          <w:right w:w="0" w:type="dxa"/>
        </w:tblCellMar>
      </w:tblPr>
      <w:tr>
        <w:trPr>
          <w:trHeight w:val="151"/>
        </w:trPr>
        <w:tc>
          <w:tcPr>
            <w:tcW w:w="9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02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14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4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2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80" w:type="dxa"/>
            <w:vAlign w:val="bottom"/>
            <w:vMerge w:val="continue"/>
          </w:tcPr>
          <w:p>
            <w:pPr>
              <w:spacing w:after="0"/>
              <w:rPr>
                <w:sz w:val="12"/>
                <w:szCs w:val="12"/>
                <w:color w:val="auto"/>
              </w:rPr>
            </w:pPr>
          </w:p>
        </w:tc>
        <w:tc>
          <w:tcPr>
            <w:tcW w:w="1020" w:type="dxa"/>
            <w:vAlign w:val="bottom"/>
            <w:vMerge w:val="continue"/>
          </w:tcPr>
          <w:p>
            <w:pPr>
              <w:spacing w:after="0"/>
              <w:rPr>
                <w:sz w:val="12"/>
                <w:szCs w:val="12"/>
                <w:color w:val="auto"/>
              </w:rPr>
            </w:pPr>
          </w:p>
        </w:tc>
        <w:tc>
          <w:tcPr>
            <w:tcW w:w="11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104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2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35"/>
        </w:trPr>
        <w:tc>
          <w:tcPr>
            <w:tcW w:w="940" w:type="dxa"/>
            <w:vAlign w:val="bottom"/>
            <w:vMerge w:val="continue"/>
          </w:tcPr>
          <w:p>
            <w:pPr>
              <w:spacing w:after="0"/>
              <w:rPr>
                <w:sz w:val="11"/>
                <w:szCs w:val="11"/>
                <w:color w:val="auto"/>
              </w:rPr>
            </w:pPr>
          </w:p>
        </w:tc>
        <w:tc>
          <w:tcPr>
            <w:tcW w:w="9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02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Common</w:t>
            </w:r>
          </w:p>
        </w:tc>
        <w:tc>
          <w:tcPr>
            <w:tcW w:w="114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104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ind w:left="8"/>
              <w:spacing w:after="0" w:line="135" w:lineRule="exact"/>
              <w:rPr>
                <w:sz w:val="20"/>
                <w:szCs w:val="20"/>
                <w:color w:val="auto"/>
              </w:rPr>
            </w:pPr>
            <w:r>
              <w:rPr>
                <w:rFonts w:ascii="Times New Roman" w:cs="Times New Roman" w:eastAsia="Times New Roman" w:hAnsi="Times New Roman"/>
                <w:sz w:val="14"/>
                <w:szCs w:val="14"/>
                <w:b w:val="1"/>
                <w:bCs w:val="1"/>
                <w:color w:val="auto"/>
              </w:rPr>
              <w:t>Other</w:t>
            </w:r>
          </w:p>
        </w:tc>
        <w:tc>
          <w:tcPr>
            <w:tcW w:w="13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940" w:type="dxa"/>
            <w:vAlign w:val="bottom"/>
          </w:tcPr>
          <w:p>
            <w:pPr>
              <w:jc w:val="center"/>
              <w:ind w:right="8"/>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0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1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040" w:type="dxa"/>
            <w:vAlign w:val="bottom"/>
            <w:vMerge w:val="continue"/>
          </w:tcPr>
          <w:p>
            <w:pPr>
              <w:spacing w:after="0"/>
              <w:rPr>
                <w:sz w:val="12"/>
                <w:szCs w:val="12"/>
                <w:color w:val="auto"/>
              </w:rPr>
            </w:pPr>
          </w:p>
        </w:tc>
        <w:tc>
          <w:tcPr>
            <w:tcW w:w="1360" w:type="dxa"/>
            <w:vAlign w:val="bottom"/>
          </w:tcPr>
          <w:p>
            <w:pPr>
              <w:jc w:val="center"/>
              <w:ind w:left="8"/>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20" w:type="dxa"/>
            <w:vAlign w:val="bottom"/>
          </w:tcPr>
          <w:p>
            <w:pPr>
              <w:jc w:val="center"/>
              <w:ind w:left="28"/>
              <w:spacing w:after="0" w:line="149"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3"/>
        </w:trPr>
        <w:tc>
          <w:tcPr>
            <w:tcW w:w="940" w:type="dxa"/>
            <w:vAlign w:val="bottom"/>
          </w:tcPr>
          <w:p>
            <w:pPr>
              <w:jc w:val="center"/>
              <w:ind w:right="8"/>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1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1040" w:type="dxa"/>
            <w:vAlign w:val="bottom"/>
          </w:tcPr>
          <w:p>
            <w:pPr>
              <w:ind w:left="2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2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320" w:top="121" w:right="499" w:bottom="1440" w:gutter="0" w:footer="0" w:header="0"/>
        </w:sectPr>
      </w:pPr>
    </w:p>
    <w:p>
      <w:pPr>
        <w:spacing w:after="0" w:line="4" w:lineRule="exact"/>
        <w:rPr>
          <w:sz w:val="20"/>
          <w:szCs w:val="20"/>
          <w:color w:val="auto"/>
        </w:rPr>
      </w:pPr>
    </w:p>
    <w:p>
      <w:pPr>
        <w:ind w:left="200" w:right="780"/>
        <w:spacing w:after="0" w:line="276" w:lineRule="auto"/>
        <w:rPr>
          <w:sz w:val="20"/>
          <w:szCs w:val="20"/>
          <w:color w:val="auto"/>
        </w:rPr>
      </w:pPr>
      <w:r>
        <w:rPr>
          <w:rFonts w:ascii="Times New Roman" w:cs="Times New Roman" w:eastAsia="Times New Roman" w:hAnsi="Times New Roman"/>
          <w:sz w:val="18"/>
          <w:szCs w:val="18"/>
          <w:color w:val="auto"/>
        </w:rPr>
        <w:t>Balance at December 31, 2022 Net income</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200"/>
        <w:spacing w:after="0" w:line="234" w:lineRule="auto"/>
        <w:rPr>
          <w:sz w:val="20"/>
          <w:szCs w:val="20"/>
          <w:color w:val="auto"/>
        </w:rPr>
      </w:pPr>
      <w:r>
        <w:rPr>
          <w:rFonts w:ascii="Times New Roman" w:cs="Times New Roman" w:eastAsia="Times New Roman" w:hAnsi="Times New Roman"/>
          <w:sz w:val="18"/>
          <w:szCs w:val="18"/>
          <w:color w:val="auto"/>
        </w:rPr>
        <w:t>Dividends on common stock of $3.30 per share</w:t>
      </w:r>
    </w:p>
    <w:p>
      <w:pPr>
        <w:spacing w:after="0" w:line="10" w:lineRule="exact"/>
        <w:rPr>
          <w:sz w:val="20"/>
          <w:szCs w:val="20"/>
          <w:color w:val="auto"/>
        </w:rPr>
      </w:pPr>
    </w:p>
    <w:p>
      <w:pPr>
        <w:ind w:left="200" w:right="440"/>
        <w:spacing w:after="0" w:line="237"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0"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issued to Board of Directors</w:t>
      </w:r>
    </w:p>
    <w:p>
      <w:pPr>
        <w:spacing w:after="0" w:line="27" w:lineRule="exact"/>
        <w:rPr>
          <w:sz w:val="20"/>
          <w:szCs w:val="20"/>
          <w:color w:val="auto"/>
        </w:rPr>
      </w:pPr>
    </w:p>
    <w:p>
      <w:pPr>
        <w:ind w:left="200" w:right="320"/>
        <w:spacing w:after="0" w:line="234" w:lineRule="auto"/>
        <w:rPr>
          <w:sz w:val="20"/>
          <w:szCs w:val="20"/>
          <w:color w:val="auto"/>
        </w:rPr>
      </w:pPr>
      <w:r>
        <w:rPr>
          <w:rFonts w:ascii="Times New Roman" w:cs="Times New Roman" w:eastAsia="Times New Roman" w:hAnsi="Times New Roman"/>
          <w:sz w:val="18"/>
          <w:szCs w:val="18"/>
          <w:color w:val="auto"/>
        </w:rPr>
        <w:t>Shares issued under Employee Stock Purchase Plan</w:t>
      </w:r>
    </w:p>
    <w:p>
      <w:pPr>
        <w:spacing w:after="0" w:line="10" w:lineRule="exact"/>
        <w:rPr>
          <w:sz w:val="20"/>
          <w:szCs w:val="20"/>
          <w:color w:val="auto"/>
        </w:rPr>
      </w:pPr>
    </w:p>
    <w:p>
      <w:pPr>
        <w:ind w:left="200" w:right="640"/>
        <w:spacing w:after="0" w:line="329" w:lineRule="auto"/>
        <w:rPr>
          <w:sz w:val="20"/>
          <w:szCs w:val="20"/>
          <w:color w:val="auto"/>
        </w:rPr>
      </w:pPr>
      <w:r>
        <w:rPr>
          <w:rFonts w:ascii="Times New Roman" w:cs="Times New Roman" w:eastAsia="Times New Roman" w:hAnsi="Times New Roman"/>
          <w:sz w:val="17"/>
          <w:szCs w:val="17"/>
          <w:color w:val="auto"/>
        </w:rPr>
        <w:t xml:space="preserve">Stock-based compensation </w:t>
      </w:r>
      <w:r>
        <w:rPr>
          <w:rFonts w:ascii="Times New Roman" w:cs="Times New Roman" w:eastAsia="Times New Roman" w:hAnsi="Times New Roman"/>
          <w:sz w:val="17"/>
          <w:szCs w:val="17"/>
          <w:b w:val="1"/>
          <w:bCs w:val="1"/>
          <w:color w:val="auto"/>
        </w:rPr>
        <w:t>Balance at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8"/>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358,929</w:t>
            </w:r>
          </w:p>
        </w:tc>
        <w:tc>
          <w:tcPr>
            <w:tcW w:w="12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20" w:type="dxa"/>
            <w:vAlign w:val="bottom"/>
            <w:tcBorders>
              <w:top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22,265.2</w:t>
            </w:r>
          </w:p>
        </w:tc>
        <w:tc>
          <w:tcPr>
            <w:tcW w:w="120" w:type="dxa"/>
            <w:vAlign w:val="bottom"/>
          </w:tcPr>
          <w:p>
            <w:pPr>
              <w:spacing w:after="0"/>
              <w:rPr>
                <w:sz w:val="19"/>
                <w:szCs w:val="19"/>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4,746.8</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100" w:type="dxa"/>
            <w:vAlign w:val="bottom"/>
          </w:tcPr>
          <w:p>
            <w:pPr>
              <w:spacing w:after="0"/>
              <w:rPr>
                <w:sz w:val="19"/>
                <w:szCs w:val="19"/>
                <w:color w:val="auto"/>
              </w:rPr>
            </w:pPr>
          </w:p>
        </w:tc>
        <w:tc>
          <w:tcPr>
            <w:tcW w:w="300" w:type="dxa"/>
            <w:vAlign w:val="bottom"/>
            <w:tcBorders>
              <w:top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26,878.7</w:t>
            </w:r>
          </w:p>
        </w:tc>
      </w:tr>
      <w:tr>
        <w:trPr>
          <w:trHeight w:val="230"/>
        </w:trPr>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2,411.6</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2,411.6</w:t>
            </w: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r>
      <w:tr>
        <w:trPr>
          <w:trHeight w:val="418"/>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(1,202.2)</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(1,202.2)</w:t>
            </w:r>
          </w:p>
        </w:tc>
      </w:tr>
      <w:tr>
        <w:trPr>
          <w:trHeight w:val="41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4"/>
        </w:trPr>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414"/>
        </w:trPr>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34"/>
        </w:trPr>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76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20" w:type="dxa"/>
            <w:vAlign w:val="bottom"/>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359,189</w:t>
            </w:r>
          </w:p>
        </w:tc>
        <w:tc>
          <w:tcPr>
            <w:tcW w:w="12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4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22,312.7</w:t>
            </w:r>
          </w:p>
        </w:tc>
        <w:tc>
          <w:tcPr>
            <w:tcW w:w="12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5,956.2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30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28,151.6</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-1965325</wp:posOffset>
            </wp:positionH>
            <wp:positionV relativeFrom="paragraph">
              <wp:posOffset>-1722120</wp:posOffset>
            </wp:positionV>
            <wp:extent cx="691769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17690" cy="15430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-1422400</wp:posOffset>
            </wp:positionV>
            <wp:extent cx="6917690" cy="1454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17690" cy="145415"/>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-1010920</wp:posOffset>
            </wp:positionV>
            <wp:extent cx="6917690" cy="26543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17690" cy="265430"/>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-599440</wp:posOffset>
            </wp:positionV>
            <wp:extent cx="6917690" cy="26543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17690" cy="265430"/>
                    </a:xfrm>
                    <a:prstGeom prst="rect">
                      <a:avLst/>
                    </a:prstGeom>
                    <a:noFill/>
                  </pic:spPr>
                </pic:pic>
              </a:graphicData>
            </a:graphic>
          </wp:anchor>
        </w:drawing>
        <w:drawing>
          <wp:anchor simplePos="0" relativeHeight="251657728" behindDoc="1" locked="0" layoutInCell="0" allowOverlap="1">
            <wp:simplePos x="0" y="0"/>
            <wp:positionH relativeFrom="column">
              <wp:posOffset>-1965325</wp:posOffset>
            </wp:positionH>
            <wp:positionV relativeFrom="paragraph">
              <wp:posOffset>-187960</wp:posOffset>
            </wp:positionV>
            <wp:extent cx="6917690" cy="17145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17690" cy="171450"/>
                    </a:xfrm>
                    <a:prstGeom prst="rect">
                      <a:avLst/>
                    </a:prstGeom>
                    <a:noFill/>
                  </pic:spPr>
                </pic:pic>
              </a:graphicData>
            </a:graphic>
          </wp:anchor>
        </w:drawing>
        <w:drawing>
          <wp:anchor simplePos="0" relativeHeight="251657728" behindDoc="1" locked="0" layoutInCell="0" allowOverlap="1">
            <wp:simplePos x="0" y="0"/>
            <wp:positionH relativeFrom="column">
              <wp:posOffset>-28575</wp:posOffset>
            </wp:positionH>
            <wp:positionV relativeFrom="paragraph">
              <wp:posOffset>385445</wp:posOffset>
            </wp:positionV>
            <wp:extent cx="497205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72050" cy="8255"/>
                    </a:xfrm>
                    <a:prstGeom prst="rect">
                      <a:avLst/>
                    </a:prstGeom>
                    <a:noFill/>
                  </pic:spPr>
                </pic:pic>
              </a:graphicData>
            </a:graphic>
          </wp:anchor>
        </w:drawing>
      </w:r>
    </w:p>
    <w:p>
      <w:pPr>
        <w:spacing w:after="0" w:line="204" w:lineRule="exact"/>
        <w:rPr>
          <w:sz w:val="20"/>
          <w:szCs w:val="20"/>
          <w:color w:val="auto"/>
        </w:rPr>
      </w:pPr>
    </w:p>
    <w:p>
      <w:pPr>
        <w:sectPr>
          <w:pgSz w:w="11900" w:h="16838" w:orient="portrait"/>
          <w:cols w:equalWidth="0" w:num="2">
            <w:col w:w="3180" w:space="100"/>
            <w:col w:w="7800"/>
          </w:cols>
          <w:pgMar w:left="320" w:top="121" w:right="499" w:bottom="1440" w:gutter="0" w:footer="0" w:header="0"/>
          <w:type w:val="continuous"/>
        </w:sectPr>
      </w:pPr>
    </w:p>
    <w:p>
      <w:pPr>
        <w:spacing w:after="0" w:line="200" w:lineRule="exact"/>
        <w:rPr>
          <w:sz w:val="20"/>
          <w:szCs w:val="20"/>
          <w:color w:val="auto"/>
        </w:rPr>
      </w:pPr>
    </w:p>
    <w:p>
      <w:pPr>
        <w:spacing w:after="0" w:line="205" w:lineRule="exact"/>
        <w:rPr>
          <w:sz w:val="20"/>
          <w:szCs w:val="20"/>
          <w:color w:val="auto"/>
        </w:rPr>
      </w:pPr>
    </w:p>
    <w:p>
      <w:pPr>
        <w:ind w:left="6040"/>
        <w:spacing w:after="0"/>
        <w:rPr>
          <w:sz w:val="20"/>
          <w:szCs w:val="20"/>
          <w:color w:val="auto"/>
        </w:rPr>
      </w:pPr>
      <w:r>
        <w:rPr>
          <w:rFonts w:ascii="Times New Roman" w:cs="Times New Roman" w:eastAsia="Times New Roman" w:hAnsi="Times New Roman"/>
          <w:sz w:val="14"/>
          <w:szCs w:val="14"/>
          <w:b w:val="1"/>
          <w:bCs w:val="1"/>
          <w:color w:val="auto"/>
        </w:rPr>
        <w:t>Quarter Ended, September 30, 2023</w:t>
      </w:r>
    </w:p>
    <w:p>
      <w:pPr>
        <w:spacing w:after="0" w:line="33" w:lineRule="exact"/>
        <w:rPr>
          <w:sz w:val="20"/>
          <w:szCs w:val="20"/>
          <w:color w:val="auto"/>
        </w:rPr>
      </w:pPr>
    </w:p>
    <w:tbl>
      <w:tblPr>
        <w:tblLayout w:type="fixed"/>
        <w:tblInd w:w="3240" w:type="dxa"/>
        <w:tblCellMar>
          <w:top w:w="0" w:type="dxa"/>
          <w:left w:w="0" w:type="dxa"/>
          <w:bottom w:w="0" w:type="dxa"/>
          <w:right w:w="0" w:type="dxa"/>
        </w:tblCellMar>
      </w:tblPr>
      <w:tr>
        <w:trPr>
          <w:trHeight w:val="151"/>
        </w:trPr>
        <w:tc>
          <w:tcPr>
            <w:tcW w:w="94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spacing w:after="0"/>
              <w:rPr>
                <w:sz w:val="13"/>
                <w:szCs w:val="13"/>
                <w:color w:val="auto"/>
              </w:rPr>
            </w:pPr>
          </w:p>
        </w:tc>
        <w:tc>
          <w:tcPr>
            <w:tcW w:w="1320" w:type="dxa"/>
            <w:vAlign w:val="bottom"/>
            <w:tcBorders>
              <w:top w:val="single" w:sz="8" w:color="auto"/>
            </w:tcBorders>
          </w:tcPr>
          <w:p>
            <w:pPr>
              <w:jc w:val="center"/>
              <w:spacing w:after="0" w:line="151" w:lineRule="exact"/>
              <w:rPr>
                <w:sz w:val="20"/>
                <w:szCs w:val="20"/>
                <w:color w:val="auto"/>
              </w:rPr>
            </w:pPr>
            <w:r>
              <w:rPr>
                <w:rFonts w:ascii="Times New Roman" w:cs="Times New Roman" w:eastAsia="Times New Roman" w:hAnsi="Times New Roman"/>
                <w:sz w:val="14"/>
                <w:szCs w:val="14"/>
                <w:b w:val="1"/>
                <w:bCs w:val="1"/>
                <w:color w:val="auto"/>
              </w:rPr>
              <w:t>Preferred Stock,</w:t>
            </w:r>
          </w:p>
        </w:tc>
        <w:tc>
          <w:tcPr>
            <w:tcW w:w="9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940" w:type="dxa"/>
            <w:vAlign w:val="bottom"/>
          </w:tcPr>
          <w:p>
            <w:pPr>
              <w:spacing w:after="0"/>
              <w:rPr>
                <w:sz w:val="12"/>
                <w:szCs w:val="12"/>
                <w:color w:val="auto"/>
              </w:rPr>
            </w:pPr>
          </w:p>
        </w:tc>
        <w:tc>
          <w:tcPr>
            <w:tcW w:w="9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900" w:type="dxa"/>
            <w:vAlign w:val="bottom"/>
            <w:vMerge w:val="restart"/>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13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960" w:type="dxa"/>
            <w:vAlign w:val="bottom"/>
          </w:tcPr>
          <w:p>
            <w:pPr>
              <w:spacing w:after="0"/>
              <w:rPr>
                <w:sz w:val="12"/>
                <w:szCs w:val="12"/>
                <w:color w:val="auto"/>
              </w:rPr>
            </w:pPr>
          </w:p>
        </w:tc>
        <w:tc>
          <w:tcPr>
            <w:tcW w:w="13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3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980" w:type="dxa"/>
            <w:vAlign w:val="bottom"/>
            <w:vMerge w:val="continue"/>
          </w:tcPr>
          <w:p>
            <w:pPr>
              <w:spacing w:after="0"/>
              <w:rPr>
                <w:sz w:val="12"/>
                <w:szCs w:val="12"/>
                <w:color w:val="auto"/>
              </w:rPr>
            </w:pPr>
          </w:p>
        </w:tc>
        <w:tc>
          <w:tcPr>
            <w:tcW w:w="900" w:type="dxa"/>
            <w:vAlign w:val="bottom"/>
            <w:vMerge w:val="continue"/>
          </w:tcPr>
          <w:p>
            <w:pPr>
              <w:spacing w:after="0"/>
              <w:rPr>
                <w:sz w:val="12"/>
                <w:szCs w:val="12"/>
                <w:color w:val="auto"/>
              </w:rPr>
            </w:pP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 and</w:t>
            </w:r>
          </w:p>
        </w:tc>
        <w:tc>
          <w:tcPr>
            <w:tcW w:w="960" w:type="dxa"/>
            <w:vAlign w:val="bottom"/>
          </w:tcPr>
          <w:p>
            <w:pPr>
              <w:spacing w:after="0"/>
              <w:rPr>
                <w:sz w:val="12"/>
                <w:szCs w:val="12"/>
                <w:color w:val="auto"/>
              </w:rPr>
            </w:pPr>
          </w:p>
        </w:tc>
        <w:tc>
          <w:tcPr>
            <w:tcW w:w="1360" w:type="dxa"/>
            <w:vAlign w:val="bottom"/>
            <w:vMerge w:val="continue"/>
          </w:tcPr>
          <w:p>
            <w:pPr>
              <w:spacing w:after="0"/>
              <w:rPr>
                <w:sz w:val="12"/>
                <w:szCs w:val="12"/>
                <w:color w:val="auto"/>
              </w:rPr>
            </w:pPr>
          </w:p>
        </w:tc>
        <w:tc>
          <w:tcPr>
            <w:tcW w:w="1360" w:type="dxa"/>
            <w:vAlign w:val="bottom"/>
            <w:vMerge w:val="restart"/>
          </w:tcPr>
          <w:p>
            <w:pPr>
              <w:jc w:val="center"/>
              <w:ind w:left="48"/>
              <w:spacing w:after="0"/>
              <w:rPr>
                <w:sz w:val="20"/>
                <w:szCs w:val="20"/>
                <w:color w:val="auto"/>
              </w:rPr>
            </w:pPr>
            <w:r>
              <w:rPr>
                <w:rFonts w:ascii="Times New Roman" w:cs="Times New Roman" w:eastAsia="Times New Roman" w:hAnsi="Times New Roman"/>
                <w:sz w:val="14"/>
                <w:szCs w:val="14"/>
                <w:b w:val="1"/>
                <w:bCs w:val="1"/>
                <w:color w:val="auto"/>
              </w:rPr>
              <w:t>Total CME Group</w:t>
            </w:r>
          </w:p>
        </w:tc>
        <w:tc>
          <w:tcPr>
            <w:tcW w:w="0" w:type="dxa"/>
            <w:vAlign w:val="bottom"/>
          </w:tcPr>
          <w:p>
            <w:pPr>
              <w:spacing w:after="0"/>
              <w:rPr>
                <w:sz w:val="1"/>
                <w:szCs w:val="1"/>
                <w:color w:val="auto"/>
              </w:rPr>
            </w:pPr>
          </w:p>
        </w:tc>
      </w:tr>
      <w:tr>
        <w:trPr>
          <w:trHeight w:val="137"/>
        </w:trPr>
        <w:tc>
          <w:tcPr>
            <w:tcW w:w="940" w:type="dxa"/>
            <w:vAlign w:val="bottom"/>
            <w:vMerge w:val="continue"/>
          </w:tcPr>
          <w:p>
            <w:pPr>
              <w:spacing w:after="0"/>
              <w:rPr>
                <w:sz w:val="11"/>
                <w:szCs w:val="11"/>
                <w:color w:val="auto"/>
              </w:rPr>
            </w:pPr>
          </w:p>
        </w:tc>
        <w:tc>
          <w:tcPr>
            <w:tcW w:w="98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90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Common</w:t>
            </w:r>
          </w:p>
        </w:tc>
        <w:tc>
          <w:tcPr>
            <w:tcW w:w="132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Additional</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360" w:type="dxa"/>
            <w:vAlign w:val="bottom"/>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Other</w:t>
            </w:r>
          </w:p>
        </w:tc>
        <w:tc>
          <w:tcPr>
            <w:tcW w:w="136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6"/>
        </w:trPr>
        <w:tc>
          <w:tcPr>
            <w:tcW w:w="94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900" w:type="dxa"/>
            <w:vAlign w:val="bottom"/>
          </w:tcPr>
          <w:p>
            <w:pPr>
              <w:jc w:val="center"/>
              <w:ind w:left="8"/>
              <w:spacing w:after="0" w:line="146" w:lineRule="exact"/>
              <w:rPr>
                <w:sz w:val="20"/>
                <w:szCs w:val="20"/>
                <w:color w:val="auto"/>
              </w:rPr>
            </w:pPr>
            <w:r>
              <w:rPr>
                <w:rFonts w:ascii="Times New Roman" w:cs="Times New Roman" w:eastAsia="Times New Roman" w:hAnsi="Times New Roman"/>
                <w:sz w:val="14"/>
                <w:szCs w:val="14"/>
                <w:b w:val="1"/>
                <w:bCs w:val="1"/>
                <w:color w:val="auto"/>
              </w:rPr>
              <w:t>Stock</w:t>
            </w:r>
          </w:p>
        </w:tc>
        <w:tc>
          <w:tcPr>
            <w:tcW w:w="132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Paid-in</w:t>
            </w:r>
          </w:p>
        </w:tc>
        <w:tc>
          <w:tcPr>
            <w:tcW w:w="960" w:type="dxa"/>
            <w:vAlign w:val="bottom"/>
            <w:vMerge w:val="continue"/>
          </w:tcPr>
          <w:p>
            <w:pPr>
              <w:spacing w:after="0"/>
              <w:rPr>
                <w:sz w:val="12"/>
                <w:szCs w:val="12"/>
                <w:color w:val="auto"/>
              </w:rPr>
            </w:pPr>
          </w:p>
        </w:tc>
        <w:tc>
          <w:tcPr>
            <w:tcW w:w="136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360" w:type="dxa"/>
            <w:vAlign w:val="bottom"/>
          </w:tcPr>
          <w:p>
            <w:pPr>
              <w:jc w:val="center"/>
              <w:ind w:left="48"/>
              <w:spacing w:after="0" w:line="146" w:lineRule="exact"/>
              <w:rPr>
                <w:sz w:val="20"/>
                <w:szCs w:val="20"/>
                <w:color w:val="auto"/>
              </w:rPr>
            </w:pPr>
            <w:r>
              <w:rPr>
                <w:rFonts w:ascii="Times New Roman" w:cs="Times New Roman" w:eastAsia="Times New Roman" w:hAnsi="Times New Roman"/>
                <w:sz w:val="14"/>
                <w:szCs w:val="14"/>
                <w:b w:val="1"/>
                <w:bCs w:val="1"/>
                <w:color w:val="auto"/>
              </w:rPr>
              <w:t>Shareholders'</w:t>
            </w:r>
          </w:p>
        </w:tc>
        <w:tc>
          <w:tcPr>
            <w:tcW w:w="0" w:type="dxa"/>
            <w:vAlign w:val="bottom"/>
          </w:tcPr>
          <w:p>
            <w:pPr>
              <w:spacing w:after="0"/>
              <w:rPr>
                <w:sz w:val="1"/>
                <w:szCs w:val="1"/>
                <w:color w:val="auto"/>
              </w:rPr>
            </w:pPr>
          </w:p>
        </w:tc>
      </w:tr>
      <w:tr>
        <w:trPr>
          <w:trHeight w:val="193"/>
        </w:trPr>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9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3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6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3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w:t>
            </w:r>
          </w:p>
        </w:tc>
        <w:tc>
          <w:tcPr>
            <w:tcW w:w="1360" w:type="dxa"/>
            <w:vAlign w:val="bottom"/>
          </w:tcPr>
          <w:p>
            <w:pPr>
              <w:jc w:val="center"/>
              <w:ind w:left="28"/>
              <w:spacing w:after="0"/>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320" w:top="121" w:right="499" w:bottom="1440" w:gutter="0" w:footer="0" w:header="0"/>
          <w:type w:val="continuous"/>
        </w:sectPr>
      </w:pP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Balance at June 30, 2023</w:t>
      </w:r>
    </w:p>
    <w:p>
      <w:pPr>
        <w:spacing w:after="0" w:line="36"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Net income</w:t>
      </w:r>
    </w:p>
    <w:p>
      <w:pPr>
        <w:spacing w:after="0" w:line="2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3" w:lineRule="exact"/>
        <w:rPr>
          <w:sz w:val="20"/>
          <w:szCs w:val="20"/>
          <w:color w:val="auto"/>
        </w:rPr>
      </w:pPr>
    </w:p>
    <w:p>
      <w:pPr>
        <w:ind w:left="200" w:right="20"/>
        <w:spacing w:after="0" w:line="242" w:lineRule="auto"/>
        <w:rPr>
          <w:sz w:val="20"/>
          <w:szCs w:val="20"/>
          <w:color w:val="auto"/>
        </w:rPr>
      </w:pPr>
      <w:r>
        <w:rPr>
          <w:rFonts w:ascii="Times New Roman" w:cs="Times New Roman" w:eastAsia="Times New Roman" w:hAnsi="Times New Roman"/>
          <w:sz w:val="18"/>
          <w:szCs w:val="18"/>
          <w:color w:val="auto"/>
        </w:rPr>
        <w:t>Dividends on common and preferred stock of $1.10 per share</w:t>
      </w:r>
    </w:p>
    <w:p>
      <w:pPr>
        <w:spacing w:after="0" w:line="1" w:lineRule="exact"/>
        <w:rPr>
          <w:sz w:val="20"/>
          <w:szCs w:val="20"/>
          <w:color w:val="auto"/>
        </w:rPr>
      </w:pPr>
    </w:p>
    <w:p>
      <w:pPr>
        <w:ind w:left="200" w:right="100"/>
        <w:spacing w:after="0" w:line="242" w:lineRule="auto"/>
        <w:rPr>
          <w:sz w:val="20"/>
          <w:szCs w:val="20"/>
          <w:color w:val="auto"/>
        </w:rPr>
      </w:pPr>
      <w:r>
        <w:rPr>
          <w:rFonts w:ascii="Times New Roman" w:cs="Times New Roman" w:eastAsia="Times New Roman" w:hAnsi="Times New Roman"/>
          <w:sz w:val="18"/>
          <w:szCs w:val="18"/>
          <w:color w:val="auto"/>
        </w:rPr>
        <w:t>Vesting of issued restricted Class A common stock</w:t>
      </w:r>
    </w:p>
    <w:p>
      <w:pPr>
        <w:spacing w:after="0" w:line="1"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18"/>
          <w:szCs w:val="18"/>
          <w:color w:val="auto"/>
        </w:rPr>
        <w:t>Shares issued to Board of Directors</w:t>
      </w:r>
    </w:p>
    <w:p>
      <w:pPr>
        <w:spacing w:after="0" w:line="23" w:lineRule="exact"/>
        <w:rPr>
          <w:sz w:val="20"/>
          <w:szCs w:val="20"/>
          <w:color w:val="auto"/>
        </w:rPr>
      </w:pPr>
    </w:p>
    <w:p>
      <w:pPr>
        <w:ind w:left="200"/>
        <w:spacing w:after="0" w:line="242" w:lineRule="auto"/>
        <w:rPr>
          <w:sz w:val="20"/>
          <w:szCs w:val="20"/>
          <w:color w:val="auto"/>
        </w:rPr>
      </w:pPr>
      <w:r>
        <w:rPr>
          <w:rFonts w:ascii="Times New Roman" w:cs="Times New Roman" w:eastAsia="Times New Roman" w:hAnsi="Times New Roman"/>
          <w:sz w:val="18"/>
          <w:szCs w:val="18"/>
          <w:color w:val="auto"/>
        </w:rPr>
        <w:t>Shares issued under Employee Stock Purchase Plan</w:t>
      </w:r>
    </w:p>
    <w:p>
      <w:pPr>
        <w:spacing w:after="0" w:line="1" w:lineRule="exact"/>
        <w:rPr>
          <w:sz w:val="20"/>
          <w:szCs w:val="20"/>
          <w:color w:val="auto"/>
        </w:rPr>
      </w:pPr>
    </w:p>
    <w:p>
      <w:pPr>
        <w:ind w:left="200" w:right="300"/>
        <w:spacing w:after="0" w:line="292" w:lineRule="auto"/>
        <w:rPr>
          <w:sz w:val="20"/>
          <w:szCs w:val="20"/>
          <w:color w:val="auto"/>
        </w:rPr>
      </w:pPr>
      <w:r>
        <w:rPr>
          <w:rFonts w:ascii="Times New Roman" w:cs="Times New Roman" w:eastAsia="Times New Roman" w:hAnsi="Times New Roman"/>
          <w:sz w:val="18"/>
          <w:szCs w:val="18"/>
          <w:color w:val="auto"/>
        </w:rPr>
        <w:t xml:space="preserve">Stock-based compensation </w:t>
      </w:r>
      <w:r>
        <w:rPr>
          <w:rFonts w:ascii="Times New Roman" w:cs="Times New Roman" w:eastAsia="Times New Roman" w:hAnsi="Times New Roman"/>
          <w:sz w:val="18"/>
          <w:szCs w:val="18"/>
          <w:b w:val="1"/>
          <w:bCs w:val="1"/>
          <w:color w:val="auto"/>
        </w:rPr>
        <w:t>Balance at September 30, 2023</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220" w:type="dxa"/>
        <w:tblCellMar>
          <w:top w:w="0" w:type="dxa"/>
          <w:left w:w="0" w:type="dxa"/>
          <w:bottom w:w="0" w:type="dxa"/>
          <w:right w:w="0" w:type="dxa"/>
        </w:tblCellMar>
      </w:tblPr>
      <w:tr>
        <w:trPr>
          <w:trHeight w:val="228"/>
        </w:trPr>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358,978</w:t>
            </w:r>
          </w:p>
        </w:tc>
        <w:tc>
          <w:tcPr>
            <w:tcW w:w="100" w:type="dxa"/>
            <w:vAlign w:val="bottom"/>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Borders>
              <w:top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22,311.2</w:t>
            </w:r>
          </w:p>
        </w:tc>
        <w:tc>
          <w:tcPr>
            <w:tcW w:w="120" w:type="dxa"/>
            <w:vAlign w:val="bottom"/>
          </w:tcPr>
          <w:p>
            <w:pPr>
              <w:spacing w:after="0"/>
              <w:rPr>
                <w:sz w:val="19"/>
                <w:szCs w:val="19"/>
                <w:color w:val="auto"/>
              </w:rPr>
            </w:pPr>
          </w:p>
        </w:tc>
        <w:tc>
          <w:tcPr>
            <w:tcW w:w="20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5,606.8</w:t>
            </w:r>
          </w:p>
        </w:tc>
        <w:tc>
          <w:tcPr>
            <w:tcW w:w="120" w:type="dxa"/>
            <w:vAlign w:val="bottom"/>
          </w:tcPr>
          <w:p>
            <w:pPr>
              <w:spacing w:after="0"/>
              <w:rPr>
                <w:sz w:val="19"/>
                <w:szCs w:val="19"/>
                <w:color w:val="auto"/>
              </w:rPr>
            </w:pPr>
          </w:p>
        </w:tc>
        <w:tc>
          <w:tcPr>
            <w:tcW w:w="420" w:type="dxa"/>
            <w:vAlign w:val="bottom"/>
            <w:tcBorders>
              <w:top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(100.2)</w:t>
            </w:r>
          </w:p>
        </w:tc>
        <w:tc>
          <w:tcPr>
            <w:tcW w:w="100" w:type="dxa"/>
            <w:vAlign w:val="bottom"/>
          </w:tcPr>
          <w:p>
            <w:pPr>
              <w:spacing w:after="0"/>
              <w:rPr>
                <w:sz w:val="19"/>
                <w:szCs w:val="19"/>
                <w:color w:val="auto"/>
              </w:rPr>
            </w:pPr>
          </w:p>
        </w:tc>
        <w:tc>
          <w:tcPr>
            <w:tcW w:w="340" w:type="dxa"/>
            <w:vAlign w:val="bottom"/>
            <w:tcBorders>
              <w:top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27,817.8</w:t>
            </w:r>
          </w:p>
        </w:tc>
      </w:tr>
      <w:tr>
        <w:trPr>
          <w:trHeight w:val="230"/>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750.2</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r>
      <w:tr>
        <w:trPr>
          <w:trHeight w:val="418"/>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(400.8)</w:t>
            </w:r>
          </w:p>
        </w:tc>
      </w:tr>
      <w:tr>
        <w:trPr>
          <w:trHeight w:val="41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34"/>
        </w:trPr>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84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18.9</w:t>
            </w:r>
          </w:p>
        </w:tc>
      </w:tr>
      <w:tr>
        <w:trPr>
          <w:trHeight w:val="223"/>
        </w:trPr>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4,584</w:t>
            </w:r>
          </w:p>
        </w:tc>
        <w:tc>
          <w:tcPr>
            <w:tcW w:w="10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359,189</w:t>
            </w:r>
          </w:p>
        </w:tc>
        <w:tc>
          <w:tcPr>
            <w:tcW w:w="100" w:type="dxa"/>
            <w:vAlign w:val="bottom"/>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22,312.7</w:t>
            </w:r>
          </w:p>
        </w:tc>
        <w:tc>
          <w:tcPr>
            <w:tcW w:w="12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5,956.2</w:t>
            </w:r>
          </w:p>
        </w:tc>
        <w:tc>
          <w:tcPr>
            <w:tcW w:w="12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10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28,151.6</w:t>
            </w:r>
          </w:p>
        </w:tc>
      </w:tr>
      <w:tr>
        <w:trPr>
          <w:trHeight w:val="20"/>
        </w:trPr>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-1800225</wp:posOffset>
            </wp:positionH>
            <wp:positionV relativeFrom="paragraph">
              <wp:posOffset>-1722120</wp:posOffset>
            </wp:positionV>
            <wp:extent cx="6909435"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09435" cy="154305"/>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-1422400</wp:posOffset>
            </wp:positionV>
            <wp:extent cx="6909435" cy="14605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09435" cy="146050"/>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-1010920</wp:posOffset>
            </wp:positionV>
            <wp:extent cx="6909435" cy="26543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09435" cy="265430"/>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-599440</wp:posOffset>
            </wp:positionV>
            <wp:extent cx="6909435" cy="26543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09435" cy="265430"/>
                    </a:xfrm>
                    <a:prstGeom prst="rect">
                      <a:avLst/>
                    </a:prstGeom>
                    <a:noFill/>
                  </pic:spPr>
                </pic:pic>
              </a:graphicData>
            </a:graphic>
          </wp:anchor>
        </w:drawing>
        <w:drawing>
          <wp:anchor simplePos="0" relativeHeight="251657728" behindDoc="1" locked="0" layoutInCell="0" allowOverlap="1">
            <wp:simplePos x="0" y="0"/>
            <wp:positionH relativeFrom="column">
              <wp:posOffset>-1800225</wp:posOffset>
            </wp:positionH>
            <wp:positionV relativeFrom="paragraph">
              <wp:posOffset>-187960</wp:posOffset>
            </wp:positionV>
            <wp:extent cx="6909435" cy="1714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909435" cy="17145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ectPr>
          <w:pgSz w:w="11900" w:h="16838" w:orient="portrait"/>
          <w:cols w:equalWidth="0" w:num="2">
            <w:col w:w="2860" w:space="160"/>
            <w:col w:w="8060"/>
          </w:cols>
          <w:pgMar w:left="320" w:top="121" w:right="4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80"/>
          </w:cols>
          <w:pgMar w:left="320" w:top="121" w:right="499" w:bottom="1440" w:gutter="0" w:footer="0" w:header="0"/>
          <w:type w:val="continuous"/>
        </w:sectPr>
      </w:pPr>
    </w:p>
    <w:bookmarkStart w:id="9" w:name="page10"/>
    <w:bookmarkEnd w:id="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25"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6"/>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2,411.6</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30"/>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Stock-based compensation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95.3</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Net realized and unrealized (gains) losses on investments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w:t>
            </w:r>
          </w:p>
        </w:tc>
      </w:tr>
      <w:tr>
        <w:trPr>
          <w:trHeight w:val="229"/>
        </w:trPr>
        <w:tc>
          <w:tcPr>
            <w:tcW w:w="838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income taxes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(21.9)</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(25.8)</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Change in: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Accounts receivable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(74.9)</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assets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598.7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(102.9)</w:t>
            </w:r>
          </w:p>
        </w:tc>
      </w:tr>
      <w:tr>
        <w:trPr>
          <w:trHeight w:val="230"/>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w:t>
            </w:r>
          </w:p>
        </w:tc>
      </w:tr>
      <w:tr>
        <w:trPr>
          <w:trHeight w:val="229"/>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Accounts payable</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Income taxes payable</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(86.5)</w:t>
            </w:r>
          </w:p>
        </w:tc>
      </w:tr>
      <w:tr>
        <w:trPr>
          <w:trHeight w:val="230"/>
        </w:trPr>
        <w:tc>
          <w:tcPr>
            <w:tcW w:w="8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(691.4)</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r>
      <w:tr>
        <w:trPr>
          <w:trHeight w:val="229"/>
        </w:trPr>
        <w:tc>
          <w:tcPr>
            <w:tcW w:w="8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(34.5)</w:t>
            </w:r>
          </w:p>
        </w:tc>
      </w:tr>
      <w:tr>
        <w:trPr>
          <w:trHeight w:val="230"/>
        </w:trPr>
        <w:tc>
          <w:tcPr>
            <w:tcW w:w="83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shd w:val="clear" w:color="auto" w:fill="CCEEFF"/>
          </w:tcPr>
          <w:p>
            <w:pPr>
              <w:spacing w:after="0"/>
              <w:rPr>
                <w:sz w:val="19"/>
                <w:szCs w:val="19"/>
                <w:color w:val="auto"/>
              </w:rPr>
            </w:pPr>
          </w:p>
        </w:tc>
        <w:tc>
          <w:tcPr>
            <w:tcW w:w="32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r>
      <w:tr>
        <w:trPr>
          <w:trHeight w:val="223"/>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2,672.6</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2,409.5</w:t>
            </w:r>
          </w:p>
        </w:tc>
      </w:tr>
      <w:tr>
        <w:trPr>
          <w:trHeight w:val="237"/>
        </w:trPr>
        <w:tc>
          <w:tcPr>
            <w:tcW w:w="838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r>
    </w:tbl>
    <w:p>
      <w:pPr>
        <w:spacing w:after="0" w:line="1" w:lineRule="exact"/>
        <w:rPr>
          <w:sz w:val="20"/>
          <w:szCs w:val="20"/>
          <w:color w:val="auto"/>
        </w:rPr>
      </w:pPr>
    </w:p>
    <w:p>
      <w:pPr>
        <w:sectPr>
          <w:pgSz w:w="11900" w:h="16838" w:orient="portrait"/>
          <w:cols w:equalWidth="0" w:num="1">
            <w:col w:w="11220"/>
          </w:cols>
          <w:pgMar w:left="320" w:top="121" w:right="359" w:bottom="1440" w:gutter="0" w:footer="0" w:header="0"/>
        </w:sectPr>
      </w:pPr>
    </w:p>
    <w:p>
      <w:pPr>
        <w:ind w:left="40"/>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14605</wp:posOffset>
            </wp:positionV>
            <wp:extent cx="7115175" cy="1454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15175" cy="145415"/>
                    </a:xfrm>
                    <a:prstGeom prst="rect">
                      <a:avLst/>
                    </a:prstGeom>
                    <a:noFill/>
                  </pic:spPr>
                </pic:pic>
              </a:graphicData>
            </a:graphic>
          </wp:anchor>
        </w:drawing>
      </w:r>
    </w:p>
    <w:p>
      <w:pPr>
        <w:spacing w:after="0" w:line="3" w:lineRule="exact"/>
        <w:rPr>
          <w:sz w:val="20"/>
          <w:szCs w:val="20"/>
          <w:color w:val="auto"/>
        </w:rPr>
      </w:pPr>
    </w:p>
    <w:p>
      <w:pPr>
        <w:ind w:left="40" w:right="3660"/>
        <w:spacing w:after="0" w:line="292" w:lineRule="auto"/>
        <w:rPr>
          <w:sz w:val="20"/>
          <w:szCs w:val="20"/>
          <w:color w:val="auto"/>
        </w:rPr>
      </w:pPr>
      <w:r>
        <w:rPr>
          <w:rFonts w:ascii="Times New Roman" w:cs="Times New Roman" w:eastAsia="Times New Roman" w:hAnsi="Times New Roman"/>
          <w:sz w:val="18"/>
          <w:szCs w:val="18"/>
          <w:color w:val="auto"/>
        </w:rPr>
        <w:t>Proceeds from maturities of available-for-sale marketable securities Purchases of available-for-sale marketable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-27940</wp:posOffset>
            </wp:positionV>
            <wp:extent cx="7115175" cy="26543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15175" cy="265430"/>
                    </a:xfrm>
                    <a:prstGeom prst="rect">
                      <a:avLst/>
                    </a:prstGeom>
                    <a:noFill/>
                  </pic:spPr>
                </pic:pic>
              </a:graphicData>
            </a:graphic>
          </wp:anchor>
        </w:drawing>
      </w:r>
    </w:p>
    <w:p>
      <w:pPr>
        <w:spacing w:after="0" w:line="25"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Purchases of property, net</w:t>
      </w:r>
    </w:p>
    <w:p>
      <w:pPr>
        <w:spacing w:after="0" w:line="11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Investments in privately-held equity investments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17145</wp:posOffset>
            </wp:positionV>
            <wp:extent cx="7115175"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Proceeds from sales of investments</w:t>
      </w:r>
    </w:p>
    <w:p>
      <w:pPr>
        <w:spacing w:after="0" w:line="2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b w:val="1"/>
          <w:bCs w:val="1"/>
          <w:color w:val="auto"/>
        </w:rPr>
        <w:t>Net Cash (Used in) Provided by Investing Activities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4.9</w:t>
      </w:r>
    </w:p>
    <w:p>
      <w:pPr>
        <w:spacing w:after="0" w:line="2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7"/>
          <w:szCs w:val="17"/>
          <w:color w:val="auto"/>
        </w:rPr>
        <w:t>(4.3)</w:t>
      </w:r>
    </w:p>
    <w:p>
      <w:pPr>
        <w:spacing w:after="0" w:line="218"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7"/>
          <w:szCs w:val="17"/>
          <w:color w:val="auto"/>
        </w:rPr>
        <w:t>(67.8)</w:t>
      </w:r>
    </w:p>
    <w:p>
      <w:pPr>
        <w:spacing w:after="0" w:line="39" w:lineRule="exact"/>
        <w:rPr>
          <w:sz w:val="20"/>
          <w:szCs w:val="20"/>
          <w:color w:val="auto"/>
        </w:rPr>
      </w:pPr>
    </w:p>
    <w:p>
      <w:pPr>
        <w:jc w:val="right"/>
        <w:ind w:right="320"/>
        <w:spacing w:after="0"/>
        <w:rPr>
          <w:sz w:val="20"/>
          <w:szCs w:val="20"/>
          <w:color w:val="auto"/>
        </w:rPr>
      </w:pPr>
      <w:r>
        <w:rPr>
          <w:rFonts w:ascii="Times New Roman" w:cs="Times New Roman" w:eastAsia="Times New Roman" w:hAnsi="Times New Roman"/>
          <w:sz w:val="18"/>
          <w:szCs w:val="18"/>
          <w:color w:val="auto"/>
        </w:rPr>
        <w:t>(3.6)</w:t>
      </w:r>
    </w:p>
    <w:p>
      <w:pPr>
        <w:spacing w:after="0" w:line="23" w:lineRule="exact"/>
        <w:rPr>
          <w:sz w:val="20"/>
          <w:szCs w:val="20"/>
          <w:color w:val="auto"/>
        </w:rPr>
      </w:pPr>
    </w:p>
    <w:p>
      <w:pPr>
        <w:jc w:val="right"/>
        <w:ind w:right="360"/>
        <w:spacing w:after="0"/>
        <w:rPr>
          <w:sz w:val="20"/>
          <w:szCs w:val="20"/>
          <w:color w:val="auto"/>
        </w:rPr>
      </w:pPr>
      <w:r>
        <w:rPr>
          <w:rFonts w:ascii="Times New Roman" w:cs="Times New Roman" w:eastAsia="Times New Roman" w:hAnsi="Times New Roman"/>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-576580</wp:posOffset>
            </wp:positionH>
            <wp:positionV relativeFrom="paragraph">
              <wp:posOffset>14605</wp:posOffset>
            </wp:positionV>
            <wp:extent cx="86550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65505" cy="8255"/>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(57.3)</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4.4</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(3.0)</w:t>
      </w:r>
    </w:p>
    <w:p>
      <w:pPr>
        <w:spacing w:after="0" w:line="20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(55.6)</w:t>
      </w:r>
    </w:p>
    <w:p>
      <w:pPr>
        <w:spacing w:after="0" w:line="27" w:lineRule="exact"/>
        <w:rPr>
          <w:sz w:val="20"/>
          <w:szCs w:val="20"/>
          <w:color w:val="auto"/>
        </w:rPr>
      </w:pPr>
    </w:p>
    <w:p>
      <w:pPr>
        <w:jc w:val="right"/>
        <w:ind w:right="20"/>
        <w:spacing w:after="0"/>
        <w:rPr>
          <w:sz w:val="20"/>
          <w:szCs w:val="20"/>
          <w:color w:val="auto"/>
        </w:rPr>
      </w:pPr>
      <w:r>
        <w:rPr>
          <w:rFonts w:ascii="Times New Roman" w:cs="Times New Roman" w:eastAsia="Times New Roman" w:hAnsi="Times New Roman"/>
          <w:sz w:val="18"/>
          <w:szCs w:val="18"/>
          <w:color w:val="auto"/>
        </w:rPr>
        <w:t>(2.4)</w:t>
      </w:r>
    </w:p>
    <w:p>
      <w:pPr>
        <w:spacing w:after="0" w:line="23"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18"/>
          <w:szCs w:val="18"/>
          <w:color w:val="auto"/>
        </w:rPr>
        <w:t>97.9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-568960</wp:posOffset>
            </wp:positionH>
            <wp:positionV relativeFrom="paragraph">
              <wp:posOffset>14605</wp:posOffset>
            </wp:positionV>
            <wp:extent cx="86614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866140" cy="8255"/>
                    </a:xfrm>
                    <a:prstGeom prst="rect">
                      <a:avLst/>
                    </a:prstGeom>
                    <a:noFill/>
                  </pic:spPr>
                </pic:pic>
              </a:graphicData>
            </a:graphic>
          </wp:anchor>
        </w:drawing>
      </w:r>
    </w:p>
    <w:p>
      <w:pPr>
        <w:spacing w:after="0" w:line="11" w:lineRule="exact"/>
        <w:rPr>
          <w:sz w:val="20"/>
          <w:szCs w:val="20"/>
          <w:color w:val="auto"/>
        </w:rPr>
      </w:pPr>
    </w:p>
    <w:p>
      <w:pPr>
        <w:ind w:left="80"/>
        <w:spacing w:after="0"/>
        <w:rPr>
          <w:sz w:val="20"/>
          <w:szCs w:val="20"/>
          <w:color w:val="auto"/>
        </w:rPr>
      </w:pPr>
      <w:r>
        <w:rPr>
          <w:rFonts w:ascii="Times New Roman" w:cs="Times New Roman" w:eastAsia="Times New Roman" w:hAnsi="Times New Roman"/>
          <w:sz w:val="18"/>
          <w:szCs w:val="18"/>
          <w:color w:val="auto"/>
        </w:rPr>
        <w:t>41.3</w:t>
      </w:r>
    </w:p>
    <w:p>
      <w:pPr>
        <w:spacing w:after="0" w:line="27" w:lineRule="exact"/>
        <w:rPr>
          <w:sz w:val="20"/>
          <w:szCs w:val="20"/>
          <w:color w:val="auto"/>
        </w:rPr>
      </w:pPr>
    </w:p>
    <w:p>
      <w:pPr>
        <w:sectPr>
          <w:pgSz w:w="11900" w:h="16838" w:orient="portrait"/>
          <w:cols w:equalWidth="0" w:num="3">
            <w:col w:w="8580" w:space="720"/>
            <w:col w:w="740" w:space="720"/>
            <w:col w:w="460"/>
          </w:cols>
          <w:pgMar w:left="320" w:top="121" w:right="359" w:bottom="1440" w:gutter="0" w:footer="0" w:header="0"/>
          <w:type w:val="continuous"/>
        </w:sectPr>
      </w:pPr>
    </w:p>
    <w:tbl>
      <w:tblPr>
        <w:tblLayout w:type="fixed"/>
        <w:tblInd w:w="20" w:type="dxa"/>
        <w:tblCellMar>
          <w:top w:w="0" w:type="dxa"/>
          <w:left w:w="0" w:type="dxa"/>
          <w:bottom w:w="0" w:type="dxa"/>
          <w:right w:w="0" w:type="dxa"/>
        </w:tblCellMar>
      </w:tblPr>
      <w:tr>
        <w:trPr>
          <w:trHeight w:val="237"/>
        </w:trPr>
        <w:tc>
          <w:tcPr>
            <w:tcW w:w="838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360" w:type="dxa"/>
            <w:vAlign w:val="bottom"/>
            <w:tcBorders>
              <w:top w:val="single" w:sz="8" w:color="auto"/>
            </w:tcBorders>
            <w:shd w:val="clear" w:color="auto" w:fill="CCEEFF"/>
          </w:tcPr>
          <w:p>
            <w:pPr>
              <w:spacing w:after="0"/>
              <w:rPr>
                <w:sz w:val="20"/>
                <w:szCs w:val="20"/>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60" w:type="dxa"/>
            <w:vAlign w:val="bottom"/>
          </w:tcPr>
          <w:p>
            <w:pPr>
              <w:spacing w:after="0"/>
              <w:rPr>
                <w:sz w:val="19"/>
                <w:szCs w:val="19"/>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Repayment of debt, including call premium</w:t>
            </w:r>
          </w:p>
        </w:tc>
        <w:tc>
          <w:tcPr>
            <w:tcW w:w="14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w:t>
            </w:r>
          </w:p>
        </w:tc>
      </w:tr>
      <w:tr>
        <w:trPr>
          <w:trHeight w:val="230"/>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dividends</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(3,165.4)</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(2,835.4)</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Change in performance bond and guaranty fund contributions</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9,264.5</w:t>
            </w:r>
          </w:p>
        </w:tc>
        <w:tc>
          <w:tcPr>
            <w:tcW w:w="100" w:type="dxa"/>
            <w:vAlign w:val="bottom"/>
            <w:shd w:val="clear" w:color="auto" w:fill="CCEEFF"/>
          </w:tcPr>
          <w:p>
            <w:pPr>
              <w:spacing w:after="0"/>
              <w:rPr>
                <w:sz w:val="19"/>
                <w:szCs w:val="19"/>
                <w:color w:val="auto"/>
              </w:rPr>
            </w:pP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(48,057.1)</w:t>
            </w: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Employee taxes paid on restricted stock vesting</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1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(18.5)</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shd w:val="clear" w:color="auto" w:fill="CCEEFF"/>
          </w:tcPr>
          <w:p>
            <w:pPr>
              <w:spacing w:after="0"/>
              <w:rPr>
                <w:sz w:val="19"/>
                <w:szCs w:val="19"/>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23"/>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Cash (Used in) Provided by Financing Activities</w:t>
            </w: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6,060.6</w:t>
            </w:r>
          </w:p>
        </w:tc>
        <w:tc>
          <w:tcPr>
            <w:tcW w:w="100" w:type="dxa"/>
            <w:vAlign w:val="bottom"/>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(50,927.8)</w:t>
            </w:r>
          </w:p>
        </w:tc>
      </w:tr>
    </w:tbl>
    <w:p>
      <w:pPr>
        <w:spacing w:after="0" w:line="200" w:lineRule="exact"/>
        <w:rPr>
          <w:sz w:val="20"/>
          <w:szCs w:val="20"/>
          <w:color w:val="auto"/>
        </w:rPr>
      </w:pPr>
    </w:p>
    <w:p>
      <w:pPr>
        <w:sectPr>
          <w:pgSz w:w="11900" w:h="16838" w:orient="portrait"/>
          <w:cols w:equalWidth="0" w:num="1">
            <w:col w:w="11220"/>
          </w:cols>
          <w:pgMar w:left="320" w:top="121" w:right="35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type w:val="continuous"/>
        </w:sectPr>
      </w:pPr>
    </w:p>
    <w:bookmarkStart w:id="10" w:name="page11"/>
    <w:bookmarkEnd w:id="1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CME GROUP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 xml:space="preserve">CONSOLIDATED STATEMENTS OF CASH FLOWS </w:t>
      </w:r>
      <w:r>
        <w:rPr>
          <w:rFonts w:ascii="Times New Roman" w:cs="Times New Roman" w:eastAsia="Times New Roman" w:hAnsi="Times New Roman"/>
          <w:sz w:val="18"/>
          <w:szCs w:val="18"/>
          <w:color w:val="auto"/>
        </w:rPr>
        <w:t>(continued)</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(in millions)</w:t>
      </w:r>
    </w:p>
    <w:p>
      <w:pPr>
        <w:spacing w:after="0" w:line="9" w:lineRule="exact"/>
        <w:rPr>
          <w:sz w:val="20"/>
          <w:szCs w:val="20"/>
          <w:color w:val="auto"/>
        </w:rPr>
      </w:pPr>
    </w:p>
    <w:p>
      <w:pPr>
        <w:ind w:left="5180"/>
        <w:spacing w:after="0"/>
        <w:rPr>
          <w:sz w:val="20"/>
          <w:szCs w:val="20"/>
          <w:color w:val="auto"/>
        </w:rPr>
      </w:pPr>
      <w:r>
        <w:rPr>
          <w:rFonts w:ascii="Times New Roman" w:cs="Times New Roman" w:eastAsia="Times New Roman" w:hAnsi="Times New Roman"/>
          <w:sz w:val="18"/>
          <w:szCs w:val="18"/>
          <w:color w:val="auto"/>
        </w:rPr>
        <w:t>(unaudited)</w:t>
      </w:r>
    </w:p>
    <w:p>
      <w:pPr>
        <w:spacing w:after="0" w:line="79" w:lineRule="exact"/>
        <w:rPr>
          <w:sz w:val="20"/>
          <w:szCs w:val="20"/>
          <w:color w:val="auto"/>
        </w:rPr>
      </w:pPr>
    </w:p>
    <w:p>
      <w:pPr>
        <w:ind w:left="9180"/>
        <w:spacing w:after="0"/>
        <w:rPr>
          <w:sz w:val="20"/>
          <w:szCs w:val="20"/>
          <w:color w:val="auto"/>
        </w:rPr>
      </w:pPr>
      <w:r>
        <w:rPr>
          <w:rFonts w:ascii="Times New Roman" w:cs="Times New Roman" w:eastAsia="Times New Roman" w:hAnsi="Times New Roman"/>
          <w:sz w:val="14"/>
          <w:szCs w:val="14"/>
          <w:b w:val="1"/>
          <w:bCs w:val="1"/>
          <w:color w:val="auto"/>
        </w:rPr>
        <w:t>Nine Months Ended</w:t>
      </w:r>
    </w:p>
    <w:p>
      <w:pPr>
        <w:spacing w:after="0" w:line="6" w:lineRule="exact"/>
        <w:rPr>
          <w:sz w:val="20"/>
          <w:szCs w:val="20"/>
          <w:color w:val="auto"/>
        </w:rPr>
      </w:pPr>
    </w:p>
    <w:p>
      <w:pPr>
        <w:ind w:left="9360"/>
        <w:spacing w:after="0"/>
        <w:rPr>
          <w:sz w:val="20"/>
          <w:szCs w:val="20"/>
          <w:color w:val="auto"/>
        </w:rPr>
      </w:pPr>
      <w:r>
        <w:rPr>
          <w:rFonts w:ascii="Times New Roman" w:cs="Times New Roman" w:eastAsia="Times New Roman" w:hAnsi="Times New Roman"/>
          <w:sz w:val="14"/>
          <w:szCs w:val="14"/>
          <w:b w:val="1"/>
          <w:bCs w:val="1"/>
          <w:color w:val="auto"/>
        </w:rPr>
        <w:t>September 30,</w:t>
      </w:r>
    </w:p>
    <w:p>
      <w:pPr>
        <w:spacing w:after="0" w:line="11" w:lineRule="exact"/>
        <w:rPr>
          <w:sz w:val="20"/>
          <w:szCs w:val="20"/>
          <w:color w:val="auto"/>
        </w:rPr>
      </w:pPr>
    </w:p>
    <w:tbl>
      <w:tblPr>
        <w:tblLayout w:type="fixed"/>
        <w:tblInd w:w="20" w:type="dxa"/>
        <w:tblCellMar>
          <w:top w:w="0" w:type="dxa"/>
          <w:left w:w="0" w:type="dxa"/>
          <w:bottom w:w="0" w:type="dxa"/>
          <w:right w:w="0" w:type="dxa"/>
        </w:tblCellMar>
      </w:tblPr>
      <w:tr>
        <w:trPr>
          <w:trHeight w:val="200"/>
        </w:trPr>
        <w:tc>
          <w:tcPr>
            <w:tcW w:w="8380" w:type="dxa"/>
            <w:vAlign w:val="bottom"/>
            <w:tcBorders>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top w:val="single" w:sz="8" w:color="auto"/>
              <w:bottom w:val="single" w:sz="8" w:color="CCEEFF"/>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change in cash, cash equivalents, restricted cash and restricted cash equivalents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8,675.9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(48,477.0)</w:t>
            </w:r>
          </w:p>
        </w:tc>
      </w:tr>
      <w:tr>
        <w:trPr>
          <w:trHeight w:val="229"/>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Cash, cash equivalents, restricted cash and restricted cash equivalents, beginning of period</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93,109.7</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137,974.4</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Cash, Cash Equivalents, Restricted Cash and Restricted Cash Equivalents, End of Period</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89,497.4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Reconciliation of cash, cash equivalents, restricted cash and restricted cash equivalents:</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2,322.1</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2,300.2</w:t>
            </w:r>
          </w:p>
        </w:tc>
      </w:tr>
      <w:tr>
        <w:trPr>
          <w:trHeight w:val="229"/>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restricted cash</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r>
      <w:tr>
        <w:trPr>
          <w:trHeight w:val="230"/>
        </w:trPr>
        <w:tc>
          <w:tcPr>
            <w:tcW w:w="83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Restricted cash and restricted cash equivalents (performance bonds and guaranty fund contributions)</w:t>
            </w: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99,457.0</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87,192.1</w:t>
            </w:r>
          </w:p>
        </w:tc>
      </w:tr>
      <w:tr>
        <w:trPr>
          <w:trHeight w:val="248"/>
        </w:trPr>
        <w:tc>
          <w:tcPr>
            <w:tcW w:w="8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101,785.6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89,497.4</w:t>
            </w:r>
          </w:p>
        </w:tc>
      </w:tr>
      <w:tr>
        <w:trPr>
          <w:trHeight w:val="20"/>
        </w:trPr>
        <w:tc>
          <w:tcPr>
            <w:tcW w:w="83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03"/>
        </w:trPr>
        <w:tc>
          <w:tcPr>
            <w:tcW w:w="83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Supplemental Disclosure of Cash Flow Information</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83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paid</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10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883.3</w:t>
            </w:r>
          </w:p>
        </w:tc>
      </w:tr>
      <w:tr>
        <w:trPr>
          <w:trHeight w:val="230"/>
        </w:trPr>
        <w:tc>
          <w:tcPr>
            <w:tcW w:w="8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paid</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106.0</w:t>
            </w:r>
          </w:p>
        </w:tc>
      </w:tr>
    </w:tbl>
    <w:p>
      <w:pPr>
        <w:spacing w:after="0" w:line="3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accompanying notes to unaudited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UNAUDITED CONSOLIDATED FINANCIAL STATEMENTS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Basis of Presentation</w:t>
      </w:r>
    </w:p>
    <w:p>
      <w:pPr>
        <w:spacing w:after="0" w:line="121" w:lineRule="exact"/>
        <w:rPr>
          <w:sz w:val="20"/>
          <w:szCs w:val="20"/>
          <w:color w:val="auto"/>
        </w:rPr>
      </w:pPr>
    </w:p>
    <w:p>
      <w:pPr>
        <w:ind w:right="42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consist of CME Group Inc. (CME Group) and its subsidiaries (collectively, the company), including Chicago Mercantile Exchange Inc. (CME), Board of Trade of the City of Chicago, Inc. (CBOT), New York Mercantile Exchange, Inc. (NYMEX), Commodity Exchange, Inc. (COMEX) and NEX Group Limited (NEX). The clearing house is operated by CME.</w:t>
      </w:r>
    </w:p>
    <w:p>
      <w:pPr>
        <w:spacing w:after="0" w:line="6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accompanying interim consolidated financial statements have been prepared by CME Group without audit. Certain notes and other information normally included in financial statements prepared in accordance with accounting principles generally accepted in the United States have been condensed or omitted. In the opinion of management, the accompanying consolidated financial statements include all adjustments (consisting only of normal recurring adjustments) considered necessary to present fairly the financial position of the company at September 30, 2024 and December 31, 2023 and the results of operations and cash flows for the periods indicated. Quarterly results are not necessarily indicative of results for any subsequent period.</w:t>
      </w:r>
    </w:p>
    <w:p>
      <w:pPr>
        <w:spacing w:after="0" w:line="75"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accompanying consolidated financial statements should be read in conjunction with the consolidated financial statements and notes thereto in CME Group’s Annual Report on Form 10-K for the year ended December 31, 2023, filed with the Securities and Exchange Commission (SEC) on February 28, 2024.</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Revenue Recognition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generates revenue from customers from the following sources:</w:t>
      </w:r>
    </w:p>
    <w:p>
      <w:pPr>
        <w:spacing w:after="0" w:line="11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Clearing and transaction fees. </w:t>
      </w:r>
      <w:r>
        <w:rPr>
          <w:rFonts w:ascii="Times New Roman" w:cs="Times New Roman" w:eastAsia="Times New Roman" w:hAnsi="Times New Roman"/>
          <w:sz w:val="18"/>
          <w:szCs w:val="18"/>
          <w:color w:val="auto"/>
        </w:rPr>
        <w:t>Clearing and transaction fees include electronic trading fees and brokerage commissions, surcharges for privately-negotiated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transactions, risk mitigation and other volume-related charges for trade contracts. Clearing and transaction fees are assessed upfront at the time of trade execution. As such, the company recognizes the majority of the fee revenue upon successful execution of the trade. The minimal remaining portion of the fee revenue related to settlement activities performed after trade execution is recognized over the short-term period that the contract is outstanding, based on management’s estimates of the average contract lifecycle. These estimates are based on various assumptions to approximate the amount of fee revenue to be attributed to services performed through contract settlement, expiration, or termination. For cleared trades, these assumptions include the average number of days that a contract remains in open interest, contract turnover, average revenue per day, and revenue remaining in open interest at the end of each period.</w:t>
      </w:r>
    </w:p>
    <w:p>
      <w:pPr>
        <w:spacing w:after="0" w:line="65"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The nature of contracts gives rise to several types of variable consideration, including volume-based pricing tiers, customer incentives associated with market maker programs and other fee discounts. The company includes fee discounts and incentives in the estimated transaction price when there is a basis to reasonably estimate the amount of the fee reduction. These estimates are based on historical experience, anticipated performance, and best judgment at the time. Because of the company’s certainty in estimating these amounts, they are included in the transaction price of contracts.</w:t>
      </w:r>
    </w:p>
    <w:p>
      <w:pPr>
        <w:spacing w:after="0" w:line="43" w:lineRule="exact"/>
        <w:rPr>
          <w:sz w:val="20"/>
          <w:szCs w:val="20"/>
          <w:color w:val="auto"/>
        </w:rPr>
      </w:pPr>
    </w:p>
    <w:p>
      <w:pPr>
        <w:ind w:right="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Market data and information services. </w:t>
      </w:r>
      <w:r>
        <w:rPr>
          <w:rFonts w:ascii="Times New Roman" w:cs="Times New Roman" w:eastAsia="Times New Roman" w:hAnsi="Times New Roman"/>
          <w:sz w:val="18"/>
          <w:szCs w:val="18"/>
          <w:color w:val="auto"/>
        </w:rPr>
        <w:t>Market data and information services represent revenue from the dissemination of market data to subscribers,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distributors, and other third-party licensees of market data. Pricing for market data is primarily based on the number of reportable devices used as well as the number of subscribers enrolled under the arrangement. Fees for these services are generally billed monthly. Market data services are satisfied over time and revenue is recognized on a monthly basis as the customers receive and consume the benefit of the market data services. However, the company also maintains certain annual license arrangements with one-time upfront fees. The fees for annual licenses are initially recorded as a contract liability and recognized as revenue monthly over the term of the annual period.</w:t>
      </w:r>
    </w:p>
    <w:p>
      <w:pPr>
        <w:spacing w:after="0" w:line="61"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Other. </w:t>
      </w:r>
      <w:r>
        <w:rPr>
          <w:rFonts w:ascii="Times New Roman" w:cs="Times New Roman" w:eastAsia="Times New Roman" w:hAnsi="Times New Roman"/>
          <w:sz w:val="18"/>
          <w:szCs w:val="18"/>
          <w:color w:val="auto"/>
        </w:rPr>
        <w:t>Other revenues include certain access and communication fees, fees for non-cash collateral management, equity membership subscription fees,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fees for trade order routing through agreements from various strategic relationships. Access and communication fees are charged to customers that utilize various telecommunications networks and communications services. Fees for these services are generally billed monthly and the associated fee revenue is recognized as billed. Collateral management fees are charged to clearing firms that have non-cash collateral on deposit with the clearing house to meet their minimum performance bond and guaranty fund obligations on the exchange. These fees are calculated based on daily non-cash collateral balances and are billed monthly. This fee revenue is recognized monthly as billed as the customers receive and consume the benefits of the services. The company also has an equity membership program which provides equity members the option to substitute a monthly subscription fee for their existing requirement to hold CME Group Class A common stock. Choosing to pay this fee in lieu of holding Class A shares is entirely voluntary and the client’s choice. Fee revenue under this program is earned monthly as billed over the contractual term. Pricing for strategic relationships may be driven by customer levels and activity. There are fee arrangements which provide for monthly as well as quarterly payments in arrears. Revenue is recognized monthly for strategic relationship arrangements as the customers receive and consume the benefits of the services.</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The following table represents a disaggregation of revenue from contracts with customers by product line for the quarters ended September 30, 2024 and 2023:</w:t>
      </w:r>
    </w:p>
    <w:p>
      <w:pPr>
        <w:spacing w:after="0" w:line="7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9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5"/>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220" w:type="dxa"/>
            <w:vAlign w:val="bottom"/>
          </w:tcPr>
          <w:p>
            <w:pPr>
              <w:spacing w:after="0"/>
              <w:rPr>
                <w:sz w:val="13"/>
                <w:szCs w:val="13"/>
                <w:color w:val="auto"/>
              </w:rPr>
            </w:pPr>
          </w:p>
        </w:tc>
        <w:tc>
          <w:tcPr>
            <w:tcW w:w="1900" w:type="dxa"/>
            <w:vAlign w:val="bottom"/>
            <w:gridSpan w:val="4"/>
          </w:tcPr>
          <w:p>
            <w:pPr>
              <w:jc w:val="right"/>
              <w:ind w:right="37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6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940" w:type="dxa"/>
            <w:vAlign w:val="bottom"/>
            <w:gridSpan w:val="5"/>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220" w:type="dxa"/>
            <w:vAlign w:val="bottom"/>
          </w:tcPr>
          <w:p>
            <w:pPr>
              <w:spacing w:after="0"/>
              <w:rPr>
                <w:sz w:val="16"/>
                <w:szCs w:val="16"/>
                <w:color w:val="auto"/>
              </w:rPr>
            </w:pPr>
          </w:p>
        </w:tc>
        <w:tc>
          <w:tcPr>
            <w:tcW w:w="1900" w:type="dxa"/>
            <w:vAlign w:val="bottom"/>
            <w:gridSpan w:val="4"/>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September 30,</w:t>
            </w:r>
          </w:p>
        </w:tc>
      </w:tr>
      <w:tr>
        <w:trPr>
          <w:trHeight w:val="196"/>
        </w:trPr>
        <w:tc>
          <w:tcPr>
            <w:tcW w:w="69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top w:val="single" w:sz="8" w:color="auto"/>
              <w:bottom w:val="single" w:sz="8" w:color="auto"/>
            </w:tcBorders>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ind w:right="23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22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780" w:type="dxa"/>
            <w:vAlign w:val="bottom"/>
            <w:tcBorders>
              <w:top w:val="single" w:sz="8" w:color="auto"/>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445.8</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1,249.1</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1,148.5</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828.1</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767.6</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46.9</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138.9</w:t>
            </w: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432.5</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382.6</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204.9</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601.0</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521.1</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218.4</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166.9</w:t>
            </w:r>
          </w:p>
        </w:tc>
      </w:tr>
      <w:tr>
        <w:trPr>
          <w:trHeight w:val="230"/>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108.9</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9"/>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Interest rate swap</w:t>
            </w: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68.7</w:t>
            </w:r>
          </w:p>
        </w:tc>
        <w:tc>
          <w:tcPr>
            <w:tcW w:w="1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64.0</w:t>
            </w:r>
          </w:p>
        </w:tc>
      </w:tr>
      <w:tr>
        <w:trPr>
          <w:trHeight w:val="223"/>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clearing and transaction fees</w:t>
            </w: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1,085.5</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3,404.0</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496.5</w:t>
            </w:r>
          </w:p>
        </w:tc>
      </w:tr>
      <w:tr>
        <w:trPr>
          <w:trHeight w:val="230"/>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239.1</w:t>
            </w: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r>
        <w:trPr>
          <w:trHeight w:val="96"/>
        </w:trPr>
        <w:tc>
          <w:tcPr>
            <w:tcW w:w="69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0" w:type="dxa"/>
            <w:vAlign w:val="bottom"/>
          </w:tcPr>
          <w:p>
            <w:pPr>
              <w:spacing w:after="0"/>
              <w:rPr>
                <w:sz w:val="8"/>
                <w:szCs w:val="8"/>
                <w:color w:val="auto"/>
              </w:rPr>
            </w:pPr>
          </w:p>
        </w:tc>
        <w:tc>
          <w:tcPr>
            <w:tcW w:w="7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40" w:type="dxa"/>
            <w:vAlign w:val="bottom"/>
          </w:tcPr>
          <w:p>
            <w:pPr>
              <w:spacing w:after="0"/>
              <w:rPr>
                <w:sz w:val="8"/>
                <w:szCs w:val="8"/>
                <w:color w:val="auto"/>
              </w:rPr>
            </w:pPr>
          </w:p>
        </w:tc>
        <w:tc>
          <w:tcPr>
            <w:tcW w:w="140" w:type="dxa"/>
            <w:vAlign w:val="bottom"/>
          </w:tcPr>
          <w:p>
            <w:pPr>
              <w:spacing w:after="0"/>
              <w:rPr>
                <w:sz w:val="8"/>
                <w:szCs w:val="8"/>
                <w:color w:val="auto"/>
              </w:rPr>
            </w:pPr>
          </w:p>
        </w:tc>
        <w:tc>
          <w:tcPr>
            <w:tcW w:w="240" w:type="dxa"/>
            <w:vAlign w:val="bottom"/>
          </w:tcPr>
          <w:p>
            <w:pPr>
              <w:spacing w:after="0"/>
              <w:rPr>
                <w:sz w:val="8"/>
                <w:szCs w:val="8"/>
                <w:color w:val="auto"/>
              </w:rPr>
            </w:pPr>
          </w:p>
        </w:tc>
        <w:tc>
          <w:tcPr>
            <w:tcW w:w="780" w:type="dxa"/>
            <w:vAlign w:val="bottom"/>
          </w:tcPr>
          <w:p>
            <w:pPr>
              <w:spacing w:after="0"/>
              <w:rPr>
                <w:sz w:val="8"/>
                <w:szCs w:val="8"/>
                <w:color w:val="auto"/>
              </w:rPr>
            </w:pP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Timing of Revenue Recognition</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r>
      <w:tr>
        <w:trPr>
          <w:trHeight w:val="230"/>
        </w:trPr>
        <w:tc>
          <w:tcPr>
            <w:tcW w:w="6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Services transferred at a point in time</w:t>
            </w: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1,270.0</w:t>
            </w:r>
          </w:p>
        </w:tc>
        <w:tc>
          <w:tcPr>
            <w:tcW w:w="16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1,060.3</w:t>
            </w:r>
          </w:p>
        </w:tc>
        <w:tc>
          <w:tcPr>
            <w:tcW w:w="12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3,677.5</w:t>
            </w:r>
          </w:p>
        </w:tc>
        <w:tc>
          <w:tcPr>
            <w:tcW w:w="14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3,330.9</w:t>
            </w:r>
          </w:p>
        </w:tc>
      </w:tr>
      <w:tr>
        <w:trPr>
          <w:trHeight w:val="229"/>
        </w:trPr>
        <w:tc>
          <w:tcPr>
            <w:tcW w:w="6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Services transferred over time</w:t>
            </w: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309.5</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912.2</w:t>
            </w:r>
          </w:p>
        </w:tc>
        <w:tc>
          <w:tcPr>
            <w:tcW w:w="1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794.8</w:t>
            </w:r>
          </w:p>
        </w:tc>
      </w:tr>
      <w:tr>
        <w:trPr>
          <w:trHeight w:val="229"/>
        </w:trPr>
        <w:tc>
          <w:tcPr>
            <w:tcW w:w="6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One-time charges and miscellaneous revenues</w:t>
            </w: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1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r>
      <w:tr>
        <w:trPr>
          <w:trHeight w:val="248"/>
        </w:trPr>
        <w:tc>
          <w:tcPr>
            <w:tcW w:w="6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1,337.8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4,139.6</w:t>
            </w:r>
          </w:p>
        </w:tc>
      </w:tr>
      <w:tr>
        <w:trPr>
          <w:trHeight w:val="20"/>
        </w:trPr>
        <w:tc>
          <w:tcPr>
            <w:tcW w:w="6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results in billed accounts receivable, and customer advances and deposits (contract liabilities) on the consolidated balance sheets. Certain fees for transactions, annual licenses, and other revenue arrangements are billed upfront before revenue is recognized, which results in the recognition of contract liabilities. These liabilities are recognized on the consolidated balance sheets on a contract-by-contract basis upon commencement of services under the customer contract. These upfront customer payments are recognized as revenue over time as the obligations under the contracts are satisfied. Changes in the contract liability balances during the third quarter of 2024 were not materially impacted by any other factors. The balance of contract liabilities was $29.5 million and $13.2 million as of September 30, 2024 and December 31, 2023, respectively.</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Performance Bonds and Guaranty Fund Contributions</w:t>
      </w:r>
    </w:p>
    <w:p>
      <w:pPr>
        <w:spacing w:after="0" w:line="119" w:lineRule="exact"/>
        <w:rPr>
          <w:sz w:val="20"/>
          <w:szCs w:val="20"/>
          <w:color w:val="auto"/>
        </w:rPr>
      </w:pPr>
    </w:p>
    <w:p>
      <w:pPr>
        <w:ind w:right="120"/>
        <w:spacing w:after="0" w:line="256" w:lineRule="auto"/>
        <w:rPr>
          <w:sz w:val="20"/>
          <w:szCs w:val="20"/>
          <w:color w:val="auto"/>
        </w:rPr>
      </w:pPr>
      <w:r>
        <w:rPr>
          <w:rFonts w:ascii="Times New Roman" w:cs="Times New Roman" w:eastAsia="Times New Roman" w:hAnsi="Times New Roman"/>
          <w:sz w:val="18"/>
          <w:szCs w:val="18"/>
          <w:i w:val="1"/>
          <w:iCs w:val="1"/>
          <w:color w:val="auto"/>
        </w:rPr>
        <w:t xml:space="preserve">Performance Bonds and Guaranty Fund Contribution Reinvestment. </w:t>
      </w:r>
      <w:r>
        <w:rPr>
          <w:rFonts w:ascii="Times New Roman" w:cs="Times New Roman" w:eastAsia="Times New Roman" w:hAnsi="Times New Roman"/>
          <w:sz w:val="18"/>
          <w:szCs w:val="18"/>
          <w:color w:val="auto"/>
        </w:rPr>
        <w:t>CME reinvests cash performance bonds and guaranty fund contributions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distributes a portion of the interest earned back to the clearing firms. The reinvestment of cash can include certain commercial and central bank deposits, government securities, reverse repurchase agreements, and money market funds. CME has been designated as a systemically important financial market utility by the Financial Stability Oversight Council and is authorized to maintain cash accounts at the Federal Reserve Bank of Chicago. At September 30, 2024, CME maintained $87.7 billion within the cash account at the Federal Reserve Bank of Chicago. The cash deposit at the Federal Reserve Bank of Chicago is included within performance bonds and guaranty fund contributions on the consolidated balance sheets. Cash performance bonds and guaranty fund contributions are included as restricted cash and restricted cash equivalents on the consolidated statements of cash flows.</w:t>
      </w:r>
    </w:p>
    <w:p>
      <w:pPr>
        <w:spacing w:after="0" w:line="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the third quarter and first nine months of 2024, earnings from cash performance bond and guaranty fund contributions were $991.3 million and</w:t>
      </w:r>
    </w:p>
    <w:p>
      <w:pPr>
        <w:spacing w:after="0" w:line="27" w:lineRule="exact"/>
        <w:rPr>
          <w:sz w:val="20"/>
          <w:szCs w:val="20"/>
          <w:color w:val="auto"/>
        </w:rPr>
      </w:pPr>
    </w:p>
    <w:p>
      <w:pPr>
        <w:jc w:val="both"/>
        <w:ind w:right="120"/>
        <w:spacing w:after="0" w:line="253" w:lineRule="auto"/>
        <w:rPr>
          <w:sz w:val="20"/>
          <w:szCs w:val="20"/>
          <w:color w:val="auto"/>
        </w:rPr>
      </w:pPr>
      <w:r>
        <w:rPr>
          <w:rFonts w:ascii="Times New Roman" w:cs="Times New Roman" w:eastAsia="Times New Roman" w:hAnsi="Times New Roman"/>
          <w:sz w:val="18"/>
          <w:szCs w:val="18"/>
          <w:color w:val="auto"/>
        </w:rPr>
        <w:t>$3,035.6 million, compared with $1,246.5 million and $4,042.9 million in the third quarter and first nine months of 2023, respectively. In the third quarter and first nine months of 2024, expenses related to the distribution of interest earned on collateral reinvestments were $922.6 million and $2,829.4 million, compared with $1,160.5 million and $3,756.8 million in the third quarter and first nine months of 2023, respectively. The earnings from cash performance bonds and guaranty fund contributions are included in investment income and the expense related to the distribution of interest earned is included in other non-operating income (expense) on the consolidated statements of income.</w:t>
      </w:r>
    </w:p>
    <w:p>
      <w:pPr>
        <w:spacing w:after="0" w:line="77" w:lineRule="exact"/>
        <w:rPr>
          <w:sz w:val="20"/>
          <w:szCs w:val="20"/>
          <w:color w:val="auto"/>
        </w:rPr>
      </w:pPr>
    </w:p>
    <w:p>
      <w:pPr>
        <w:ind w:right="60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Clearing House Contract Settlement. </w:t>
      </w:r>
      <w:r>
        <w:rPr>
          <w:rFonts w:ascii="Times New Roman" w:cs="Times New Roman" w:eastAsia="Times New Roman" w:hAnsi="Times New Roman"/>
          <w:sz w:val="18"/>
          <w:szCs w:val="18"/>
          <w:color w:val="auto"/>
        </w:rPr>
        <w:t>The clearing house marks-to-market open positions at least once a day (twice a day for all futures and options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contracts). Based on values derived from the mark-to-market process, the clearing house requires payments</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from clearing firms whose positions have lost value and makes payments to clearing firms whose positions have gained value. Under the extremely unlikely scenario of simultaneous default by every clearing firm who has open positions with unrealized losses, the maximum exposure related to positions other than cleared-only interest rate swap contracts would be one half day of changes in fair value of all open positions, before considering the clearing house’s ability to access defaulting clearing firms' collateral deposits.</w:t>
      </w:r>
    </w:p>
    <w:p>
      <w:pPr>
        <w:spacing w:after="0" w:line="72"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For cleared interest rate swap contracts, the maximum exposure at the time of default related to the clearing house’s guarantee would be one full day of changes in fair value of all open positions, before considering the clearing house’s ability to access defaulting clearing firms' collateral.</w:t>
      </w:r>
    </w:p>
    <w:p>
      <w:pPr>
        <w:spacing w:after="0" w:line="5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color w:val="auto"/>
        </w:rPr>
        <w:t>During the first nine months of 2024, the clearing house transferred an average of approximately $5.7 billion a day through its clearing systems for settlement from clearing firms whose positions had lost value to clearing firms whose positions had gained value. The clearing house reduces its guarantee exposure through initial and maintenance performance bond requirements and mandatory guaranty fund contributions. Management has assessed the fair value of the company’s settlement guarantee liability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September 30, 2024 and December 31, 2023. The company does not have a history of significant losses recognized on performance bond collateral as posted by our clearing members, and management currently does not anticipate any future credit losses on its performance bond assets. Accordingly, the company has not provided an allowance for credit losses on these performance bond deposits, nor has it recorded any liabilities to reflect an allowance for credit losses related to our off-balance sheet credit exposures and guarantees.</w:t>
      </w:r>
    </w:p>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180"/>
          </w:cols>
          <w:pgMar w:left="320" w:top="121" w:right="39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Intangible Assets and Goodwill</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Intangible assets consisted of the following at September 30, 2024 and December 31, 2023:</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40" w:type="dxa"/>
            <w:vAlign w:val="bottom"/>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September 30, 2024</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68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12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w w:val="97"/>
              </w:rPr>
              <w:t>December 31, 2023</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47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160" w:type="dxa"/>
            <w:vAlign w:val="bottom"/>
          </w:tcPr>
          <w:p>
            <w:pPr>
              <w:spacing w:after="0"/>
              <w:rPr>
                <w:sz w:val="11"/>
                <w:szCs w:val="11"/>
                <w:color w:val="auto"/>
              </w:rPr>
            </w:pPr>
          </w:p>
        </w:tc>
        <w:tc>
          <w:tcPr>
            <w:tcW w:w="820" w:type="dxa"/>
            <w:vAlign w:val="bottom"/>
          </w:tcPr>
          <w:p>
            <w:pPr>
              <w:jc w:val="right"/>
              <w:ind w:right="160"/>
              <w:spacing w:after="0" w:line="12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0" w:type="dxa"/>
            <w:vAlign w:val="bottom"/>
            <w:gridSpan w:val="2"/>
          </w:tcPr>
          <w:p>
            <w:pPr>
              <w:ind w:left="40"/>
              <w:spacing w:after="0" w:line="128" w:lineRule="exact"/>
              <w:rPr>
                <w:sz w:val="20"/>
                <w:szCs w:val="20"/>
                <w:color w:val="auto"/>
              </w:rPr>
            </w:pPr>
            <w:r>
              <w:rPr>
                <w:rFonts w:ascii="Times New Roman" w:cs="Times New Roman" w:eastAsia="Times New Roman" w:hAnsi="Times New Roman"/>
                <w:sz w:val="13"/>
                <w:szCs w:val="13"/>
                <w:b w:val="1"/>
                <w:bCs w:val="1"/>
                <w:color w:val="auto"/>
              </w:rPr>
              <w:t>Accumulated</w:t>
            </w:r>
          </w:p>
        </w:tc>
        <w:tc>
          <w:tcPr>
            <w:tcW w:w="200" w:type="dxa"/>
            <w:vAlign w:val="bottom"/>
          </w:tcPr>
          <w:p>
            <w:pPr>
              <w:spacing w:after="0"/>
              <w:rPr>
                <w:sz w:val="11"/>
                <w:szCs w:val="11"/>
                <w:color w:val="auto"/>
              </w:rPr>
            </w:pPr>
          </w:p>
        </w:tc>
        <w:tc>
          <w:tcPr>
            <w:tcW w:w="840" w:type="dxa"/>
            <w:vAlign w:val="bottom"/>
          </w:tcPr>
          <w:p>
            <w:pPr>
              <w:jc w:val="right"/>
              <w:ind w:right="180"/>
              <w:spacing w:after="0" w:line="128" w:lineRule="exact"/>
              <w:rPr>
                <w:sz w:val="20"/>
                <w:szCs w:val="20"/>
                <w:color w:val="auto"/>
              </w:rPr>
            </w:pPr>
            <w:r>
              <w:rPr>
                <w:rFonts w:ascii="Times New Roman" w:cs="Times New Roman" w:eastAsia="Times New Roman" w:hAnsi="Times New Roman"/>
                <w:sz w:val="13"/>
                <w:szCs w:val="13"/>
                <w:b w:val="1"/>
                <w:bCs w:val="1"/>
                <w:color w:val="auto"/>
              </w:rPr>
              <w:t>Net Book</w:t>
            </w:r>
          </w:p>
        </w:tc>
        <w:tc>
          <w:tcPr>
            <w:tcW w:w="0" w:type="dxa"/>
            <w:vAlign w:val="bottom"/>
          </w:tcPr>
          <w:p>
            <w:pPr>
              <w:spacing w:after="0"/>
              <w:rPr>
                <w:sz w:val="1"/>
                <w:szCs w:val="1"/>
                <w:color w:val="auto"/>
              </w:rPr>
            </w:pPr>
          </w:p>
        </w:tc>
      </w:tr>
      <w:tr>
        <w:trPr>
          <w:trHeight w:val="176"/>
        </w:trPr>
        <w:tc>
          <w:tcPr>
            <w:tcW w:w="4740" w:type="dxa"/>
            <w:vAlign w:val="bottom"/>
            <w:tcBorders>
              <w:bottom w:val="single" w:sz="8" w:color="auto"/>
            </w:tcBorders>
            <w:vMerge w:val="continue"/>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1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26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8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3"/>
          </w:tcPr>
          <w:p>
            <w:pPr>
              <w:ind w:left="40"/>
              <w:spacing w:after="0"/>
              <w:rPr>
                <w:sz w:val="20"/>
                <w:szCs w:val="20"/>
                <w:color w:val="auto"/>
              </w:rPr>
            </w:pPr>
            <w:r>
              <w:rPr>
                <w:rFonts w:ascii="Times New Roman" w:cs="Times New Roman" w:eastAsia="Times New Roman" w:hAnsi="Times New Roman"/>
                <w:sz w:val="13"/>
                <w:szCs w:val="13"/>
                <w:b w:val="1"/>
                <w:bCs w:val="1"/>
                <w:color w:val="auto"/>
              </w:rPr>
              <w:t>Assigned Value</w:t>
            </w:r>
          </w:p>
        </w:tc>
        <w:tc>
          <w:tcPr>
            <w:tcW w:w="12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Amortization</w:t>
            </w:r>
          </w:p>
        </w:tc>
        <w:tc>
          <w:tcPr>
            <w:tcW w:w="20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280"/>
              <w:spacing w:after="0"/>
              <w:rPr>
                <w:sz w:val="20"/>
                <w:szCs w:val="20"/>
                <w:color w:val="auto"/>
              </w:rPr>
            </w:pPr>
            <w:r>
              <w:rPr>
                <w:rFonts w:ascii="Times New Roman" w:cs="Times New Roman" w:eastAsia="Times New Roman" w:hAnsi="Times New Roman"/>
                <w:sz w:val="13"/>
                <w:szCs w:val="13"/>
                <w:b w:val="1"/>
                <w:bCs w:val="1"/>
                <w:color w:val="auto"/>
              </w:rPr>
              <w:t>Value</w:t>
            </w: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Amortizable Intangible Assets: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7"/>
        </w:trPr>
        <w:tc>
          <w:tcPr>
            <w:tcW w:w="4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Clearing firm, market data and other customer relationships</w:t>
            </w:r>
          </w:p>
        </w:tc>
        <w:tc>
          <w:tcPr>
            <w:tcW w:w="220" w:type="dxa"/>
            <w:vAlign w:val="bottom"/>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4,706.9</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(2,289.9)</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2,417.0</w:t>
            </w:r>
          </w:p>
        </w:tc>
        <w:tc>
          <w:tcPr>
            <w:tcW w:w="280" w:type="dxa"/>
            <w:vAlign w:val="bottom"/>
            <w:gridSpan w:val="2"/>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4,694.4</w:t>
            </w:r>
          </w:p>
        </w:tc>
        <w:tc>
          <w:tcPr>
            <w:tcW w:w="1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(2,124.9)</w:t>
            </w:r>
          </w:p>
        </w:tc>
        <w:tc>
          <w:tcPr>
            <w:tcW w:w="80" w:type="dxa"/>
            <w:vAlign w:val="bottom"/>
          </w:tcPr>
          <w:p>
            <w:pPr>
              <w:spacing w:after="0"/>
              <w:rPr>
                <w:sz w:val="19"/>
                <w:szCs w:val="19"/>
                <w:color w:val="auto"/>
              </w:rPr>
            </w:pPr>
          </w:p>
        </w:tc>
        <w:tc>
          <w:tcPr>
            <w:tcW w:w="200" w:type="dxa"/>
            <w:vAlign w:val="bottom"/>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2,569.5</w:t>
            </w:r>
          </w:p>
        </w:tc>
        <w:tc>
          <w:tcPr>
            <w:tcW w:w="0" w:type="dxa"/>
            <w:vAlign w:val="bottom"/>
          </w:tcPr>
          <w:p>
            <w:pPr>
              <w:spacing w:after="0"/>
              <w:rPr>
                <w:sz w:val="1"/>
                <w:szCs w:val="1"/>
                <w:color w:val="auto"/>
              </w:rPr>
            </w:pPr>
          </w:p>
        </w:tc>
      </w:tr>
      <w:tr>
        <w:trPr>
          <w:trHeight w:val="232"/>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Technology-related intellectual property</w:t>
            </w:r>
          </w:p>
        </w:tc>
        <w:tc>
          <w:tcPr>
            <w:tcW w:w="2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62.5</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(62.2)</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0.3</w:t>
            </w:r>
          </w:p>
        </w:tc>
        <w:tc>
          <w:tcPr>
            <w:tcW w:w="0" w:type="dxa"/>
            <w:vAlign w:val="bottom"/>
          </w:tcPr>
          <w:p>
            <w:pPr>
              <w:spacing w:after="0"/>
              <w:rPr>
                <w:sz w:val="1"/>
                <w:szCs w:val="1"/>
                <w:color w:val="auto"/>
              </w:rPr>
            </w:pPr>
          </w:p>
        </w:tc>
      </w:tr>
      <w:tr>
        <w:trPr>
          <w:trHeight w:val="227"/>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2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(48.4)</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30.4</w:t>
            </w:r>
          </w:p>
        </w:tc>
        <w:tc>
          <w:tcPr>
            <w:tcW w:w="0" w:type="dxa"/>
            <w:vAlign w:val="bottom"/>
          </w:tcPr>
          <w:p>
            <w:pPr>
              <w:spacing w:after="0"/>
              <w:rPr>
                <w:sz w:val="1"/>
                <w:szCs w:val="1"/>
                <w:color w:val="auto"/>
              </w:rPr>
            </w:pPr>
          </w:p>
        </w:tc>
      </w:tr>
      <w:tr>
        <w:trPr>
          <w:trHeight w:val="247"/>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amortizable intangible assets</w:t>
            </w:r>
          </w:p>
        </w:tc>
        <w:tc>
          <w:tcPr>
            <w:tcW w:w="220" w:type="dxa"/>
            <w:vAlign w:val="bottom"/>
            <w:tcBorders>
              <w:bottom w:val="single" w:sz="8" w:color="auto"/>
            </w:tcBorders>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w w:val="93"/>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4,843.0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(2,400.8)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4,828.5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(2,228.3)</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1"/>
        </w:trPr>
        <w:tc>
          <w:tcPr>
            <w:tcW w:w="4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Indefinite-Lived Intangible Assets:</w:t>
            </w:r>
          </w:p>
        </w:tc>
        <w:tc>
          <w:tcPr>
            <w:tcW w:w="2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7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Trade names</w:t>
            </w:r>
          </w:p>
        </w:tc>
        <w:tc>
          <w:tcPr>
            <w:tcW w:w="22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CCEEFF"/>
            </w:tcBorders>
          </w:tcPr>
          <w:p>
            <w:pPr>
              <w:spacing w:after="0"/>
              <w:rPr>
                <w:sz w:val="19"/>
                <w:szCs w:val="19"/>
                <w:color w:val="auto"/>
              </w:rPr>
            </w:pPr>
          </w:p>
        </w:tc>
        <w:tc>
          <w:tcPr>
            <w:tcW w:w="68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9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450.0</w:t>
            </w:r>
          </w:p>
        </w:tc>
        <w:tc>
          <w:tcPr>
            <w:tcW w:w="0" w:type="dxa"/>
            <w:vAlign w:val="bottom"/>
          </w:tcPr>
          <w:p>
            <w:pPr>
              <w:spacing w:after="0"/>
              <w:rPr>
                <w:sz w:val="1"/>
                <w:szCs w:val="1"/>
                <w:color w:val="auto"/>
              </w:rPr>
            </w:pPr>
          </w:p>
        </w:tc>
      </w:tr>
      <w:tr>
        <w:trPr>
          <w:trHeight w:val="248"/>
        </w:trPr>
        <w:tc>
          <w:tcPr>
            <w:tcW w:w="4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Total intangible assets – other, net</w:t>
            </w:r>
          </w:p>
        </w:tc>
        <w:tc>
          <w:tcPr>
            <w:tcW w:w="22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2,892.2</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3,050.2</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7"/>
        </w:trPr>
        <w:tc>
          <w:tcPr>
            <w:tcW w:w="4740" w:type="dxa"/>
            <w:vAlign w:val="bottom"/>
          </w:tcPr>
          <w:p>
            <w:pPr>
              <w:ind w:left="20"/>
              <w:spacing w:after="0" w:line="207" w:lineRule="exact"/>
              <w:rPr>
                <w:sz w:val="20"/>
                <w:szCs w:val="20"/>
                <w:color w:val="auto"/>
              </w:rPr>
            </w:pPr>
            <w:r>
              <w:rPr>
                <w:rFonts w:ascii="Times New Roman" w:cs="Times New Roman" w:eastAsia="Times New Roman" w:hAnsi="Times New Roman"/>
                <w:sz w:val="16"/>
                <w:szCs w:val="16"/>
                <w:color w:val="auto"/>
              </w:rPr>
              <w:t xml:space="preserve">Trading products </w:t>
            </w:r>
            <w:r>
              <w:rPr>
                <w:rFonts w:ascii="Times New Roman" w:cs="Times New Roman" w:eastAsia="Times New Roman" w:hAnsi="Times New Roman"/>
                <w:sz w:val="21"/>
                <w:szCs w:val="21"/>
                <w:color w:val="auto"/>
                <w:vertAlign w:val="superscript"/>
              </w:rPr>
              <w:t>(1)</w:t>
            </w:r>
          </w:p>
        </w:tc>
        <w:tc>
          <w:tcPr>
            <w:tcW w:w="2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17,175.3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17,175.3</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660" w:right="40" w:hanging="328"/>
        <w:spacing w:after="0" w:line="269"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Trading products represent futures and options products acquired in our business combinations with CBOT Holdings, Inc., NYMEX Holdings, Inc. and The Board of Trade of Kansas City, Missouri, Inc. Clearing and transaction fees are generated through the trading of these products. These trading products, most of which have traded for decades, require authorization from the Commodity Futures Trading Commission (CFTC). Product authorizations from the CFTC have no term limits.</w:t>
      </w:r>
    </w:p>
    <w:p>
      <w:pPr>
        <w:spacing w:after="0" w:line="62"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Total amortization expense for intangible assets was $55.7 million and $57.2 million for the quarters ended September 30, 2024 and 2023, respectively. Total amortization expense for intangible assets was $166.4 million and $171.0 million for the nine months ended September 30, 2024 and 2023, respectively.</w:t>
      </w:r>
    </w:p>
    <w:p>
      <w:pPr>
        <w:spacing w:after="0" w:line="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September 30, 2024, the future estimated amortization expense related to amortizable intangible assets is expected to be as follows:</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80" w:type="dxa"/>
            <w:vAlign w:val="bottom"/>
          </w:tcPr>
          <w:p>
            <w:pPr>
              <w:spacing w:after="0"/>
              <w:rPr>
                <w:sz w:val="16"/>
                <w:szCs w:val="16"/>
                <w:color w:val="auto"/>
              </w:rPr>
            </w:pPr>
          </w:p>
        </w:tc>
        <w:tc>
          <w:tcPr>
            <w:tcW w:w="1820" w:type="dxa"/>
            <w:vAlign w:val="bottom"/>
            <w:gridSpan w:val="2"/>
          </w:tcPr>
          <w:p>
            <w:pPr>
              <w:ind w:left="40"/>
              <w:spacing w:after="0"/>
              <w:rPr>
                <w:sz w:val="20"/>
                <w:szCs w:val="20"/>
                <w:color w:val="auto"/>
              </w:rPr>
            </w:pPr>
            <w:r>
              <w:rPr>
                <w:rFonts w:ascii="Times New Roman" w:cs="Times New Roman" w:eastAsia="Times New Roman" w:hAnsi="Times New Roman"/>
                <w:sz w:val="14"/>
                <w:szCs w:val="14"/>
                <w:b w:val="1"/>
                <w:bCs w:val="1"/>
                <w:color w:val="auto"/>
              </w:rPr>
              <w:t>Amortization Expense</w:t>
            </w:r>
          </w:p>
        </w:tc>
        <w:tc>
          <w:tcPr>
            <w:tcW w:w="0" w:type="dxa"/>
            <w:vAlign w:val="bottom"/>
          </w:tcPr>
          <w:p>
            <w:pPr>
              <w:spacing w:after="0"/>
              <w:rPr>
                <w:sz w:val="1"/>
                <w:szCs w:val="1"/>
                <w:color w:val="auto"/>
              </w:rPr>
            </w:pPr>
          </w:p>
        </w:tc>
      </w:tr>
      <w:tr>
        <w:trPr>
          <w:trHeight w:val="23"/>
        </w:trPr>
        <w:tc>
          <w:tcPr>
            <w:tcW w:w="8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88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55.8</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223.2</w:t>
            </w:r>
          </w:p>
        </w:tc>
        <w:tc>
          <w:tcPr>
            <w:tcW w:w="0" w:type="dxa"/>
            <w:vAlign w:val="bottom"/>
          </w:tcPr>
          <w:p>
            <w:pPr>
              <w:spacing w:after="0"/>
              <w:rPr>
                <w:sz w:val="1"/>
                <w:szCs w:val="1"/>
                <w:color w:val="auto"/>
              </w:rPr>
            </w:pPr>
          </w:p>
        </w:tc>
      </w:tr>
      <w:tr>
        <w:trPr>
          <w:trHeight w:val="230"/>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221.9</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29"/>
        </w:trPr>
        <w:tc>
          <w:tcPr>
            <w:tcW w:w="8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215.3</w:t>
            </w:r>
          </w:p>
        </w:tc>
        <w:tc>
          <w:tcPr>
            <w:tcW w:w="0" w:type="dxa"/>
            <w:vAlign w:val="bottom"/>
          </w:tcPr>
          <w:p>
            <w:pPr>
              <w:spacing w:after="0"/>
              <w:rPr>
                <w:sz w:val="1"/>
                <w:szCs w:val="1"/>
                <w:color w:val="auto"/>
              </w:rPr>
            </w:pPr>
          </w:p>
        </w:tc>
      </w:tr>
      <w:tr>
        <w:trPr>
          <w:trHeight w:val="230"/>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1,287.5</w:t>
            </w:r>
          </w:p>
        </w:tc>
        <w:tc>
          <w:tcPr>
            <w:tcW w:w="0" w:type="dxa"/>
            <w:vAlign w:val="bottom"/>
          </w:tcPr>
          <w:p>
            <w:pPr>
              <w:spacing w:after="0"/>
              <w:rPr>
                <w:sz w:val="1"/>
                <w:szCs w:val="1"/>
                <w:color w:val="auto"/>
              </w:rPr>
            </w:pPr>
          </w:p>
        </w:tc>
      </w:tr>
      <w:tr>
        <w:trPr>
          <w:trHeight w:val="324"/>
        </w:trPr>
        <w:tc>
          <w:tcPr>
            <w:tcW w:w="8540" w:type="dxa"/>
            <w:vAlign w:val="bottom"/>
          </w:tcPr>
          <w:p>
            <w:pPr>
              <w:spacing w:after="0"/>
              <w:rPr>
                <w:sz w:val="20"/>
                <w:szCs w:val="20"/>
                <w:color w:val="auto"/>
              </w:rPr>
            </w:pPr>
            <w:r>
              <w:rPr>
                <w:rFonts w:ascii="Times New Roman" w:cs="Times New Roman" w:eastAsia="Times New Roman" w:hAnsi="Times New Roman"/>
                <w:sz w:val="18"/>
                <w:szCs w:val="18"/>
                <w:color w:val="auto"/>
              </w:rPr>
              <w:t>Goodwill activity consisted of the following for the periods ended September 30, 2024 and December 31, 2023</w:t>
            </w:r>
            <w:r>
              <w:rPr>
                <w:rFonts w:ascii="Times New Roman" w:cs="Times New Roman" w:eastAsia="Times New Roman" w:hAnsi="Times New Roman"/>
                <w:sz w:val="16"/>
                <w:szCs w:val="16"/>
                <w:color w:val="auto"/>
              </w:rPr>
              <w:t>:</w:t>
            </w: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0"/>
        </w:trPr>
        <w:tc>
          <w:tcPr>
            <w:tcW w:w="85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88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Goodwill</w:t>
            </w:r>
          </w:p>
        </w:tc>
        <w:tc>
          <w:tcPr>
            <w:tcW w:w="0" w:type="dxa"/>
            <w:vAlign w:val="bottom"/>
          </w:tcPr>
          <w:p>
            <w:pPr>
              <w:spacing w:after="0"/>
              <w:rPr>
                <w:sz w:val="1"/>
                <w:szCs w:val="1"/>
                <w:color w:val="auto"/>
              </w:rPr>
            </w:pPr>
          </w:p>
        </w:tc>
      </w:tr>
      <w:tr>
        <w:trPr>
          <w:trHeight w:val="23"/>
        </w:trPr>
        <w:tc>
          <w:tcPr>
            <w:tcW w:w="85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1240" w:type="dxa"/>
            <w:vAlign w:val="bottom"/>
            <w:gridSpan w:val="2"/>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10,482.5</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0" w:type="dxa"/>
            <w:vAlign w:val="bottom"/>
          </w:tcPr>
          <w:p>
            <w:pPr>
              <w:spacing w:after="0"/>
              <w:rPr>
                <w:sz w:val="1"/>
                <w:szCs w:val="1"/>
                <w:color w:val="auto"/>
              </w:rPr>
            </w:pPr>
          </w:p>
        </w:tc>
      </w:tr>
      <w:tr>
        <w:trPr>
          <w:trHeight w:val="223"/>
        </w:trPr>
        <w:tc>
          <w:tcPr>
            <w:tcW w:w="8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8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10,495.3</w:t>
            </w:r>
          </w:p>
        </w:tc>
        <w:tc>
          <w:tcPr>
            <w:tcW w:w="0" w:type="dxa"/>
            <w:vAlign w:val="bottom"/>
          </w:tcPr>
          <w:p>
            <w:pPr>
              <w:spacing w:after="0"/>
              <w:rPr>
                <w:sz w:val="1"/>
                <w:szCs w:val="1"/>
                <w:color w:val="auto"/>
              </w:rPr>
            </w:pPr>
          </w:p>
        </w:tc>
      </w:tr>
      <w:tr>
        <w:trPr>
          <w:trHeight w:val="230"/>
        </w:trPr>
        <w:tc>
          <w:tcPr>
            <w:tcW w:w="85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8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18.8</w:t>
            </w:r>
          </w:p>
        </w:tc>
        <w:tc>
          <w:tcPr>
            <w:tcW w:w="0" w:type="dxa"/>
            <w:vAlign w:val="bottom"/>
          </w:tcPr>
          <w:p>
            <w:pPr>
              <w:spacing w:after="0"/>
              <w:rPr>
                <w:sz w:val="1"/>
                <w:szCs w:val="1"/>
                <w:color w:val="auto"/>
              </w:rPr>
            </w:pPr>
          </w:p>
        </w:tc>
      </w:tr>
      <w:tr>
        <w:trPr>
          <w:trHeight w:val="248"/>
        </w:trPr>
        <w:tc>
          <w:tcPr>
            <w:tcW w:w="8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10,514.1</w:t>
            </w:r>
          </w:p>
        </w:tc>
        <w:tc>
          <w:tcPr>
            <w:tcW w:w="0" w:type="dxa"/>
            <w:vAlign w:val="bottom"/>
          </w:tcPr>
          <w:p>
            <w:pPr>
              <w:spacing w:after="0"/>
              <w:rPr>
                <w:sz w:val="1"/>
                <w:szCs w:val="1"/>
                <w:color w:val="auto"/>
              </w:rPr>
            </w:pPr>
          </w:p>
        </w:tc>
      </w:tr>
      <w:tr>
        <w:trPr>
          <w:trHeight w:val="20"/>
        </w:trPr>
        <w:tc>
          <w:tcPr>
            <w:tcW w:w="8540" w:type="dxa"/>
            <w:vAlign w:val="bottom"/>
            <w:tcBorders>
              <w:top w:val="single" w:sz="8" w:color="CCEEFF"/>
              <w:bottom w:val="single" w:sz="8" w:color="CCEEFF"/>
            </w:tcBorders>
            <w:vMerge w:val="restart"/>
          </w:tcPr>
          <w:p>
            <w:pPr>
              <w:ind w:left="5540"/>
              <w:spacing w:after="0"/>
              <w:rPr>
                <w:sz w:val="20"/>
                <w:szCs w:val="20"/>
                <w:color w:val="auto"/>
              </w:rPr>
            </w:pPr>
            <w:r>
              <w:rPr>
                <w:rFonts w:ascii="Times New Roman" w:cs="Times New Roman" w:eastAsia="Times New Roman" w:hAnsi="Times New Roman"/>
                <w:sz w:val="18"/>
                <w:szCs w:val="18"/>
                <w:color w:val="auto"/>
              </w:rPr>
              <w:t>15</w:t>
            </w:r>
          </w:p>
        </w:tc>
        <w:tc>
          <w:tcPr>
            <w:tcW w:w="8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2"/>
        </w:trPr>
        <w:tc>
          <w:tcPr>
            <w:tcW w:w="8540" w:type="dxa"/>
            <w:vAlign w:val="bottom"/>
            <w:vMerge w:val="continue"/>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854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146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Debt</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debt consisted of the following at September 30, 2024 and December 31,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20" w:type="dxa"/>
            <w:vAlign w:val="bottom"/>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3"/>
                <w:szCs w:val="23"/>
                <w:color w:val="auto"/>
                <w:vertAlign w:val="superscript"/>
              </w:rPr>
              <w:t>(1)</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short-term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749.7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8"/>
                <w:szCs w:val="18"/>
                <w:color w:val="auto"/>
              </w:rPr>
              <w:t>—</w:t>
            </w:r>
          </w:p>
        </w:tc>
      </w:tr>
      <w:tr>
        <w:trPr>
          <w:trHeight w:val="21"/>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75" w:lineRule="exact"/>
        <w:rPr>
          <w:sz w:val="20"/>
          <w:szCs w:val="20"/>
          <w:color w:val="auto"/>
        </w:rPr>
      </w:pPr>
    </w:p>
    <w:p>
      <w:pPr>
        <w:ind w:left="660" w:right="440" w:hanging="328"/>
        <w:spacing w:after="0" w:line="245"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at September 30, 2024 and December 31, 2023:</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7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60" w:type="dxa"/>
            <w:vAlign w:val="bottom"/>
          </w:tcPr>
          <w:p>
            <w:pPr>
              <w:spacing w:after="0"/>
              <w:rPr>
                <w:sz w:val="16"/>
                <w:szCs w:val="16"/>
                <w:color w:val="auto"/>
              </w:rPr>
            </w:pPr>
          </w:p>
        </w:tc>
        <w:tc>
          <w:tcPr>
            <w:tcW w:w="158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0" w:type="dxa"/>
            <w:vAlign w:val="bottom"/>
          </w:tcPr>
          <w:p>
            <w:pPr>
              <w:spacing w:after="0"/>
              <w:rPr>
                <w:sz w:val="16"/>
                <w:szCs w:val="16"/>
                <w:color w:val="auto"/>
              </w:rPr>
            </w:pPr>
          </w:p>
        </w:tc>
        <w:tc>
          <w:tcPr>
            <w:tcW w:w="152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2023</w:t>
            </w:r>
          </w:p>
        </w:tc>
      </w:tr>
      <w:tr>
        <w:trPr>
          <w:trHeight w:val="23"/>
        </w:trPr>
        <w:tc>
          <w:tcPr>
            <w:tcW w:w="77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23"/>
        </w:trPr>
        <w:tc>
          <w:tcPr>
            <w:tcW w:w="77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$750.0 million fixed rate notes due March 2025, stated rate of 3.00% </w:t>
            </w:r>
            <w:r>
              <w:rPr>
                <w:rFonts w:ascii="Times New Roman" w:cs="Times New Roman" w:eastAsia="Times New Roman" w:hAnsi="Times New Roman"/>
                <w:sz w:val="23"/>
                <w:szCs w:val="23"/>
                <w:color w:val="auto"/>
                <w:vertAlign w:val="superscript"/>
              </w:rPr>
              <w:t>(1)</w:t>
            </w:r>
          </w:p>
        </w:tc>
        <w:tc>
          <w:tcPr>
            <w:tcW w:w="16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749.1</w:t>
            </w:r>
          </w:p>
        </w:tc>
      </w:tr>
      <w:tr>
        <w:trPr>
          <w:trHeight w:val="230"/>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 stated rate of 3.75%</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498.1</w:t>
            </w:r>
          </w:p>
        </w:tc>
      </w:tr>
      <w:tr>
        <w:trPr>
          <w:trHeight w:val="229"/>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 stated rate of 2.65%</w:t>
            </w:r>
          </w:p>
        </w:tc>
        <w:tc>
          <w:tcPr>
            <w:tcW w:w="16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742.9</w:t>
            </w:r>
          </w:p>
        </w:tc>
      </w:tr>
      <w:tr>
        <w:trPr>
          <w:trHeight w:val="229"/>
        </w:trPr>
        <w:tc>
          <w:tcPr>
            <w:tcW w:w="77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$750.0 million fixed rate notes due September 2043, stated rate of 5.30% </w:t>
            </w:r>
            <w:r>
              <w:rPr>
                <w:rFonts w:ascii="Times New Roman" w:cs="Times New Roman" w:eastAsia="Times New Roman" w:hAnsi="Times New Roman"/>
                <w:sz w:val="23"/>
                <w:szCs w:val="23"/>
                <w:color w:val="auto"/>
                <w:vertAlign w:val="superscript"/>
              </w:rPr>
              <w:t>(2)</w:t>
            </w:r>
          </w:p>
        </w:tc>
        <w:tc>
          <w:tcPr>
            <w:tcW w:w="1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744.0</w:t>
            </w:r>
          </w:p>
        </w:tc>
      </w:tr>
      <w:tr>
        <w:trPr>
          <w:trHeight w:val="230"/>
        </w:trPr>
        <w:tc>
          <w:tcPr>
            <w:tcW w:w="7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 stated rate of 4.15%</w:t>
            </w:r>
          </w:p>
        </w:tc>
        <w:tc>
          <w:tcPr>
            <w:tcW w:w="16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691.3</w:t>
            </w:r>
          </w:p>
        </w:tc>
      </w:tr>
      <w:tr>
        <w:trPr>
          <w:trHeight w:val="223"/>
        </w:trPr>
        <w:tc>
          <w:tcPr>
            <w:tcW w:w="77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long-term debt</w:t>
            </w: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2,677.7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3,425.4</w:t>
            </w:r>
          </w:p>
        </w:tc>
      </w:tr>
      <w:tr>
        <w:trPr>
          <w:trHeight w:val="21"/>
        </w:trPr>
        <w:tc>
          <w:tcPr>
            <w:tcW w:w="7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89" w:lineRule="exact"/>
        <w:rPr>
          <w:sz w:val="20"/>
          <w:szCs w:val="20"/>
          <w:color w:val="auto"/>
        </w:rPr>
      </w:pPr>
    </w:p>
    <w:p>
      <w:pPr>
        <w:ind w:left="660" w:right="440" w:hanging="328"/>
        <w:spacing w:after="0" w:line="280"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3.11%.</w:t>
      </w:r>
    </w:p>
    <w:p>
      <w:pPr>
        <w:spacing w:after="0" w:line="70" w:lineRule="exact"/>
        <w:rPr>
          <w:rFonts w:ascii="Times New Roman" w:cs="Times New Roman" w:eastAsia="Times New Roman" w:hAnsi="Times New Roman"/>
          <w:sz w:val="16"/>
          <w:szCs w:val="16"/>
          <w:color w:val="auto"/>
        </w:rPr>
      </w:pPr>
    </w:p>
    <w:p>
      <w:pPr>
        <w:ind w:left="660" w:right="440" w:hanging="328"/>
        <w:spacing w:after="0" w:line="280" w:lineRule="auto"/>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 maintained a forward-starting interest rate swap agreement that modified the interest obligation associated with these notes so that the interest payable on the notes effectively became fixed at a rate of 4.73%.</w:t>
      </w:r>
    </w:p>
    <w:p>
      <w:pPr>
        <w:spacing w:after="0" w:line="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maturities, at par value, were as follows at September 30, 2024:</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6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800" w:type="dxa"/>
            <w:vAlign w:val="bottom"/>
          </w:tcPr>
          <w:p>
            <w:pPr>
              <w:spacing w:after="0"/>
              <w:rPr>
                <w:sz w:val="16"/>
                <w:szCs w:val="16"/>
                <w:color w:val="auto"/>
              </w:rPr>
            </w:pPr>
          </w:p>
        </w:tc>
        <w:tc>
          <w:tcPr>
            <w:tcW w:w="1040" w:type="dxa"/>
            <w:vAlign w:val="bottom"/>
          </w:tcPr>
          <w:p>
            <w:pPr>
              <w:jc w:val="right"/>
              <w:ind w:right="25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5360" w:type="dxa"/>
            <w:vAlign w:val="bottom"/>
            <w:tcBorders>
              <w:bottom w:val="single" w:sz="8" w:color="auto"/>
            </w:tcBorders>
          </w:tcPr>
          <w:p>
            <w:pPr>
              <w:spacing w:after="0"/>
              <w:rPr>
                <w:sz w:val="2"/>
                <w:szCs w:val="2"/>
                <w:color w:val="auto"/>
              </w:rPr>
            </w:pPr>
          </w:p>
        </w:tc>
        <w:tc>
          <w:tcPr>
            <w:tcW w:w="48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23"/>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48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48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53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48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53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48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2,200.0</w:t>
            </w:r>
          </w:p>
        </w:tc>
      </w:tr>
    </w:tbl>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Contingencies</w:t>
      </w:r>
    </w:p>
    <w:p>
      <w:pPr>
        <w:spacing w:after="0" w:line="119" w:lineRule="exact"/>
        <w:rPr>
          <w:sz w:val="20"/>
          <w:szCs w:val="20"/>
          <w:color w:val="auto"/>
        </w:rPr>
      </w:pPr>
    </w:p>
    <w:p>
      <w:pPr>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Legal and Regulatory Matters. </w:t>
      </w:r>
      <w:r>
        <w:rPr>
          <w:rFonts w:ascii="Times New Roman" w:cs="Times New Roman" w:eastAsia="Times New Roman" w:hAnsi="Times New Roman"/>
          <w:sz w:val="18"/>
          <w:szCs w:val="18"/>
          <w:color w:val="auto"/>
        </w:rPr>
        <w:t>In the normal course of business, the company discusses matters with its regulators raised during regulatory examinations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otherwise subject to their inquiry and oversight. These matters could result in censures, fines, penalties or other sanctions. Management believes the outcome of any resulting actions will not have a material impact on the company's consolidated financial position or results of operations. However, the company is unable to predict the outcome or the timing of the ultimate resolution of these matters, or the potential fines, penalties or injunctive or other equitable relief, if any, that may result from these matters.</w:t>
      </w:r>
    </w:p>
    <w:p>
      <w:pPr>
        <w:spacing w:after="0" w:line="5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A putative class action complaint was filed January 15, 2014 in the Circuit Court of Cook County, Chancery Division, against CME Group Inc. and the Board of Trade of the City of Chicago, Inc. The plaintiffs, certain Class B shareholders of CME Group and Class B members of CBOT, allege breach of contract and breach of the implied covenant of good faith and fair dealing for violations of their core rights granted in the defendants’ respective Certificates of Incorporation. On December 2, 2021, the court granted the plaintiffs’ motion for certification of a damages-only class. No trial date has been set. Given the uncertainty of factors that may potentially affect the resolution of the matter, at this time the company is unable to estimate the reasonably possible loss or range of reasonably possible losses in the unlikely event it were found to be liable at trial. Based on its investigation to date, the company believes that it has strong factual and legal defenses to the claims.</w:t>
      </w:r>
    </w:p>
    <w:p>
      <w:pPr>
        <w:spacing w:after="0" w:line="67"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In addition, the company is a defendant in, and has potential for, various other legal proceedings arising from its regular business activities. While the ultimate results of such proceedings against the company cannot be predicted with certainty, the company believes that the resolution of any of these matters on an individual or aggregate basis will not have a material impact on its consolidated financial position or results of operations.</w:t>
      </w:r>
    </w:p>
    <w:p>
      <w:pPr>
        <w:spacing w:after="0" w:line="54"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No accrual was required for contingent legal and regulatory matters as none were probable and estimable as of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1" w:right="35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Intellectual Property Indemnifications</w:t>
      </w:r>
      <w:r>
        <w:rPr>
          <w:rFonts w:ascii="Times New Roman" w:cs="Times New Roman" w:eastAsia="Times New Roman" w:hAnsi="Times New Roman"/>
          <w:sz w:val="18"/>
          <w:szCs w:val="18"/>
          <w:color w:val="auto"/>
        </w:rPr>
        <w:t>. Certain agreements with customers and other third parties related to accessing the CME Group platforms, utilizing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market data services and licensing SPAN and SPAN 2 software may contain indemnifications from intellectual property claims that may be made against them as a result of their use of the applicable products and/or services. The potential future claims relating to these indemnifications cannot be estimated and therefore no liability has been recorded.</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Leases</w:t>
      </w:r>
    </w:p>
    <w:p>
      <w:pPr>
        <w:spacing w:after="0" w:line="121"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The company has operating leases for corporate offices. The operating leases have remaining lease terms of up to 14 years, some of which include options to extend or renew the leases for up to an additional five years, and some of which include options to early terminate the leases in less than 12 months. Management evaluates whether these options are exercisable at least quarterly in order to determine whether the contract term must be reassessed. For a small number of the leases, primarily the international locations, management’s approach is to enter into short-term leases for a lease term of 12 months or less in order to provide for greater flexibility in the local environment. For certain office spaces, the company has entered into arrangements to sublease excess space to third parties, while the original lease contract remains in effect with the landlord.</w:t>
      </w:r>
    </w:p>
    <w:p>
      <w:pPr>
        <w:spacing w:after="0" w:line="5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company also has one finance lease, which is related to the sale of our data center in March 2016. In connection with the sale, the company leased back a portion of the property. The transaction was recognized under the financing method and not as a sale leaseback arrangement.</w:t>
      </w:r>
    </w:p>
    <w:p>
      <w:pPr>
        <w:spacing w:after="0" w:line="40" w:lineRule="exact"/>
        <w:rPr>
          <w:sz w:val="20"/>
          <w:szCs w:val="20"/>
          <w:color w:val="auto"/>
        </w:rPr>
      </w:pPr>
    </w:p>
    <w:p>
      <w:pPr>
        <w:ind w:right="600"/>
        <w:spacing w:after="0" w:line="266" w:lineRule="auto"/>
        <w:rPr>
          <w:sz w:val="20"/>
          <w:szCs w:val="20"/>
          <w:color w:val="auto"/>
        </w:rPr>
      </w:pPr>
      <w:r>
        <w:rPr>
          <w:rFonts w:ascii="Times New Roman" w:cs="Times New Roman" w:eastAsia="Times New Roman" w:hAnsi="Times New Roman"/>
          <w:sz w:val="18"/>
          <w:szCs w:val="18"/>
          <w:color w:val="auto"/>
        </w:rPr>
        <w:t>The right-of-use lease asset is recorded within other assets, and the present value of the lease liability is recorded within other liabilities (segregated between short term and long term) on the consolidated balance sheets. The discount rate applied to the lease payments represents the company’s incremental borrowing rate.</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components of lease costs were as follows: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00" w:type="dxa"/>
            <w:vAlign w:val="bottom"/>
            <w:gridSpan w:val="3"/>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0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88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960" w:type="dxa"/>
            <w:vAlign w:val="bottom"/>
          </w:tcPr>
          <w:p>
            <w:pPr>
              <w:spacing w:after="0"/>
              <w:rPr>
                <w:sz w:val="13"/>
                <w:szCs w:val="13"/>
                <w:color w:val="auto"/>
              </w:rPr>
            </w:pPr>
          </w:p>
        </w:tc>
      </w:tr>
      <w:tr>
        <w:trPr>
          <w:trHeight w:val="194"/>
        </w:trPr>
        <w:tc>
          <w:tcPr>
            <w:tcW w:w="47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960" w:type="dxa"/>
            <w:vAlign w:val="bottom"/>
            <w:tcBorders>
              <w:bottom w:val="single" w:sz="8" w:color="auto"/>
            </w:tcBorders>
          </w:tcPr>
          <w:p>
            <w:pPr>
              <w:spacing w:after="0"/>
              <w:rPr>
                <w:sz w:val="16"/>
                <w:szCs w:val="16"/>
                <w:color w:val="auto"/>
              </w:rPr>
            </w:pPr>
          </w:p>
        </w:tc>
      </w:tr>
      <w:tr>
        <w:trPr>
          <w:trHeight w:val="196"/>
        </w:trPr>
        <w:tc>
          <w:tcPr>
            <w:tcW w:w="47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5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expense:</w:t>
            </w:r>
          </w:p>
        </w:tc>
        <w:tc>
          <w:tcPr>
            <w:tcW w:w="36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r>
      <w:tr>
        <w:trPr>
          <w:trHeight w:val="229"/>
        </w:trPr>
        <w:tc>
          <w:tcPr>
            <w:tcW w:w="47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Operating lease cost</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160" w:type="dxa"/>
            <w:vAlign w:val="bottom"/>
          </w:tcPr>
          <w:p>
            <w:pPr>
              <w:spacing w:after="0"/>
              <w:rPr>
                <w:sz w:val="19"/>
                <w:szCs w:val="19"/>
                <w:color w:val="auto"/>
              </w:rPr>
            </w:pPr>
          </w:p>
        </w:tc>
        <w:tc>
          <w:tcPr>
            <w:tcW w:w="500" w:type="dxa"/>
            <w:vAlign w:val="bottom"/>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w:t>
            </w:r>
          </w:p>
        </w:tc>
        <w:tc>
          <w:tcPr>
            <w:tcW w:w="16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38.9</w:t>
            </w:r>
          </w:p>
        </w:tc>
        <w:tc>
          <w:tcPr>
            <w:tcW w:w="16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41.7</w:t>
            </w: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Short-term lease cost</w:t>
            </w:r>
          </w:p>
        </w:tc>
        <w:tc>
          <w:tcPr>
            <w:tcW w:w="3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6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0.3</w:t>
            </w:r>
          </w:p>
        </w:tc>
      </w:tr>
      <w:tr>
        <w:trPr>
          <w:trHeight w:val="223"/>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operating lease expense included in other expense</w:t>
            </w: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w:t>
            </w:r>
          </w:p>
        </w:tc>
        <w:tc>
          <w:tcPr>
            <w:tcW w:w="160" w:type="dxa"/>
            <w:vAlign w:val="bottom"/>
          </w:tcPr>
          <w:p>
            <w:pPr>
              <w:spacing w:after="0"/>
              <w:rPr>
                <w:sz w:val="19"/>
                <w:szCs w:val="19"/>
                <w:color w:val="auto"/>
              </w:rPr>
            </w:pPr>
          </w:p>
        </w:tc>
        <w:tc>
          <w:tcPr>
            <w:tcW w:w="50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6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6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42.0</w:t>
            </w:r>
          </w:p>
        </w:tc>
      </w:tr>
      <w:tr>
        <w:trPr>
          <w:trHeight w:val="20"/>
        </w:trPr>
        <w:tc>
          <w:tcPr>
            <w:tcW w:w="47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r>
      <w:tr>
        <w:trPr>
          <w:trHeight w:val="169"/>
        </w:trPr>
        <w:tc>
          <w:tcPr>
            <w:tcW w:w="470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4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1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56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r>
      <w:tr>
        <w:trPr>
          <w:trHeight w:val="230"/>
        </w:trPr>
        <w:tc>
          <w:tcPr>
            <w:tcW w:w="4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expense:</w:t>
            </w:r>
          </w:p>
        </w:tc>
        <w:tc>
          <w:tcPr>
            <w:tcW w:w="3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960" w:type="dxa"/>
            <w:vAlign w:val="bottom"/>
          </w:tcPr>
          <w:p>
            <w:pPr>
              <w:spacing w:after="0"/>
              <w:rPr>
                <w:sz w:val="19"/>
                <w:szCs w:val="19"/>
                <w:color w:val="auto"/>
              </w:rPr>
            </w:pPr>
          </w:p>
        </w:tc>
      </w:tr>
      <w:tr>
        <w:trPr>
          <w:trHeight w:val="230"/>
        </w:trPr>
        <w:tc>
          <w:tcPr>
            <w:tcW w:w="47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Interest expense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0.5</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230"/>
        </w:trPr>
        <w:tc>
          <w:tcPr>
            <w:tcW w:w="47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Depreciation expense</w:t>
            </w:r>
          </w:p>
        </w:tc>
        <w:tc>
          <w:tcPr>
            <w:tcW w:w="36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5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48"/>
        </w:trPr>
        <w:tc>
          <w:tcPr>
            <w:tcW w:w="4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finance lease expense</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6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6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47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60" w:type="dxa"/>
            <w:vAlign w:val="bottom"/>
          </w:tcPr>
          <w:p>
            <w:pPr>
              <w:spacing w:after="0"/>
              <w:rPr>
                <w:sz w:val="18"/>
                <w:szCs w:val="18"/>
                <w:color w:val="auto"/>
              </w:rPr>
            </w:pPr>
          </w:p>
        </w:tc>
      </w:tr>
      <w:tr>
        <w:trPr>
          <w:trHeight w:val="229"/>
        </w:trPr>
        <w:tc>
          <w:tcPr>
            <w:tcW w:w="4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Sublease revenue included in other revenue</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cash flow information related to leases was as follows:</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5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00" w:type="dxa"/>
            <w:vAlign w:val="bottom"/>
            <w:gridSpan w:val="2"/>
          </w:tcPr>
          <w:p>
            <w:pPr>
              <w:jc w:val="center"/>
              <w:ind w:left="68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2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160" w:type="dxa"/>
            <w:vAlign w:val="bottom"/>
            <w:gridSpan w:val="2"/>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180" w:type="dxa"/>
            <w:vAlign w:val="bottom"/>
          </w:tcPr>
          <w:p>
            <w:pPr>
              <w:spacing w:after="0"/>
              <w:rPr>
                <w:sz w:val="13"/>
                <w:szCs w:val="13"/>
                <w:color w:val="auto"/>
              </w:rPr>
            </w:pPr>
          </w:p>
        </w:tc>
      </w:tr>
      <w:tr>
        <w:trPr>
          <w:trHeight w:val="194"/>
        </w:trPr>
        <w:tc>
          <w:tcPr>
            <w:tcW w:w="352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2"/>
          </w:tcPr>
          <w:p>
            <w:pPr>
              <w:jc w:val="center"/>
              <w:ind w:left="70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c>
          <w:tcPr>
            <w:tcW w:w="160" w:type="dxa"/>
            <w:vAlign w:val="bottom"/>
          </w:tcPr>
          <w:p>
            <w:pPr>
              <w:spacing w:after="0"/>
              <w:rPr>
                <w:sz w:val="16"/>
                <w:szCs w:val="16"/>
                <w:color w:val="auto"/>
              </w:rPr>
            </w:pPr>
          </w:p>
        </w:tc>
        <w:tc>
          <w:tcPr>
            <w:tcW w:w="44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jc w:val="center"/>
              <w:ind w:left="66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80" w:type="dxa"/>
            <w:vAlign w:val="bottom"/>
            <w:tcBorders>
              <w:bottom w:val="single" w:sz="8" w:color="auto"/>
            </w:tcBorders>
          </w:tcPr>
          <w:p>
            <w:pPr>
              <w:spacing w:after="0"/>
              <w:rPr>
                <w:sz w:val="16"/>
                <w:szCs w:val="16"/>
                <w:color w:val="auto"/>
              </w:rPr>
            </w:pPr>
          </w:p>
        </w:tc>
      </w:tr>
      <w:tr>
        <w:trPr>
          <w:trHeight w:val="196"/>
        </w:trPr>
        <w:tc>
          <w:tcPr>
            <w:tcW w:w="35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c>
          <w:tcPr>
            <w:tcW w:w="160" w:type="dxa"/>
            <w:vAlign w:val="bottom"/>
            <w:tcBorders>
              <w:bottom w:val="single" w:sz="8" w:color="auto"/>
            </w:tcBorders>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right"/>
              <w:ind w:right="7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74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ind w:right="67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9"/>
        </w:trPr>
        <w:tc>
          <w:tcPr>
            <w:tcW w:w="3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outflows for operating leases</w:t>
            </w: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15.4</w:t>
            </w:r>
          </w:p>
        </w:tc>
        <w:tc>
          <w:tcPr>
            <w:tcW w:w="68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60" w:type="dxa"/>
            <w:vAlign w:val="bottom"/>
            <w:shd w:val="clear" w:color="auto" w:fill="CCEEFF"/>
          </w:tcPr>
          <w:p>
            <w:pPr>
              <w:spacing w:after="0"/>
              <w:rPr>
                <w:sz w:val="19"/>
                <w:szCs w:val="19"/>
                <w:color w:val="auto"/>
              </w:rPr>
            </w:pPr>
          </w:p>
        </w:tc>
        <w:tc>
          <w:tcPr>
            <w:tcW w:w="440" w:type="dxa"/>
            <w:vAlign w:val="bottom"/>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8"/>
                <w:szCs w:val="18"/>
                <w:color w:val="auto"/>
              </w:rPr>
              <w:t>45.9</w:t>
            </w:r>
          </w:p>
        </w:tc>
        <w:tc>
          <w:tcPr>
            <w:tcW w:w="740" w:type="dxa"/>
            <w:vAlign w:val="bottom"/>
            <w:shd w:val="clear" w:color="auto" w:fill="CCEEFF"/>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r>
      <w:tr>
        <w:trPr>
          <w:trHeight w:val="234"/>
        </w:trPr>
        <w:tc>
          <w:tcPr>
            <w:tcW w:w="35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outflows for finance leases</w:t>
            </w:r>
          </w:p>
        </w:tc>
        <w:tc>
          <w:tcPr>
            <w:tcW w:w="44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4.3</w:t>
            </w:r>
          </w:p>
        </w:tc>
        <w:tc>
          <w:tcPr>
            <w:tcW w:w="68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420" w:type="dxa"/>
            <w:vAlign w:val="bottom"/>
          </w:tcPr>
          <w:p>
            <w:pPr>
              <w:jc w:val="right"/>
              <w:ind w:right="41"/>
              <w:spacing w:after="0"/>
              <w:rPr>
                <w:sz w:val="20"/>
                <w:szCs w:val="20"/>
                <w:color w:val="auto"/>
              </w:rPr>
            </w:pPr>
            <w:r>
              <w:rPr>
                <w:rFonts w:ascii="Times New Roman" w:cs="Times New Roman" w:eastAsia="Times New Roman" w:hAnsi="Times New Roman"/>
                <w:sz w:val="18"/>
                <w:szCs w:val="18"/>
                <w:color w:val="auto"/>
              </w:rPr>
              <w:t>13.0</w:t>
            </w:r>
          </w:p>
        </w:tc>
        <w:tc>
          <w:tcPr>
            <w:tcW w:w="74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1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leases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jc w:val="right"/>
              <w:ind w:right="42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right-of-use assets</w:t>
            </w:r>
          </w:p>
        </w:tc>
        <w:tc>
          <w:tcPr>
            <w:tcW w:w="2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241.6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272.0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shd w:val="clear" w:color="auto" w:fill="CCEEFF"/>
          </w:tcPr>
          <w:p>
            <w:pPr>
              <w:spacing w:after="0"/>
              <w:rPr>
                <w:sz w:val="23"/>
                <w:szCs w:val="23"/>
                <w:color w:val="auto"/>
              </w:rPr>
            </w:pPr>
          </w:p>
        </w:tc>
        <w:tc>
          <w:tcPr>
            <w:tcW w:w="25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4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700" w:type="dxa"/>
            <w:vAlign w:val="bottom"/>
            <w:shd w:val="clear" w:color="auto" w:fill="CCEEFF"/>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lease liabilities:</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46.8</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46.7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5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307.5</w:t>
            </w: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8"/>
                <w:szCs w:val="18"/>
                <w:color w:val="auto"/>
              </w:rPr>
              <w:t>344.0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2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354.3</w:t>
            </w:r>
          </w:p>
        </w:tc>
        <w:tc>
          <w:tcPr>
            <w:tcW w:w="40" w:type="dxa"/>
            <w:vAlign w:val="bottom"/>
            <w:tcBorders>
              <w:bottom w:val="single" w:sz="8" w:color="auto"/>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390.7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6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640" w:type="dxa"/>
            <w:vAlign w:val="bottom"/>
          </w:tcPr>
          <w:p>
            <w:pPr>
              <w:spacing w:after="0"/>
              <w:rPr>
                <w:sz w:val="18"/>
                <w:szCs w:val="18"/>
                <w:color w:val="auto"/>
              </w:rPr>
            </w:pPr>
          </w:p>
        </w:tc>
        <w:tc>
          <w:tcPr>
            <w:tcW w:w="2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5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4.1 %</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3.8 %</w:t>
            </w: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27"/>
        </w:trPr>
        <w:tc>
          <w:tcPr>
            <w:tcW w:w="4640" w:type="dxa"/>
            <w:vAlign w:val="bottom"/>
          </w:tcPr>
          <w:p>
            <w:pPr>
              <w:spacing w:after="0"/>
              <w:rPr>
                <w:sz w:val="20"/>
                <w:szCs w:val="20"/>
                <w:color w:val="auto"/>
              </w:rPr>
            </w:pPr>
            <w:r>
              <w:rPr>
                <w:rFonts w:ascii="Times New Roman" w:cs="Times New Roman" w:eastAsia="Times New Roman" w:hAnsi="Times New Roman"/>
                <w:sz w:val="18"/>
                <w:szCs w:val="18"/>
                <w:b w:val="1"/>
                <w:bCs w:val="1"/>
                <w:i w:val="1"/>
                <w:iCs w:val="1"/>
                <w:color w:val="auto"/>
              </w:rPr>
              <w:t>Finance leases</w:t>
            </w: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60" w:type="dxa"/>
            <w:vAlign w:val="bottom"/>
            <w:gridSpan w:val="3"/>
          </w:tcPr>
          <w:p>
            <w:pPr>
              <w:jc w:val="right"/>
              <w:ind w:right="52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December 31, 2023</w:t>
            </w:r>
          </w:p>
        </w:tc>
        <w:tc>
          <w:tcPr>
            <w:tcW w:w="0" w:type="dxa"/>
            <w:vAlign w:val="bottom"/>
          </w:tcPr>
          <w:p>
            <w:pPr>
              <w:spacing w:after="0"/>
              <w:rPr>
                <w:sz w:val="1"/>
                <w:szCs w:val="1"/>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2780" w:type="dxa"/>
            <w:vAlign w:val="bottom"/>
            <w:tcBorders>
              <w:bottom w:val="single" w:sz="8" w:color="auto"/>
            </w:tcBorders>
            <w:gridSpan w:val="2"/>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right-of-use assets</w:t>
            </w:r>
          </w:p>
        </w:tc>
        <w:tc>
          <w:tcPr>
            <w:tcW w:w="278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56.3</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62.8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640" w:type="dxa"/>
            <w:vAlign w:val="bottom"/>
          </w:tcPr>
          <w:p>
            <w:pPr>
              <w:spacing w:after="0"/>
              <w:rPr>
                <w:sz w:val="23"/>
                <w:szCs w:val="23"/>
                <w:color w:val="auto"/>
              </w:rPr>
            </w:pPr>
          </w:p>
        </w:tc>
        <w:tc>
          <w:tcPr>
            <w:tcW w:w="25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Finance lease liabilities:</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78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8.6</w:t>
            </w: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rPr>
              <w:t>8.4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Other liabilities</w:t>
            </w:r>
          </w:p>
        </w:tc>
        <w:tc>
          <w:tcPr>
            <w:tcW w:w="25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660" w:type="dxa"/>
            <w:vAlign w:val="bottom"/>
            <w:tcBorders>
              <w:bottom w:val="single" w:sz="8" w:color="auto"/>
            </w:tcBorders>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52.9</w:t>
            </w:r>
          </w:p>
        </w:tc>
        <w:tc>
          <w:tcPr>
            <w:tcW w:w="40" w:type="dxa"/>
            <w:vAlign w:val="bottom"/>
            <w:tcBorders>
              <w:bottom w:val="single" w:sz="8" w:color="auto"/>
            </w:tcBorders>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59.4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finance lease liabilities</w:t>
            </w:r>
          </w:p>
        </w:tc>
        <w:tc>
          <w:tcPr>
            <w:tcW w:w="25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8"/>
                <w:szCs w:val="18"/>
                <w:color w:val="auto"/>
              </w:rPr>
              <w:t>61.5</w:t>
            </w:r>
          </w:p>
        </w:tc>
        <w:tc>
          <w:tcPr>
            <w:tcW w:w="40" w:type="dxa"/>
            <w:vAlign w:val="bottom"/>
            <w:tcBorders>
              <w:bottom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7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color w:val="auto"/>
              </w:rPr>
              <w:t>67.8</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640" w:type="dxa"/>
            <w:vAlign w:val="bottom"/>
            <w:tcBorders>
              <w:bottom w:val="single" w:sz="8" w:color="CCEEFF"/>
            </w:tcBorders>
          </w:tcPr>
          <w:p>
            <w:pPr>
              <w:spacing w:after="0" w:line="20" w:lineRule="exact"/>
              <w:rPr>
                <w:sz w:val="1"/>
                <w:szCs w:val="1"/>
                <w:color w:val="auto"/>
              </w:rPr>
            </w:pPr>
          </w:p>
        </w:tc>
        <w:tc>
          <w:tcPr>
            <w:tcW w:w="25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640" w:type="dxa"/>
            <w:vAlign w:val="bottom"/>
            <w:shd w:val="clear" w:color="auto" w:fill="CCEEFF"/>
          </w:tcPr>
          <w:p>
            <w:pPr>
              <w:spacing w:after="0"/>
              <w:rPr>
                <w:sz w:val="20"/>
                <w:szCs w:val="20"/>
                <w:color w:val="auto"/>
              </w:rPr>
            </w:pPr>
          </w:p>
        </w:tc>
        <w:tc>
          <w:tcPr>
            <w:tcW w:w="25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60" w:type="dxa"/>
            <w:vAlign w:val="bottom"/>
            <w:shd w:val="clear" w:color="auto" w:fill="CCEEFF"/>
          </w:tcPr>
          <w:p>
            <w:pPr>
              <w:spacing w:after="0"/>
              <w:rPr>
                <w:sz w:val="20"/>
                <w:szCs w:val="20"/>
                <w:color w:val="auto"/>
              </w:rPr>
            </w:pPr>
          </w:p>
        </w:tc>
        <w:tc>
          <w:tcPr>
            <w:tcW w:w="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remaining lease term (in months)</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7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78</w:t>
            </w: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87</w:t>
            </w: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 average discount rate</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3.5 %</w:t>
            </w: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3.5 %</w:t>
            </w:r>
          </w:p>
        </w:tc>
        <w:tc>
          <w:tcPr>
            <w:tcW w:w="0" w:type="dxa"/>
            <w:vAlign w:val="bottom"/>
          </w:tcPr>
          <w:p>
            <w:pPr>
              <w:spacing w:after="0"/>
              <w:rPr>
                <w:sz w:val="1"/>
                <w:szCs w:val="1"/>
                <w:color w:val="auto"/>
              </w:rPr>
            </w:pPr>
          </w:p>
        </w:tc>
      </w:tr>
      <w:tr>
        <w:trPr>
          <w:trHeight w:val="432"/>
        </w:trPr>
        <w:tc>
          <w:tcPr>
            <w:tcW w:w="92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Future minimum lease payments were as follows as of September 30, 2024 for operating and finance leases:</w:t>
            </w: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20" w:type="dxa"/>
            <w:vAlign w:val="bottom"/>
            <w:gridSpan w:val="2"/>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Operating Leases</w:t>
            </w:r>
          </w:p>
        </w:tc>
        <w:tc>
          <w:tcPr>
            <w:tcW w:w="0" w:type="dxa"/>
            <w:vAlign w:val="bottom"/>
          </w:tcPr>
          <w:p>
            <w:pPr>
              <w:spacing w:after="0"/>
              <w:rPr>
                <w:sz w:val="1"/>
                <w:szCs w:val="1"/>
                <w:color w:val="auto"/>
              </w:rPr>
            </w:pPr>
          </w:p>
        </w:tc>
      </w:tr>
      <w:tr>
        <w:trPr>
          <w:trHeight w:val="23"/>
        </w:trPr>
        <w:tc>
          <w:tcPr>
            <w:tcW w:w="4640" w:type="dxa"/>
            <w:vAlign w:val="bottom"/>
            <w:tcBorders>
              <w:bottom w:val="single" w:sz="8" w:color="auto"/>
            </w:tcBorders>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6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58.1</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25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35.2</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25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154.2</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25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6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414.8</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2540" w:type="dxa"/>
            <w:vAlign w:val="bottom"/>
            <w:tcBorders>
              <w:bottom w:val="single" w:sz="8" w:color="CCEEFF"/>
            </w:tcBorders>
          </w:tcPr>
          <w:p>
            <w:pPr>
              <w:spacing w:after="0"/>
              <w:rPr>
                <w:sz w:val="19"/>
                <w:szCs w:val="19"/>
                <w:color w:val="auto"/>
              </w:rPr>
            </w:pPr>
          </w:p>
        </w:tc>
        <w:tc>
          <w:tcPr>
            <w:tcW w:w="240" w:type="dxa"/>
            <w:vAlign w:val="bottom"/>
            <w:tcBorders>
              <w:bottom w:val="single" w:sz="8" w:color="CCEEFF"/>
            </w:tcBorders>
          </w:tcPr>
          <w:p>
            <w:pPr>
              <w:spacing w:after="0"/>
              <w:rPr>
                <w:sz w:val="19"/>
                <w:szCs w:val="19"/>
                <w:color w:val="auto"/>
              </w:rPr>
            </w:pPr>
          </w:p>
        </w:tc>
        <w:tc>
          <w:tcPr>
            <w:tcW w:w="1660" w:type="dxa"/>
            <w:vAlign w:val="bottom"/>
            <w:tcBorders>
              <w:bottom w:val="single" w:sz="8" w:color="CCEEFF"/>
            </w:tcBorders>
          </w:tcPr>
          <w:p>
            <w:pPr>
              <w:spacing w:after="0"/>
              <w:rPr>
                <w:sz w:val="19"/>
                <w:szCs w:val="19"/>
                <w:color w:val="auto"/>
              </w:rPr>
            </w:pPr>
          </w:p>
        </w:tc>
        <w:tc>
          <w:tcPr>
            <w:tcW w:w="4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7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(60.5)</w:t>
            </w:r>
          </w:p>
        </w:tc>
        <w:tc>
          <w:tcPr>
            <w:tcW w:w="0" w:type="dxa"/>
            <w:vAlign w:val="bottom"/>
          </w:tcPr>
          <w:p>
            <w:pPr>
              <w:spacing w:after="0"/>
              <w:rPr>
                <w:sz w:val="1"/>
                <w:szCs w:val="1"/>
                <w:color w:val="auto"/>
              </w:rPr>
            </w:pPr>
          </w:p>
        </w:tc>
      </w:tr>
      <w:tr>
        <w:trPr>
          <w:trHeight w:val="248"/>
        </w:trPr>
        <w:tc>
          <w:tcPr>
            <w:tcW w:w="4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25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20" w:type="dxa"/>
            <w:vAlign w:val="bottom"/>
            <w:tcBorders>
              <w:bottom w:val="single" w:sz="8" w:color="auto"/>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354.3</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640" w:type="dxa"/>
            <w:vAlign w:val="bottom"/>
            <w:tcBorders>
              <w:top w:val="single" w:sz="8" w:color="CCEEFF"/>
            </w:tcBorders>
          </w:tcPr>
          <w:p>
            <w:pPr>
              <w:spacing w:after="0" w:line="20" w:lineRule="exact"/>
              <w:rPr>
                <w:sz w:val="1"/>
                <w:szCs w:val="1"/>
                <w:color w:val="auto"/>
              </w:rPr>
            </w:pPr>
          </w:p>
        </w:tc>
        <w:tc>
          <w:tcPr>
            <w:tcW w:w="2540" w:type="dxa"/>
            <w:vAlign w:val="bottom"/>
            <w:tcBorders>
              <w:top w:val="single" w:sz="8" w:color="CCEEFF"/>
              <w:bottom w:val="single" w:sz="8" w:color="CCEEFF"/>
            </w:tcBorders>
            <w:vMerge w:val="restart"/>
          </w:tcPr>
          <w:p>
            <w:pPr>
              <w:jc w:val="right"/>
              <w:ind w:right="1370"/>
              <w:spacing w:after="0"/>
              <w:rPr>
                <w:sz w:val="20"/>
                <w:szCs w:val="20"/>
                <w:color w:val="auto"/>
              </w:rPr>
            </w:pPr>
            <w:r>
              <w:rPr>
                <w:rFonts w:ascii="Times New Roman" w:cs="Times New Roman" w:eastAsia="Times New Roman" w:hAnsi="Times New Roman"/>
                <w:sz w:val="18"/>
                <w:szCs w:val="18"/>
                <w:color w:val="auto"/>
              </w:rPr>
              <w:t>18</w:t>
            </w:r>
          </w:p>
        </w:tc>
        <w:tc>
          <w:tcPr>
            <w:tcW w:w="240" w:type="dxa"/>
            <w:vAlign w:val="bottom"/>
            <w:tcBorders>
              <w:top w:val="single" w:sz="8" w:color="CCEEFF"/>
            </w:tcBorders>
          </w:tcPr>
          <w:p>
            <w:pPr>
              <w:spacing w:after="0" w:line="20" w:lineRule="exact"/>
              <w:rPr>
                <w:sz w:val="1"/>
                <w:szCs w:val="1"/>
                <w:color w:val="auto"/>
              </w:rPr>
            </w:pPr>
          </w:p>
        </w:tc>
        <w:tc>
          <w:tcPr>
            <w:tcW w:w="16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2"/>
        </w:trPr>
        <w:tc>
          <w:tcPr>
            <w:tcW w:w="4640" w:type="dxa"/>
            <w:vAlign w:val="bottom"/>
          </w:tcPr>
          <w:p>
            <w:pPr>
              <w:spacing w:after="0"/>
              <w:rPr>
                <w:sz w:val="24"/>
                <w:szCs w:val="24"/>
                <w:color w:val="auto"/>
              </w:rPr>
            </w:pPr>
          </w:p>
        </w:tc>
        <w:tc>
          <w:tcPr>
            <w:tcW w:w="2540" w:type="dxa"/>
            <w:vAlign w:val="bottom"/>
            <w:vMerge w:val="continue"/>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254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166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220" w:type="dxa"/>
            <w:vAlign w:val="bottom"/>
            <w:tcBorders>
              <w:bottom w:val="single" w:sz="8" w:color="9A9A9A"/>
            </w:tcBorders>
          </w:tcPr>
          <w:p>
            <w:pPr>
              <w:spacing w:after="0"/>
              <w:rPr>
                <w:sz w:val="10"/>
                <w:szCs w:val="10"/>
                <w:color w:val="auto"/>
              </w:rPr>
            </w:pPr>
          </w:p>
        </w:tc>
        <w:tc>
          <w:tcPr>
            <w:tcW w:w="170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08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60" w:type="dxa"/>
            <w:vAlign w:val="bottom"/>
          </w:tcPr>
          <w:p>
            <w:pPr>
              <w:spacing w:after="0"/>
              <w:rPr>
                <w:sz w:val="16"/>
                <w:szCs w:val="16"/>
                <w:color w:val="auto"/>
              </w:rPr>
            </w:pPr>
          </w:p>
        </w:tc>
        <w:tc>
          <w:tcPr>
            <w:tcW w:w="1800" w:type="dxa"/>
            <w:vAlign w:val="bottom"/>
          </w:tcPr>
          <w:p>
            <w:pPr>
              <w:jc w:val="right"/>
              <w:ind w:right="532"/>
              <w:spacing w:after="0"/>
              <w:rPr>
                <w:sz w:val="20"/>
                <w:szCs w:val="20"/>
                <w:color w:val="auto"/>
              </w:rPr>
            </w:pPr>
            <w:r>
              <w:rPr>
                <w:rFonts w:ascii="Times New Roman" w:cs="Times New Roman" w:eastAsia="Times New Roman" w:hAnsi="Times New Roman"/>
                <w:sz w:val="14"/>
                <w:szCs w:val="14"/>
                <w:b w:val="1"/>
                <w:bCs w:val="1"/>
                <w:color w:val="auto"/>
              </w:rPr>
              <w:t>Finance Leases</w:t>
            </w:r>
          </w:p>
        </w:tc>
      </w:tr>
      <w:tr>
        <w:trPr>
          <w:trHeight w:val="23"/>
        </w:trPr>
        <w:tc>
          <w:tcPr>
            <w:tcW w:w="90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23"/>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Remainder of 2024</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2025</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2026</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2027</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w:t>
            </w:r>
          </w:p>
        </w:tc>
      </w:tr>
      <w:tr>
        <w:trPr>
          <w:trHeight w:val="230"/>
        </w:trPr>
        <w:tc>
          <w:tcPr>
            <w:tcW w:w="90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2028</w:t>
            </w:r>
          </w:p>
        </w:tc>
        <w:tc>
          <w:tcPr>
            <w:tcW w:w="36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17.9</w:t>
            </w:r>
          </w:p>
        </w:tc>
      </w:tr>
      <w:tr>
        <w:trPr>
          <w:trHeight w:val="229"/>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2029</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Thereafter</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22.9</w:t>
            </w:r>
          </w:p>
        </w:tc>
      </w:tr>
      <w:tr>
        <w:trPr>
          <w:trHeight w:val="223"/>
        </w:trPr>
        <w:tc>
          <w:tcPr>
            <w:tcW w:w="9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lease payments</w:t>
            </w:r>
          </w:p>
        </w:tc>
        <w:tc>
          <w:tcPr>
            <w:tcW w:w="36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116.2</w:t>
            </w:r>
          </w:p>
        </w:tc>
      </w:tr>
      <w:tr>
        <w:trPr>
          <w:trHeight w:val="229"/>
        </w:trPr>
        <w:tc>
          <w:tcPr>
            <w:tcW w:w="9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Less: imputed interest</w:t>
            </w:r>
          </w:p>
        </w:tc>
        <w:tc>
          <w:tcPr>
            <w:tcW w:w="360" w:type="dxa"/>
            <w:vAlign w:val="bottom"/>
            <w:tcBorders>
              <w:bottom w:val="single" w:sz="8" w:color="auto"/>
            </w:tcBorders>
          </w:tcPr>
          <w:p>
            <w:pPr>
              <w:spacing w:after="0"/>
              <w:rPr>
                <w:sz w:val="19"/>
                <w:szCs w:val="19"/>
                <w:color w:val="auto"/>
              </w:rPr>
            </w:pPr>
          </w:p>
        </w:tc>
        <w:tc>
          <w:tcPr>
            <w:tcW w:w="1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(54.7)</w:t>
            </w:r>
          </w:p>
        </w:tc>
      </w:tr>
      <w:tr>
        <w:trPr>
          <w:trHeight w:val="248"/>
        </w:trPr>
        <w:tc>
          <w:tcPr>
            <w:tcW w:w="9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Present value of lease liability</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w:t>
            </w:r>
          </w:p>
        </w:tc>
      </w:tr>
      <w:tr>
        <w:trPr>
          <w:trHeight w:val="20"/>
        </w:trPr>
        <w:tc>
          <w:tcPr>
            <w:tcW w:w="90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800" w:type="dxa"/>
            <w:vAlign w:val="bottom"/>
            <w:tcBorders>
              <w:top w:val="single" w:sz="8" w:color="CCEEFF"/>
              <w:bottom w:val="single" w:sz="8" w:color="auto"/>
            </w:tcBorders>
          </w:tcPr>
          <w:p>
            <w:pPr>
              <w:spacing w:after="0" w:line="20" w:lineRule="exact"/>
              <w:rPr>
                <w:sz w:val="1"/>
                <w:szCs w:val="1"/>
                <w:color w:val="auto"/>
              </w:rPr>
            </w:pPr>
          </w:p>
        </w:tc>
      </w:tr>
    </w:tbl>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Guarantees</w:t>
      </w:r>
    </w:p>
    <w:p>
      <w:pPr>
        <w:spacing w:after="0" w:line="119"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Mutual Offset Agreement. </w:t>
      </w:r>
      <w:r>
        <w:rPr>
          <w:rFonts w:ascii="Times New Roman" w:cs="Times New Roman" w:eastAsia="Times New Roman" w:hAnsi="Times New Roman"/>
          <w:sz w:val="18"/>
          <w:szCs w:val="18"/>
          <w:color w:val="auto"/>
        </w:rPr>
        <w:t>CME and Singapore Exchange Limited (SGX) maintain a mutual offset agreement with a current term through April 2025.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agreement enables market participants to open a futures position on one exchange and liquidate it on the other. The term of the agreement will automatically renew for a two-year period after April 2025 unless either party provides advance notice of their intent to terminate. CME can maintain collateral in the form of irrevocable, standby letters of credit. At September 30, 2024, CME was contingently liable to SGX on letters of credit totaling $400.0 million. CME also maintains a $350.0 million line of credit to meet its obligations under this agreement. Regardless of the collateral, CME guarantees all cleared transactions submitted through SGX and would initiate procedures designed to satisfy these financial obligations in the event of a default, such as the use of performance bonds and guaranty fund contributions of the defaulting clearing firm. Management has assessed the fair value of the company’s guarantee liability under this mutual offset agreement by taking the following factors into consideration: the design and operations of the clearing risk management process, the financial safeguard packages in place, historical evidence of default by a clearing member and the estimated probability of potential payouts by the clearing house. Based on the assessment performed, management estimates the guarantee liability to be nominal and therefore has not recorded any liability at September 30, 2024 and December 31, 2023.</w:t>
      </w:r>
    </w:p>
    <w:p>
      <w:pPr>
        <w:spacing w:after="0" w:line="84"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Family Farmer and Rancher Protection Fund. </w:t>
      </w:r>
      <w:r>
        <w:rPr>
          <w:rFonts w:ascii="Times New Roman" w:cs="Times New Roman" w:eastAsia="Times New Roman" w:hAnsi="Times New Roman"/>
          <w:sz w:val="18"/>
          <w:szCs w:val="18"/>
          <w:color w:val="auto"/>
        </w:rPr>
        <w:t>In 2012, the company established the Family Farmer and Rancher Protection Fund (the Fund). The Fund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designed to provide payments, up to certain maximum levels, to family farmers, ranchers and other agricultural industry participants who use the company’s agricultural commodity products and who suffer losses to their segregated account balances due to their CME clearing member becoming insolvent. Under the terms of the Fund, farmers and ranchers are eligible for up to $25,000 per participant. Farming and ranching cooperatives are eligible for up to $100,000 per cooperative. The Fund was established with a maximum of $100.0 million available for distribution to participants. Since its establishment, the Fund has made payments of approximately $2.0 million, which leaves $98.0 million available for future claims. If, at any time, payments due to participants were to exceed the amount remaining in the Fund, payments would be pro-rated. Clearing members and customers must register with the company in advance and provide certain documentation in order to substantiate their eligibility. The company believes that its guarantee liability is nominal and therefore has not recorded any liability at September 30, 2024 and December 31, 2023.</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Accumulated Other Comprehensive Income (Loss)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following tables present changes in the accumulated balances for each component of other comprehensive income (loss), including current period other comprehensive income (loss) and reclassifications out of accumulated other comprehensive income (loss):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13"/>
                <w:szCs w:val="13"/>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13"/>
                <w:szCs w:val="13"/>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13"/>
                <w:szCs w:val="13"/>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13"/>
                <w:szCs w:val="13"/>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13"/>
                <w:szCs w:val="13"/>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2023</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62.0</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(93.8)</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49.5</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29"/>
        </w:trPr>
        <w:tc>
          <w:tcPr>
            <w:tcW w:w="42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2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50.6</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2024</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(27.7)</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(43.2)</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1"/>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74"/>
        </w:trPr>
        <w:tc>
          <w:tcPr>
            <w:tcW w:w="424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00" w:type="dxa"/>
            <w:vAlign w:val="bottom"/>
          </w:tcPr>
          <w:p>
            <w:pPr>
              <w:spacing w:after="0"/>
              <w:rPr>
                <w:sz w:val="24"/>
                <w:szCs w:val="24"/>
                <w:color w:val="auto"/>
              </w:rPr>
            </w:pPr>
          </w:p>
        </w:tc>
        <w:tc>
          <w:tcPr>
            <w:tcW w:w="1220" w:type="dxa"/>
            <w:vAlign w:val="bottom"/>
            <w:gridSpan w:val="2"/>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140" w:type="dxa"/>
            <w:vAlign w:val="bottom"/>
          </w:tcPr>
          <w:p>
            <w:pPr>
              <w:spacing w:after="0"/>
              <w:rPr>
                <w:sz w:val="24"/>
                <w:szCs w:val="24"/>
                <w:color w:val="auto"/>
              </w:rPr>
            </w:pPr>
          </w:p>
        </w:tc>
        <w:tc>
          <w:tcPr>
            <w:tcW w:w="12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0" w:type="dxa"/>
            <w:vAlign w:val="bottom"/>
          </w:tcPr>
          <w:p>
            <w:pPr>
              <w:spacing w:after="0"/>
              <w:rPr>
                <w:sz w:val="24"/>
                <w:szCs w:val="24"/>
                <w:color w:val="auto"/>
              </w:rPr>
            </w:pPr>
          </w:p>
        </w:tc>
        <w:tc>
          <w:tcPr>
            <w:tcW w:w="124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w w:val="99"/>
              </w:rPr>
              <w:t>Derivative</w:t>
            </w:r>
          </w:p>
        </w:tc>
        <w:tc>
          <w:tcPr>
            <w:tcW w:w="100" w:type="dxa"/>
            <w:vAlign w:val="bottom"/>
          </w:tcPr>
          <w:p>
            <w:pPr>
              <w:spacing w:after="0"/>
              <w:rPr>
                <w:sz w:val="24"/>
                <w:szCs w:val="24"/>
                <w:color w:val="auto"/>
              </w:rPr>
            </w:pPr>
          </w:p>
        </w:tc>
        <w:tc>
          <w:tcPr>
            <w:tcW w:w="134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300" w:type="dxa"/>
            <w:vAlign w:val="bottom"/>
          </w:tcPr>
          <w:p>
            <w:pPr>
              <w:spacing w:after="0"/>
              <w:rPr>
                <w:sz w:val="24"/>
                <w:szCs w:val="24"/>
                <w:color w:val="auto"/>
              </w:rPr>
            </w:pPr>
          </w:p>
        </w:tc>
        <w:tc>
          <w:tcPr>
            <w:tcW w:w="1000" w:type="dxa"/>
            <w:vAlign w:val="bottom"/>
            <w:vMerge w:val="restart"/>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5"/>
        </w:trPr>
        <w:tc>
          <w:tcPr>
            <w:tcW w:w="4240" w:type="dxa"/>
            <w:vAlign w:val="bottom"/>
            <w:tcBorders>
              <w:bottom w:val="single" w:sz="8" w:color="auto"/>
            </w:tcBorders>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1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Plans</w:t>
            </w:r>
          </w:p>
        </w:tc>
        <w:tc>
          <w:tcPr>
            <w:tcW w:w="20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Investments</w:t>
            </w:r>
          </w:p>
        </w:tc>
        <w:tc>
          <w:tcPr>
            <w:tcW w:w="1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Balance at December 31, 2022</w:t>
            </w: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64.7</w:t>
            </w: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(174.3)</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(133.3)</w:t>
            </w:r>
          </w:p>
        </w:tc>
        <w:tc>
          <w:tcPr>
            <w:tcW w:w="0" w:type="dxa"/>
            <w:vAlign w:val="bottom"/>
          </w:tcPr>
          <w:p>
            <w:pPr>
              <w:spacing w:after="0"/>
              <w:rPr>
                <w:sz w:val="1"/>
                <w:szCs w:val="1"/>
                <w:color w:val="auto"/>
              </w:rPr>
            </w:pPr>
          </w:p>
        </w:tc>
      </w:tr>
      <w:tr>
        <w:trPr>
          <w:trHeight w:val="176"/>
        </w:trPr>
        <w:tc>
          <w:tcPr>
            <w:tcW w:w="4240" w:type="dxa"/>
            <w:vAlign w:val="bottom"/>
          </w:tcPr>
          <w:p>
            <w:pPr>
              <w:ind w:left="20"/>
              <w:spacing w:after="0" w:line="176" w:lineRule="exact"/>
              <w:rPr>
                <w:sz w:val="20"/>
                <w:szCs w:val="20"/>
                <w:color w:val="auto"/>
              </w:rPr>
            </w:pPr>
            <w:r>
              <w:rPr>
                <w:rFonts w:ascii="Times New Roman" w:cs="Times New Roman" w:eastAsia="Times New Roman" w:hAnsi="Times New Roman"/>
                <w:sz w:val="18"/>
                <w:szCs w:val="18"/>
                <w:color w:val="auto"/>
              </w:rPr>
              <w:t>Other comprehensive income (loss) before</w:t>
            </w:r>
          </w:p>
        </w:tc>
        <w:tc>
          <w:tcPr>
            <w:tcW w:w="2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reclassifications and income tax benefit (expense)</w:t>
            </w:r>
          </w:p>
        </w:tc>
        <w:tc>
          <w:tcPr>
            <w:tcW w:w="2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0" w:type="dxa"/>
            <w:vAlign w:val="bottom"/>
          </w:tcPr>
          <w:p>
            <w:pPr>
              <w:spacing w:after="0"/>
              <w:rPr>
                <w:sz w:val="1"/>
                <w:szCs w:val="1"/>
                <w:color w:val="auto"/>
              </w:rPr>
            </w:pPr>
          </w:p>
        </w:tc>
      </w:tr>
      <w:tr>
        <w:trPr>
          <w:trHeight w:val="176"/>
        </w:trPr>
        <w:tc>
          <w:tcPr>
            <w:tcW w:w="4240" w:type="dxa"/>
            <w:vAlign w:val="bottom"/>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auto"/>
              </w:rPr>
              <w:t>Amounts reclassified from accumulated other</w:t>
            </w:r>
          </w:p>
        </w:tc>
        <w:tc>
          <w:tcPr>
            <w:tcW w:w="2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4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(loss)</w:t>
            </w:r>
          </w:p>
        </w:tc>
        <w:tc>
          <w:tcPr>
            <w:tcW w:w="20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21"/>
                <w:szCs w:val="21"/>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0"/>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0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0" w:type="dxa"/>
            <w:vAlign w:val="bottom"/>
          </w:tcPr>
          <w:p>
            <w:pPr>
              <w:spacing w:after="0"/>
              <w:rPr>
                <w:sz w:val="1"/>
                <w:szCs w:val="1"/>
                <w:color w:val="auto"/>
              </w:rPr>
            </w:pPr>
          </w:p>
        </w:tc>
      </w:tr>
      <w:tr>
        <w:trPr>
          <w:trHeight w:val="223"/>
        </w:trPr>
        <w:tc>
          <w:tcPr>
            <w:tcW w:w="42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current period other comprehensive income (loss)</w:t>
            </w: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spacing w:after="0"/>
              <w:rPr>
                <w:sz w:val="19"/>
                <w:szCs w:val="19"/>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spacing w:after="0"/>
              <w:rPr>
                <w:sz w:val="19"/>
                <w:szCs w:val="19"/>
                <w:color w:val="auto"/>
              </w:rPr>
            </w:pP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20.7</w:t>
            </w:r>
          </w:p>
        </w:tc>
        <w:tc>
          <w:tcPr>
            <w:tcW w:w="12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0" w:type="dxa"/>
            <w:vAlign w:val="bottom"/>
          </w:tcPr>
          <w:p>
            <w:pPr>
              <w:spacing w:after="0"/>
              <w:rPr>
                <w:sz w:val="1"/>
                <w:szCs w:val="1"/>
                <w:color w:val="auto"/>
              </w:rPr>
            </w:pPr>
          </w:p>
        </w:tc>
      </w:tr>
      <w:tr>
        <w:trPr>
          <w:trHeight w:val="223"/>
        </w:trPr>
        <w:tc>
          <w:tcPr>
            <w:tcW w:w="4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Balance at September 30, 2023</w:t>
            </w: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100" w:type="dxa"/>
            <w:vAlign w:val="bottom"/>
          </w:tcPr>
          <w:p>
            <w:pPr>
              <w:spacing w:after="0"/>
              <w:rPr>
                <w:sz w:val="19"/>
                <w:szCs w:val="19"/>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20" w:type="dxa"/>
            <w:vAlign w:val="bottom"/>
          </w:tcPr>
          <w:p>
            <w:pPr>
              <w:spacing w:after="0"/>
              <w:rPr>
                <w:sz w:val="19"/>
                <w:szCs w:val="19"/>
                <w:color w:val="auto"/>
              </w:rPr>
            </w:pPr>
          </w:p>
        </w:tc>
        <w:tc>
          <w:tcPr>
            <w:tcW w:w="30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(117.3)</w:t>
            </w:r>
          </w:p>
        </w:tc>
        <w:tc>
          <w:tcPr>
            <w:tcW w:w="0" w:type="dxa"/>
            <w:vAlign w:val="bottom"/>
          </w:tcPr>
          <w:p>
            <w:pPr>
              <w:spacing w:after="0"/>
              <w:rPr>
                <w:sz w:val="1"/>
                <w:szCs w:val="1"/>
                <w:color w:val="auto"/>
              </w:rPr>
            </w:pPr>
          </w:p>
        </w:tc>
      </w:tr>
      <w:tr>
        <w:trPr>
          <w:trHeight w:val="20"/>
        </w:trPr>
        <w:tc>
          <w:tcPr>
            <w:tcW w:w="42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Fair Value Measurements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uses a three-level classification hierarchy of fair value measurements for disclosure purposes:</w:t>
      </w:r>
    </w:p>
    <w:p>
      <w:pPr>
        <w:spacing w:after="0" w:line="117" w:lineRule="exact"/>
        <w:rPr>
          <w:sz w:val="20"/>
          <w:szCs w:val="20"/>
          <w:color w:val="auto"/>
        </w:rPr>
      </w:pPr>
    </w:p>
    <w:p>
      <w:pPr>
        <w:ind w:left="660" w:right="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 inputs, which are considered the most reliable evidence of fair value, consist of quoted prices (unadjusted) for identical assets or liabilities in active markets.</w:t>
      </w:r>
    </w:p>
    <w:p>
      <w:pPr>
        <w:spacing w:after="0" w:line="53" w:lineRule="exact"/>
        <w:rPr>
          <w:rFonts w:ascii="Times New Roman" w:cs="Times New Roman" w:eastAsia="Times New Roman" w:hAnsi="Times New Roman"/>
          <w:sz w:val="18"/>
          <w:szCs w:val="18"/>
          <w:color w:val="auto"/>
        </w:rPr>
      </w:pPr>
    </w:p>
    <w:p>
      <w:pPr>
        <w:ind w:left="660" w:right="44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 inputs consist of observable market data, such as quoted prices for similar assets and liabilities in active markets, or inputs other than quoted prices that are directly observable.</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 inputs consist of unobservable inputs which are derived and cannot be corroborated by market data or other entity-specific inputs.</w:t>
      </w:r>
    </w:p>
    <w:p>
      <w:pPr>
        <w:spacing w:after="0" w:line="117" w:lineRule="exact"/>
        <w:rPr>
          <w:sz w:val="20"/>
          <w:szCs w:val="20"/>
          <w:color w:val="auto"/>
        </w:rPr>
      </w:pPr>
    </w:p>
    <w:p>
      <w:pPr>
        <w:ind w:right="360"/>
        <w:spacing w:after="0" w:line="312" w:lineRule="auto"/>
        <w:rPr>
          <w:sz w:val="20"/>
          <w:szCs w:val="20"/>
          <w:color w:val="auto"/>
        </w:rPr>
      </w:pPr>
      <w:r>
        <w:rPr>
          <w:rFonts w:ascii="Times New Roman" w:cs="Times New Roman" w:eastAsia="Times New Roman" w:hAnsi="Times New Roman"/>
          <w:sz w:val="17"/>
          <w:szCs w:val="17"/>
          <w:color w:val="auto"/>
        </w:rPr>
        <w:t>The company’s level 1 assets generally include investments in publicly traded mutual funds, equity securities and corporate debt securities with quoted market prices. In general, the company uses quoted prices in active markets for identical assets to determine the fair value of marketable securities.</w:t>
      </w:r>
    </w:p>
    <w:p>
      <w:pPr>
        <w:spacing w:after="0" w:line="32"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The company’s level 2 assets and liabilities generally consist of long-term debt notes. The fair values of the long-term debt notes were based on quoted market prices in an inactive market.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company’s level 3 assets and liabilities include certain investments that were adjusted to fair value.</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Recurring Fair Value Measurements. </w:t>
      </w:r>
      <w:r>
        <w:rPr>
          <w:rFonts w:ascii="Times New Roman" w:cs="Times New Roman" w:eastAsia="Times New Roman" w:hAnsi="Times New Roman"/>
          <w:sz w:val="18"/>
          <w:szCs w:val="18"/>
          <w:color w:val="auto"/>
        </w:rPr>
        <w:t>Financial assets and liabilities recorded at fair value on the consolidated balance sheet as of September 30, 2024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classified in their entirety based on the lowest level of input that was significant to each asset and liability’s fair value measurement. The following table presents financial instruments measured at fair value on a recurring basis:</w:t>
      </w:r>
    </w:p>
    <w:p>
      <w:pPr>
        <w:spacing w:after="0" w:line="10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8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52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522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3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106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3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Assets at Fair Value:</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2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Marketable securities:</w:t>
            </w: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Corporate debt securities</w:t>
            </w:r>
          </w:p>
        </w:tc>
        <w:tc>
          <w:tcPr>
            <w:tcW w:w="30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0" w:type="dxa"/>
            <w:vAlign w:val="bottom"/>
          </w:tcPr>
          <w:p>
            <w:pPr>
              <w:spacing w:after="0"/>
              <w:rPr>
                <w:sz w:val="1"/>
                <w:szCs w:val="1"/>
                <w:color w:val="auto"/>
              </w:rPr>
            </w:pPr>
          </w:p>
        </w:tc>
      </w:tr>
      <w:tr>
        <w:trPr>
          <w:trHeight w:val="229"/>
        </w:trPr>
        <w:tc>
          <w:tcPr>
            <w:tcW w:w="5220" w:type="dxa"/>
            <w:vAlign w:val="bottom"/>
          </w:tcPr>
          <w:p>
            <w:pPr>
              <w:ind w:left="480"/>
              <w:spacing w:after="0"/>
              <w:rPr>
                <w:sz w:val="20"/>
                <w:szCs w:val="20"/>
                <w:color w:val="auto"/>
              </w:rPr>
            </w:pPr>
            <w:r>
              <w:rPr>
                <w:rFonts w:ascii="Times New Roman" w:cs="Times New Roman" w:eastAsia="Times New Roman" w:hAnsi="Times New Roman"/>
                <w:sz w:val="18"/>
                <w:szCs w:val="18"/>
                <w:color w:val="auto"/>
              </w:rPr>
              <w:t>Mutual funds</w:t>
            </w:r>
          </w:p>
        </w:tc>
        <w:tc>
          <w:tcPr>
            <w:tcW w:w="30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2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19"/>
                <w:szCs w:val="19"/>
                <w:color w:val="auto"/>
              </w:rPr>
            </w:pPr>
          </w:p>
        </w:tc>
        <w:tc>
          <w:tcPr>
            <w:tcW w:w="4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102.7</w:t>
            </w:r>
          </w:p>
        </w:tc>
        <w:tc>
          <w:tcPr>
            <w:tcW w:w="0" w:type="dxa"/>
            <w:vAlign w:val="bottom"/>
          </w:tcPr>
          <w:p>
            <w:pPr>
              <w:spacing w:after="0"/>
              <w:rPr>
                <w:sz w:val="1"/>
                <w:szCs w:val="1"/>
                <w:color w:val="auto"/>
              </w:rPr>
            </w:pPr>
          </w:p>
        </w:tc>
      </w:tr>
      <w:tr>
        <w:trPr>
          <w:trHeight w:val="229"/>
        </w:trPr>
        <w:tc>
          <w:tcPr>
            <w:tcW w:w="522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Equity securities</w:t>
            </w:r>
          </w:p>
        </w:tc>
        <w:tc>
          <w:tcPr>
            <w:tcW w:w="30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spacing w:after="0"/>
              <w:rPr>
                <w:sz w:val="19"/>
                <w:szCs w:val="19"/>
                <w:color w:val="auto"/>
              </w:rPr>
            </w:pPr>
          </w:p>
        </w:tc>
        <w:tc>
          <w:tcPr>
            <w:tcW w:w="48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23"/>
        </w:trPr>
        <w:tc>
          <w:tcPr>
            <w:tcW w:w="52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Total Marketable Securities</w:t>
            </w: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Borders>
              <w:bottom w:val="single" w:sz="8" w:color="CCEEFF"/>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9"/>
                <w:szCs w:val="19"/>
                <w:color w:val="auto"/>
              </w:rPr>
            </w:pPr>
          </w:p>
        </w:tc>
        <w:tc>
          <w:tcPr>
            <w:tcW w:w="1060" w:type="dxa"/>
            <w:vAlign w:val="bottom"/>
            <w:tcBorders>
              <w:top w:val="single" w:sz="8" w:color="auto"/>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48"/>
        </w:trPr>
        <w:tc>
          <w:tcPr>
            <w:tcW w:w="52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Assets at Fair Value</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6"/>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Borders>
              <w:bottom w:val="single" w:sz="8" w:color="auto"/>
            </w:tcBorders>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9"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Non-Recurring Fair Value Measurements. </w:t>
      </w:r>
      <w:r>
        <w:rPr>
          <w:rFonts w:ascii="Times New Roman" w:cs="Times New Roman" w:eastAsia="Times New Roman" w:hAnsi="Times New Roman"/>
          <w:sz w:val="18"/>
          <w:szCs w:val="18"/>
          <w:color w:val="auto"/>
        </w:rPr>
        <w:t>The company recognized an unrealized gain on investments of $1.5 million on an equity investment without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readily determinable fair value during the first nine months of 2024. The fair value of this investment was estimated to be $8.6 million at September 30, 2024. This fair value assessment was based on quantitative factors, including observable price changes. The fair value measurement of this investment is considered level 3 and non-recurring. This investment is included in other assets on the consolidated balance sheet.</w:t>
      </w:r>
    </w:p>
    <w:p>
      <w:pPr>
        <w:spacing w:after="0" w:line="126" w:lineRule="exact"/>
        <w:rPr>
          <w:sz w:val="20"/>
          <w:szCs w:val="20"/>
          <w:color w:val="auto"/>
        </w:rPr>
      </w:pPr>
    </w:p>
    <w:p>
      <w:pPr>
        <w:ind w:right="2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Fair Values of Debt Notes. </w:t>
      </w:r>
      <w:r>
        <w:rPr>
          <w:rFonts w:ascii="Times New Roman" w:cs="Times New Roman" w:eastAsia="Times New Roman" w:hAnsi="Times New Roman"/>
          <w:sz w:val="18"/>
          <w:szCs w:val="18"/>
          <w:color w:val="auto"/>
        </w:rPr>
        <w:t>The following presents the estimated fair values of short-term and long-term debt notes, which are carried at amortized cost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consolidated balance sheets. The fair values below are classified as level 2 under the fair value hierarchy and were estimated using quoted market prices in inactive markets.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the fair values were as follows:</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6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4380" w:type="dxa"/>
            <w:vAlign w:val="bottom"/>
          </w:tcPr>
          <w:p>
            <w:pPr>
              <w:spacing w:after="0"/>
              <w:rPr>
                <w:sz w:val="17"/>
                <w:szCs w:val="17"/>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114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Level</w:t>
            </w:r>
          </w:p>
        </w:tc>
      </w:tr>
      <w:tr>
        <w:trPr>
          <w:trHeight w:val="228"/>
        </w:trPr>
        <w:tc>
          <w:tcPr>
            <w:tcW w:w="46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2025</w:t>
            </w:r>
          </w:p>
        </w:tc>
        <w:tc>
          <w:tcPr>
            <w:tcW w:w="43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tcBorders>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744.1</w:t>
            </w:r>
          </w:p>
        </w:tc>
        <w:tc>
          <w:tcPr>
            <w:tcW w:w="11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$500.0 million fixed rate notes due June 2028</w:t>
            </w:r>
          </w:p>
        </w:tc>
        <w:tc>
          <w:tcPr>
            <w:tcW w:w="438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498.2</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March 2032</w:t>
            </w:r>
          </w:p>
        </w:tc>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679.0</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30"/>
        </w:trPr>
        <w:tc>
          <w:tcPr>
            <w:tcW w:w="4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$750.0 million fixed rate notes due September 2043</w:t>
            </w:r>
          </w:p>
        </w:tc>
        <w:tc>
          <w:tcPr>
            <w:tcW w:w="4380" w:type="dxa"/>
            <w:vAlign w:val="bottom"/>
          </w:tcPr>
          <w:p>
            <w:pPr>
              <w:spacing w:after="0"/>
              <w:rPr>
                <w:sz w:val="19"/>
                <w:szCs w:val="19"/>
                <w:color w:val="auto"/>
              </w:rPr>
            </w:pPr>
          </w:p>
        </w:tc>
        <w:tc>
          <w:tcPr>
            <w:tcW w:w="1080" w:type="dxa"/>
            <w:vAlign w:val="bottom"/>
          </w:tcPr>
          <w:p>
            <w:pPr>
              <w:jc w:val="right"/>
              <w:ind w:right="173"/>
              <w:spacing w:after="0"/>
              <w:rPr>
                <w:sz w:val="20"/>
                <w:szCs w:val="20"/>
                <w:color w:val="auto"/>
              </w:rPr>
            </w:pPr>
            <w:r>
              <w:rPr>
                <w:rFonts w:ascii="Times New Roman" w:cs="Times New Roman" w:eastAsia="Times New Roman" w:hAnsi="Times New Roman"/>
                <w:sz w:val="18"/>
                <w:szCs w:val="18"/>
                <w:color w:val="auto"/>
              </w:rPr>
              <w:t>808.1</w:t>
            </w:r>
          </w:p>
        </w:tc>
        <w:tc>
          <w:tcPr>
            <w:tcW w:w="11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229"/>
        </w:trPr>
        <w:tc>
          <w:tcPr>
            <w:tcW w:w="4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$700.0 million fixed rate notes due June 2048</w:t>
            </w:r>
          </w:p>
        </w:tc>
        <w:tc>
          <w:tcPr>
            <w:tcW w:w="438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173"/>
              <w:spacing w:after="0"/>
              <w:rPr>
                <w:sz w:val="20"/>
                <w:szCs w:val="20"/>
                <w:color w:val="auto"/>
              </w:rPr>
            </w:pPr>
            <w:r>
              <w:rPr>
                <w:rFonts w:ascii="Times New Roman" w:cs="Times New Roman" w:eastAsia="Times New Roman" w:hAnsi="Times New Roman"/>
                <w:sz w:val="18"/>
                <w:szCs w:val="18"/>
                <w:color w:val="auto"/>
              </w:rPr>
              <w:t>631.2</w:t>
            </w:r>
          </w:p>
        </w:tc>
        <w:tc>
          <w:tcPr>
            <w:tcW w:w="11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Level 2</w:t>
            </w:r>
          </w:p>
        </w:tc>
        <w:tc>
          <w:tcPr>
            <w:tcW w:w="40" w:type="dxa"/>
            <w:vAlign w:val="bottom"/>
          </w:tcPr>
          <w:p>
            <w:pPr>
              <w:spacing w:after="0"/>
              <w:rPr>
                <w:sz w:val="19"/>
                <w:szCs w:val="19"/>
                <w:color w:val="auto"/>
              </w:rPr>
            </w:pPr>
          </w:p>
        </w:tc>
      </w:tr>
      <w:tr>
        <w:trPr>
          <w:trHeight w:val="878"/>
        </w:trPr>
        <w:tc>
          <w:tcPr>
            <w:tcW w:w="4640" w:type="dxa"/>
            <w:vAlign w:val="bottom"/>
          </w:tcPr>
          <w:p>
            <w:pPr>
              <w:spacing w:after="0"/>
              <w:rPr>
                <w:sz w:val="24"/>
                <w:szCs w:val="24"/>
                <w:color w:val="auto"/>
              </w:rPr>
            </w:pPr>
          </w:p>
        </w:tc>
        <w:tc>
          <w:tcPr>
            <w:tcW w:w="4380" w:type="dxa"/>
            <w:vAlign w:val="bottom"/>
          </w:tcPr>
          <w:p>
            <w:pPr>
              <w:jc w:val="right"/>
              <w:ind w:right="3210"/>
              <w:spacing w:after="0"/>
              <w:rPr>
                <w:sz w:val="20"/>
                <w:szCs w:val="20"/>
                <w:color w:val="auto"/>
              </w:rPr>
            </w:pPr>
            <w:r>
              <w:rPr>
                <w:rFonts w:ascii="Times New Roman" w:cs="Times New Roman" w:eastAsia="Times New Roman" w:hAnsi="Times New Roman"/>
                <w:sz w:val="18"/>
                <w:szCs w:val="18"/>
                <w:color w:val="auto"/>
              </w:rPr>
              <w:t>21</w:t>
            </w:r>
          </w:p>
        </w:tc>
        <w:tc>
          <w:tcPr>
            <w:tcW w:w="10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15"/>
        </w:trPr>
        <w:tc>
          <w:tcPr>
            <w:tcW w:w="464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10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Earnings Per Share</w:t>
      </w:r>
    </w:p>
    <w:p>
      <w:pPr>
        <w:spacing w:after="0" w:line="121"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The company uses the two-class method to calculate basic and diluted earnings per common share because its Series G preferred stock are participating securities. Under the two-class method, undistributed earnings are allocated to common stock and participating securities according to their respective rights in undistributed earnings, as if all of the earnings for the period had been distributed. Basic earnings per common share is computed by dividing the net income attributable to common shareholders by the weighted average number of common shares outstanding during the period. Net income attributable to common shareholders is reduced for preferred stock dividends earned during the period. Preferred stock also receives a proportionate allocation of undistributed or overdistributed earnings for the period because Series G preferred stock has a contractual obligation to share in profits and losses of the company. Diluted earnings per share is computed by dividing the net income attributable to common shareholders by the weighted average number of common shares outstanding plus potentially dilutive common shares. Anti-dilutive stock awards were as follows for the periods presented:</w:t>
      </w:r>
    </w:p>
    <w:p>
      <w:pPr>
        <w:spacing w:after="0" w:line="10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6460" w:type="dxa"/>
            <w:vAlign w:val="bottom"/>
          </w:tcPr>
          <w:p>
            <w:pPr>
              <w:spacing w:after="0"/>
              <w:rPr>
                <w:sz w:val="13"/>
                <w:szCs w:val="13"/>
                <w:color w:val="auto"/>
              </w:rPr>
            </w:pPr>
          </w:p>
        </w:tc>
        <w:tc>
          <w:tcPr>
            <w:tcW w:w="1620" w:type="dxa"/>
            <w:vAlign w:val="bottom"/>
            <w:gridSpan w:val="3"/>
          </w:tcPr>
          <w:p>
            <w:pPr>
              <w:jc w:val="center"/>
              <w:ind w:left="56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32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94"/>
        </w:trPr>
        <w:tc>
          <w:tcPr>
            <w:tcW w:w="646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Borders>
              <w:bottom w:val="single" w:sz="8" w:color="auto"/>
            </w:tcBorders>
            <w:gridSpan w:val="3"/>
          </w:tcPr>
          <w:p>
            <w:pPr>
              <w:jc w:val="center"/>
              <w:ind w:left="62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r>
      <w:tr>
        <w:trPr>
          <w:trHeight w:val="196"/>
        </w:trPr>
        <w:tc>
          <w:tcPr>
            <w:tcW w:w="6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thousands)</w:t>
            </w:r>
          </w:p>
        </w:tc>
        <w:tc>
          <w:tcPr>
            <w:tcW w:w="1100" w:type="dxa"/>
            <w:vAlign w:val="bottom"/>
            <w:tcBorders>
              <w:bottom w:val="single" w:sz="8" w:color="auto"/>
            </w:tcBorders>
          </w:tcPr>
          <w:p>
            <w:pPr>
              <w:jc w:val="right"/>
              <w:ind w:right="32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341"/>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w w:val="99"/>
              </w:rPr>
              <w:t>2023</w:t>
            </w:r>
          </w:p>
        </w:tc>
      </w:tr>
      <w:tr>
        <w:trPr>
          <w:trHeight w:val="229"/>
        </w:trPr>
        <w:tc>
          <w:tcPr>
            <w:tcW w:w="6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Stock awards</w:t>
            </w:r>
          </w:p>
        </w:tc>
        <w:tc>
          <w:tcPr>
            <w:tcW w:w="110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1"/>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23"/>
        </w:trPr>
        <w:tc>
          <w:tcPr>
            <w:tcW w:w="6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10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1"/>
              <w:spacing w:after="0"/>
              <w:rPr>
                <w:sz w:val="20"/>
                <w:szCs w:val="20"/>
                <w:color w:val="auto"/>
              </w:rPr>
            </w:pPr>
            <w:r>
              <w:rPr>
                <w:rFonts w:ascii="Times New Roman" w:cs="Times New Roman" w:eastAsia="Times New Roman" w:hAnsi="Times New Roman"/>
                <w:sz w:val="18"/>
                <w:szCs w:val="18"/>
                <w:color w:val="auto"/>
              </w:rPr>
              <w:t>334</w:t>
            </w:r>
          </w:p>
        </w:tc>
        <w:tc>
          <w:tcPr>
            <w:tcW w:w="10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w:t>
            </w:r>
          </w:p>
        </w:tc>
      </w:tr>
      <w:tr>
        <w:trPr>
          <w:trHeight w:val="21"/>
        </w:trPr>
        <w:tc>
          <w:tcPr>
            <w:tcW w:w="646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earnings per share calculation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4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64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648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2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0" w:type="dxa"/>
            <w:vAlign w:val="bottom"/>
          </w:tcPr>
          <w:p>
            <w:pPr>
              <w:spacing w:after="0"/>
              <w:rPr>
                <w:sz w:val="1"/>
                <w:szCs w:val="1"/>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 xml:space="preserve">Net Income </w:t>
            </w:r>
            <w:r>
              <w:rPr>
                <w:rFonts w:ascii="Times New Roman" w:cs="Times New Roman" w:eastAsia="Times New Roman" w:hAnsi="Times New Roman"/>
                <w:sz w:val="18"/>
                <w:szCs w:val="18"/>
                <w:i w:val="1"/>
                <w:iCs w:val="1"/>
                <w:color w:val="auto"/>
              </w:rPr>
              <w:t>(in millions)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912.8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2,651.2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2,411.6</w:t>
            </w:r>
          </w:p>
        </w:tc>
        <w:tc>
          <w:tcPr>
            <w:tcW w:w="0" w:type="dxa"/>
            <w:vAlign w:val="bottom"/>
          </w:tcPr>
          <w:p>
            <w:pPr>
              <w:spacing w:after="0"/>
              <w:rPr>
                <w:sz w:val="1"/>
                <w:szCs w:val="1"/>
                <w:color w:val="auto"/>
              </w:rPr>
            </w:pPr>
          </w:p>
        </w:tc>
      </w:tr>
      <w:tr>
        <w:trPr>
          <w:trHeight w:val="229"/>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preferred stock dividends</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undistributed earnings allocated to preferred stock</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0" w:type="dxa"/>
            <w:vAlign w:val="bottom"/>
          </w:tcPr>
          <w:p>
            <w:pPr>
              <w:spacing w:after="0"/>
              <w:rPr>
                <w:sz w:val="1"/>
                <w:szCs w:val="1"/>
                <w:color w:val="auto"/>
              </w:rPr>
            </w:pPr>
          </w:p>
        </w:tc>
      </w:tr>
      <w:tr>
        <w:trPr>
          <w:trHeight w:val="223"/>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 Attributable to Common Shareholders of CME Group</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901.3</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740.8</w:t>
            </w:r>
          </w:p>
        </w:tc>
        <w:tc>
          <w:tcPr>
            <w:tcW w:w="120" w:type="dxa"/>
            <w:vAlign w:val="bottom"/>
          </w:tcPr>
          <w:p>
            <w:pPr>
              <w:spacing w:after="0"/>
              <w:rPr>
                <w:sz w:val="19"/>
                <w:szCs w:val="19"/>
                <w:color w:val="auto"/>
              </w:rPr>
            </w:pP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2,617.8</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2,381.3</w:t>
            </w:r>
          </w:p>
        </w:tc>
        <w:tc>
          <w:tcPr>
            <w:tcW w:w="0" w:type="dxa"/>
            <w:vAlign w:val="bottom"/>
          </w:tcPr>
          <w:p>
            <w:pPr>
              <w:spacing w:after="0"/>
              <w:rPr>
                <w:sz w:val="1"/>
                <w:szCs w:val="1"/>
                <w:color w:val="auto"/>
              </w:rPr>
            </w:pPr>
          </w:p>
        </w:tc>
      </w:tr>
      <w:tr>
        <w:trPr>
          <w:trHeight w:val="20"/>
        </w:trPr>
        <w:tc>
          <w:tcPr>
            <w:tcW w:w="64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64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xml:space="preserve">Weighted Average Number of Common Shares </w:t>
            </w:r>
            <w:r>
              <w:rPr>
                <w:rFonts w:ascii="Times New Roman" w:cs="Times New Roman" w:eastAsia="Times New Roman" w:hAnsi="Times New Roman"/>
                <w:sz w:val="18"/>
                <w:szCs w:val="18"/>
                <w:i w:val="1"/>
                <w:iCs w:val="1"/>
                <w:color w:val="auto"/>
              </w:rPr>
              <w:t>(in thousands)</w:t>
            </w:r>
            <w:r>
              <w:rPr>
                <w:rFonts w:ascii="Times New Roman" w:cs="Times New Roman" w:eastAsia="Times New Roman" w:hAnsi="Times New Roman"/>
                <w:sz w:val="18"/>
                <w:szCs w:val="18"/>
                <w:color w:val="auto"/>
              </w:rPr>
              <w:t>:</w:t>
            </w: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359,400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359,020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358,965</w:t>
            </w:r>
          </w:p>
        </w:tc>
        <w:tc>
          <w:tcPr>
            <w:tcW w:w="0" w:type="dxa"/>
            <w:vAlign w:val="bottom"/>
          </w:tcPr>
          <w:p>
            <w:pPr>
              <w:spacing w:after="0"/>
              <w:rPr>
                <w:sz w:val="1"/>
                <w:szCs w:val="1"/>
                <w:color w:val="auto"/>
              </w:rPr>
            </w:pPr>
          </w:p>
        </w:tc>
      </w:tr>
      <w:tr>
        <w:trPr>
          <w:trHeight w:val="229"/>
        </w:trPr>
        <w:tc>
          <w:tcPr>
            <w:tcW w:w="6480" w:type="dxa"/>
            <w:vAlign w:val="bottom"/>
            <w:tcBorders>
              <w:bottom w:val="single" w:sz="8" w:color="CCEEFF"/>
            </w:tcBorders>
          </w:tcPr>
          <w:p>
            <w:pPr>
              <w:ind w:left="360"/>
              <w:spacing w:after="0"/>
              <w:rPr>
                <w:sz w:val="20"/>
                <w:szCs w:val="20"/>
                <w:color w:val="auto"/>
              </w:rPr>
            </w:pPr>
            <w:r>
              <w:rPr>
                <w:rFonts w:ascii="Times New Roman" w:cs="Times New Roman" w:eastAsia="Times New Roman" w:hAnsi="Times New Roman"/>
                <w:sz w:val="18"/>
                <w:szCs w:val="18"/>
                <w:color w:val="auto"/>
              </w:rPr>
              <w:t>Effect of stock options, restricted stock and performance shares</w:t>
            </w:r>
          </w:p>
        </w:tc>
        <w:tc>
          <w:tcPr>
            <w:tcW w:w="26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589</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0" w:type="dxa"/>
            <w:vAlign w:val="bottom"/>
          </w:tcPr>
          <w:p>
            <w:pPr>
              <w:spacing w:after="0"/>
              <w:rPr>
                <w:sz w:val="1"/>
                <w:szCs w:val="1"/>
                <w:color w:val="auto"/>
              </w:rPr>
            </w:pPr>
          </w:p>
        </w:tc>
      </w:tr>
      <w:tr>
        <w:trPr>
          <w:trHeight w:val="248"/>
        </w:trPr>
        <w:tc>
          <w:tcPr>
            <w:tcW w:w="6480" w:type="dxa"/>
            <w:vAlign w:val="bottom"/>
            <w:tcBorders>
              <w:bottom w:val="single" w:sz="8" w:color="CCEEFF"/>
            </w:tcBorders>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Borders>
              <w:bottom w:val="single" w:sz="8" w:color="auto"/>
            </w:tcBorders>
            <w:shd w:val="clear" w:color="auto" w:fill="CCEEFF"/>
          </w:tcPr>
          <w:p>
            <w:pPr>
              <w:spacing w:after="0"/>
              <w:rPr>
                <w:sz w:val="21"/>
                <w:szCs w:val="21"/>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359,989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359,619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359,899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spacing w:after="0"/>
              <w:rPr>
                <w:sz w:val="21"/>
                <w:szCs w:val="21"/>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359,448</w:t>
            </w:r>
          </w:p>
        </w:tc>
        <w:tc>
          <w:tcPr>
            <w:tcW w:w="0" w:type="dxa"/>
            <w:vAlign w:val="bottom"/>
          </w:tcPr>
          <w:p>
            <w:pPr>
              <w:spacing w:after="0"/>
              <w:rPr>
                <w:sz w:val="1"/>
                <w:szCs w:val="1"/>
                <w:color w:val="auto"/>
              </w:rPr>
            </w:pPr>
          </w:p>
        </w:tc>
      </w:tr>
      <w:tr>
        <w:trPr>
          <w:trHeight w:val="20"/>
        </w:trPr>
        <w:tc>
          <w:tcPr>
            <w:tcW w:w="64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color w:val="auto"/>
              </w:rPr>
              <w:t>Earnings per Common Share Attributable to Common Shareholders of CME Group:</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6480" w:type="dxa"/>
            <w:vAlign w:val="bottom"/>
            <w:vMerge w:val="continue"/>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64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7.29</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0" w:type="dxa"/>
            <w:vAlign w:val="bottom"/>
          </w:tcPr>
          <w:p>
            <w:pPr>
              <w:spacing w:after="0"/>
              <w:rPr>
                <w:sz w:val="1"/>
                <w:szCs w:val="1"/>
                <w:color w:val="auto"/>
              </w:rPr>
            </w:pPr>
          </w:p>
        </w:tc>
      </w:tr>
      <w:tr>
        <w:trPr>
          <w:trHeight w:val="234"/>
        </w:trPr>
        <w:tc>
          <w:tcPr>
            <w:tcW w:w="64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7.27</w:t>
            </w:r>
          </w:p>
        </w:tc>
        <w:tc>
          <w:tcPr>
            <w:tcW w:w="1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6.62</w:t>
            </w:r>
          </w:p>
        </w:tc>
        <w:tc>
          <w:tcPr>
            <w:tcW w:w="0" w:type="dxa"/>
            <w:vAlign w:val="bottom"/>
          </w:tcPr>
          <w:p>
            <w:pPr>
              <w:spacing w:after="0"/>
              <w:rPr>
                <w:sz w:val="1"/>
                <w:szCs w:val="1"/>
                <w:color w:val="auto"/>
              </w:rPr>
            </w:pPr>
          </w:p>
        </w:tc>
      </w:tr>
    </w:tbl>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Subsequent Events</w:t>
      </w:r>
    </w:p>
    <w:p>
      <w:pPr>
        <w:spacing w:after="0" w:line="121"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The company has evaluated subsequent events through the date the financial statements were issued. The company has determined that there were no subsequent events that met the requirement for recognition or disclosure in the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MANAGEMENT’S DISCUSSION AND ANALYSIS OF FINANCIAL CONDITION AND RESULTS OF OPERATIONS</w:t>
      </w:r>
    </w:p>
    <w:p>
      <w:pPr>
        <w:spacing w:after="0" w:line="121" w:lineRule="exact"/>
        <w:rPr>
          <w:sz w:val="20"/>
          <w:szCs w:val="20"/>
          <w:color w:val="auto"/>
        </w:rPr>
      </w:pPr>
    </w:p>
    <w:p>
      <w:pPr>
        <w:ind w:right="280"/>
        <w:spacing w:after="0" w:line="266" w:lineRule="auto"/>
        <w:rPr>
          <w:sz w:val="20"/>
          <w:szCs w:val="20"/>
          <w:color w:val="auto"/>
        </w:rPr>
      </w:pPr>
      <w:r>
        <w:rPr>
          <w:rFonts w:ascii="Times New Roman" w:cs="Times New Roman" w:eastAsia="Times New Roman" w:hAnsi="Times New Roman"/>
          <w:sz w:val="18"/>
          <w:szCs w:val="18"/>
          <w:color w:val="auto"/>
        </w:rPr>
        <w:t>The following discussion is provided as a supplement to, and should be read in conjunction with, the accompanying unaudited consolidated financial statements and notes in this Quarterly Report on Form 10-Q and our Annual Report on Form 10-K for the year ended December 31, 2023, filed with the SEC on February 28, 2024.</w:t>
      </w:r>
    </w:p>
    <w:p>
      <w:pPr>
        <w:spacing w:after="0" w:line="68"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References in this discussion and analysis to “we” and “our” are to CME Group Inc. (CME Group) and its consolidated subsidiaries, collectively. References to “exchange” are to Chicago Mercantile Exchange Inc. (CME), the Board of Trade of the City of Chicago, Inc. (CBOT), New York Mercantile Exchange, Inc. (NYMEX), and Commodity Exchange, Inc. (COMEX), collectively, unless otherwise noted.</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Financial Highlights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summarizes significant changes in our financial performance for the periods presented.</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180" w:type="dxa"/>
            <w:vAlign w:val="bottom"/>
            <w:gridSpan w:val="5"/>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00" w:type="dxa"/>
            <w:vAlign w:val="bottom"/>
          </w:tcPr>
          <w:p>
            <w:pPr>
              <w:spacing w:after="0"/>
              <w:rPr>
                <w:sz w:val="13"/>
                <w:szCs w:val="13"/>
                <w:color w:val="auto"/>
              </w:rPr>
            </w:pPr>
          </w:p>
        </w:tc>
      </w:tr>
      <w:tr>
        <w:trPr>
          <w:trHeight w:val="194"/>
        </w:trPr>
        <w:tc>
          <w:tcPr>
            <w:tcW w:w="3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300" w:type="dxa"/>
            <w:vAlign w:val="bottom"/>
          </w:tcPr>
          <w:p>
            <w:pPr>
              <w:spacing w:after="0"/>
              <w:rPr>
                <w:sz w:val="16"/>
                <w:szCs w:val="16"/>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 except per share data)</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w w:val="96"/>
              </w:rPr>
              <w:t>1,584.4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w w:val="99"/>
              </w:rPr>
              <w:t>1,337.8</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18 %</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4,604.8</w:t>
            </w:r>
          </w:p>
        </w:tc>
        <w:tc>
          <w:tcPr>
            <w:tcW w:w="480" w:type="dxa"/>
            <w:vAlign w:val="bottom"/>
            <w:gridSpan w:val="2"/>
            <w:shd w:val="clear" w:color="auto" w:fill="CCEEFF"/>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w w:val="99"/>
              </w:rPr>
              <w:t>4,139.6</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11 %</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560.2</w:t>
            </w:r>
          </w:p>
        </w:tc>
        <w:tc>
          <w:tcPr>
            <w:tcW w:w="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517.6</w:t>
            </w:r>
          </w:p>
        </w:tc>
        <w:tc>
          <w:tcPr>
            <w:tcW w:w="120" w:type="dxa"/>
            <w:vAlign w:val="bottom"/>
          </w:tcPr>
          <w:p>
            <w:pPr>
              <w:spacing w:after="0"/>
              <w:rPr>
                <w:sz w:val="19"/>
                <w:szCs w:val="19"/>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8</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99"/>
              </w:rPr>
              <w:t>1,567.1</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3</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margin</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64.6 %</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61.3 %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64.8 %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62.1 %</w:t>
            </w:r>
          </w:p>
        </w:tc>
        <w:tc>
          <w:tcPr>
            <w:tcW w:w="1300" w:type="dxa"/>
            <w:vAlign w:val="bottom"/>
            <w:shd w:val="clear" w:color="auto" w:fill="CCEEFF"/>
          </w:tcPr>
          <w:p>
            <w:pPr>
              <w:spacing w:after="0"/>
              <w:rPr>
                <w:sz w:val="19"/>
                <w:szCs w:val="19"/>
                <w:color w:val="auto"/>
              </w:rPr>
            </w:pP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Non-operating income (expense)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152.7</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154.1</w:t>
            </w:r>
          </w:p>
        </w:tc>
        <w:tc>
          <w:tcPr>
            <w:tcW w:w="120" w:type="dxa"/>
            <w:vAlign w:val="bottom"/>
          </w:tcPr>
          <w:p>
            <w:pPr>
              <w:spacing w:after="0"/>
              <w:rPr>
                <w:sz w:val="19"/>
                <w:szCs w:val="19"/>
                <w:color w:val="auto"/>
              </w:rPr>
            </w:pPr>
          </w:p>
        </w:tc>
        <w:tc>
          <w:tcPr>
            <w:tcW w:w="1300" w:type="dxa"/>
            <w:vAlign w:val="bottom"/>
          </w:tcPr>
          <w:p>
            <w:pPr>
              <w:jc w:val="right"/>
              <w:ind w:right="213"/>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460.4</w:t>
            </w:r>
          </w:p>
        </w:tc>
        <w:tc>
          <w:tcPr>
            <w:tcW w:w="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575.1</w:t>
            </w:r>
          </w:p>
        </w:tc>
        <w:tc>
          <w:tcPr>
            <w:tcW w:w="60" w:type="dxa"/>
            <w:vAlign w:val="bottom"/>
          </w:tcPr>
          <w:p>
            <w:pPr>
              <w:spacing w:after="0"/>
              <w:rPr>
                <w:sz w:val="19"/>
                <w:szCs w:val="19"/>
                <w:color w:val="auto"/>
              </w:rPr>
            </w:pPr>
          </w:p>
        </w:tc>
        <w:tc>
          <w:tcPr>
            <w:tcW w:w="1300" w:type="dxa"/>
            <w:vAlign w:val="bottom"/>
          </w:tcPr>
          <w:p>
            <w:pPr>
              <w:jc w:val="right"/>
              <w:ind w:right="93"/>
              <w:spacing w:after="0"/>
              <w:rPr>
                <w:sz w:val="20"/>
                <w:szCs w:val="20"/>
                <w:color w:val="auto"/>
              </w:rPr>
            </w:pPr>
            <w:r>
              <w:rPr>
                <w:rFonts w:ascii="Times New Roman" w:cs="Times New Roman" w:eastAsia="Times New Roman" w:hAnsi="Times New Roman"/>
                <w:sz w:val="18"/>
                <w:szCs w:val="18"/>
                <w:color w:val="auto"/>
              </w:rPr>
              <w:t>(20)</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Effective tax rate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22.4 %</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23.0 %</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23.0 %</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23.4 %</w:t>
            </w:r>
          </w:p>
        </w:tc>
        <w:tc>
          <w:tcPr>
            <w:tcW w:w="1300" w:type="dxa"/>
            <w:vAlign w:val="bottom"/>
            <w:shd w:val="clear" w:color="auto" w:fill="CCEEFF"/>
          </w:tcPr>
          <w:p>
            <w:pPr>
              <w:spacing w:after="0"/>
              <w:rPr>
                <w:sz w:val="19"/>
                <w:szCs w:val="19"/>
                <w:color w:val="auto"/>
              </w:rPr>
            </w:pPr>
          </w:p>
        </w:tc>
      </w:tr>
      <w:tr>
        <w:trPr>
          <w:trHeight w:val="230"/>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32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20" w:type="dxa"/>
            <w:vAlign w:val="bottom"/>
          </w:tcPr>
          <w:p>
            <w:pPr>
              <w:spacing w:after="0"/>
              <w:rPr>
                <w:sz w:val="19"/>
                <w:szCs w:val="19"/>
                <w:color w:val="auto"/>
              </w:rPr>
            </w:pPr>
          </w:p>
        </w:tc>
        <w:tc>
          <w:tcPr>
            <w:tcW w:w="820" w:type="dxa"/>
            <w:vAlign w:val="bottom"/>
          </w:tcPr>
          <w:p>
            <w:pPr>
              <w:jc w:val="right"/>
              <w:ind w:right="196"/>
              <w:spacing w:after="0"/>
              <w:rPr>
                <w:sz w:val="20"/>
                <w:szCs w:val="20"/>
                <w:color w:val="auto"/>
              </w:rPr>
            </w:pPr>
            <w:r>
              <w:rPr>
                <w:rFonts w:ascii="Times New Roman" w:cs="Times New Roman" w:eastAsia="Times New Roman" w:hAnsi="Times New Roman"/>
                <w:sz w:val="18"/>
                <w:szCs w:val="18"/>
                <w:color w:val="auto"/>
              </w:rPr>
              <w:t>912.8</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750.2</w:t>
            </w:r>
          </w:p>
        </w:tc>
        <w:tc>
          <w:tcPr>
            <w:tcW w:w="120" w:type="dxa"/>
            <w:vAlign w:val="bottom"/>
          </w:tcPr>
          <w:p>
            <w:pPr>
              <w:spacing w:after="0"/>
              <w:rPr>
                <w:sz w:val="19"/>
                <w:szCs w:val="19"/>
                <w:color w:val="auto"/>
              </w:rPr>
            </w:pPr>
          </w:p>
        </w:tc>
        <w:tc>
          <w:tcPr>
            <w:tcW w:w="1300" w:type="dxa"/>
            <w:vAlign w:val="bottom"/>
          </w:tcPr>
          <w:p>
            <w:pPr>
              <w:jc w:val="right"/>
              <w:ind w:right="253"/>
              <w:spacing w:after="0"/>
              <w:rPr>
                <w:sz w:val="20"/>
                <w:szCs w:val="20"/>
                <w:color w:val="auto"/>
              </w:rPr>
            </w:pPr>
            <w:r>
              <w:rPr>
                <w:rFonts w:ascii="Times New Roman" w:cs="Times New Roman" w:eastAsia="Times New Roman" w:hAnsi="Times New Roman"/>
                <w:sz w:val="18"/>
                <w:szCs w:val="18"/>
                <w:color w:val="auto"/>
              </w:rPr>
              <w:t>22</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200" w:type="dxa"/>
            <w:vAlign w:val="bottom"/>
          </w:tcPr>
          <w:p>
            <w:pPr>
              <w:spacing w:after="0"/>
              <w:rPr>
                <w:sz w:val="19"/>
                <w:szCs w:val="19"/>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2,651.2</w:t>
            </w:r>
          </w:p>
        </w:tc>
        <w:tc>
          <w:tcPr>
            <w:tcW w:w="480" w:type="dxa"/>
            <w:vAlign w:val="bottom"/>
            <w:gridSpan w:val="2"/>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99"/>
              </w:rPr>
              <w:t>2,411.6</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3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20" w:type="dxa"/>
            <w:vAlign w:val="bottom"/>
            <w:shd w:val="clear" w:color="auto" w:fill="CCEEFF"/>
          </w:tcPr>
          <w:p>
            <w:pPr>
              <w:jc w:val="right"/>
              <w:ind w:right="196"/>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78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53"/>
              <w:spacing w:after="0"/>
              <w:rPr>
                <w:sz w:val="20"/>
                <w:szCs w:val="20"/>
                <w:color w:val="auto"/>
              </w:rPr>
            </w:pPr>
            <w:r>
              <w:rPr>
                <w:rFonts w:ascii="Times New Roman" w:cs="Times New Roman" w:eastAsia="Times New Roman" w:hAnsi="Times New Roman"/>
                <w:sz w:val="18"/>
                <w:szCs w:val="18"/>
                <w:color w:val="auto"/>
              </w:rPr>
              <w:t>21</w:t>
            </w:r>
          </w:p>
        </w:tc>
        <w:tc>
          <w:tcPr>
            <w:tcW w:w="1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7.27</w:t>
            </w: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6.62</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ind w:right="216"/>
              <w:spacing w:after="0"/>
              <w:rPr>
                <w:sz w:val="20"/>
                <w:szCs w:val="20"/>
                <w:color w:val="auto"/>
              </w:rPr>
            </w:pPr>
            <w:r>
              <w:rPr>
                <w:rFonts w:ascii="Times New Roman" w:cs="Times New Roman" w:eastAsia="Times New Roman" w:hAnsi="Times New Roman"/>
                <w:sz w:val="18"/>
                <w:szCs w:val="18"/>
                <w:color w:val="auto"/>
              </w:rPr>
              <w:t>2,672.6</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2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w w:val="99"/>
              </w:rPr>
              <w:t>2,409.5</w:t>
            </w:r>
          </w:p>
        </w:tc>
        <w:tc>
          <w:tcPr>
            <w:tcW w:w="60" w:type="dxa"/>
            <w:vAlign w:val="bottom"/>
          </w:tcPr>
          <w:p>
            <w:pPr>
              <w:spacing w:after="0"/>
              <w:rPr>
                <w:sz w:val="20"/>
                <w:szCs w:val="20"/>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r>
      <w:tr>
        <w:trPr>
          <w:trHeight w:val="414"/>
        </w:trPr>
        <w:tc>
          <w:tcPr>
            <w:tcW w:w="34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Revenues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70"/>
        </w:trPr>
        <w:tc>
          <w:tcPr>
            <w:tcW w:w="34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0" w:type="dxa"/>
            <w:vAlign w:val="bottom"/>
            <w:gridSpan w:val="6"/>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180" w:type="dxa"/>
            <w:vAlign w:val="bottom"/>
            <w:gridSpan w:val="5"/>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00" w:type="dxa"/>
            <w:vAlign w:val="bottom"/>
          </w:tcPr>
          <w:p>
            <w:pPr>
              <w:spacing w:after="0"/>
              <w:rPr>
                <w:sz w:val="23"/>
                <w:szCs w:val="23"/>
                <w:color w:val="auto"/>
              </w:rPr>
            </w:pPr>
          </w:p>
        </w:tc>
      </w:tr>
      <w:tr>
        <w:trPr>
          <w:trHeight w:val="196"/>
        </w:trPr>
        <w:tc>
          <w:tcPr>
            <w:tcW w:w="34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2200" w:type="dxa"/>
            <w:vAlign w:val="bottom"/>
            <w:tcBorders>
              <w:bottom w:val="single" w:sz="8" w:color="auto"/>
            </w:tcBorders>
            <w:gridSpan w:val="6"/>
          </w:tcPr>
          <w:p>
            <w:pPr>
              <w:jc w:val="right"/>
              <w:ind w:right="72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4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3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15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8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 w:type="dxa"/>
            <w:vAlign w:val="bottom"/>
            <w:tcBorders>
              <w:bottom w:val="single" w:sz="8" w:color="auto"/>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38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ind w:right="313"/>
              <w:spacing w:after="0"/>
              <w:rPr>
                <w:sz w:val="20"/>
                <w:szCs w:val="20"/>
                <w:color w:val="auto"/>
              </w:rPr>
            </w:pPr>
            <w:r>
              <w:rPr>
                <w:rFonts w:ascii="Times New Roman" w:cs="Times New Roman" w:eastAsia="Times New Roman" w:hAnsi="Times New Roman"/>
                <w:sz w:val="14"/>
                <w:szCs w:val="14"/>
                <w:b w:val="1"/>
                <w:bCs w:val="1"/>
                <w:color w:val="auto"/>
              </w:rPr>
              <w:t>2023</w:t>
            </w:r>
          </w:p>
        </w:tc>
        <w:tc>
          <w:tcPr>
            <w:tcW w:w="60" w:type="dxa"/>
            <w:vAlign w:val="bottom"/>
            <w:tcBorders>
              <w:bottom w:val="single" w:sz="8" w:color="auto"/>
            </w:tcBorders>
          </w:tcPr>
          <w:p>
            <w:pPr>
              <w:spacing w:after="0"/>
              <w:rPr>
                <w:sz w:val="17"/>
                <w:szCs w:val="17"/>
                <w:color w:val="auto"/>
              </w:rPr>
            </w:pPr>
          </w:p>
        </w:tc>
        <w:tc>
          <w:tcPr>
            <w:tcW w:w="13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w:t>
            </w:r>
          </w:p>
        </w:tc>
        <w:tc>
          <w:tcPr>
            <w:tcW w:w="4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1,297.1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1,085.5</w:t>
            </w:r>
          </w:p>
        </w:tc>
        <w:tc>
          <w:tcPr>
            <w:tcW w:w="16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  $</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3,755.9</w:t>
            </w:r>
          </w:p>
        </w:tc>
        <w:tc>
          <w:tcPr>
            <w:tcW w:w="480" w:type="dxa"/>
            <w:vAlign w:val="bottom"/>
            <w:gridSpan w:val="2"/>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3,404.0</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10 %</w:t>
            </w:r>
          </w:p>
        </w:tc>
      </w:tr>
      <w:tr>
        <w:trPr>
          <w:trHeight w:val="229"/>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Market data and information services</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167.6</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6</w:t>
            </w:r>
          </w:p>
        </w:tc>
        <w:tc>
          <w:tcPr>
            <w:tcW w:w="1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528.6</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496.5</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34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84.7</w:t>
            </w:r>
          </w:p>
        </w:tc>
        <w:tc>
          <w:tcPr>
            <w:tcW w:w="1300" w:type="dxa"/>
            <w:vAlign w:val="bottom"/>
            <w:shd w:val="clear" w:color="auto" w:fill="CCEEFF"/>
          </w:tcPr>
          <w:p>
            <w:pPr>
              <w:jc w:val="right"/>
              <w:ind w:right="73"/>
              <w:spacing w:after="0"/>
              <w:rPr>
                <w:sz w:val="20"/>
                <w:szCs w:val="20"/>
                <w:color w:val="auto"/>
              </w:rPr>
            </w:pPr>
            <w:r>
              <w:rPr>
                <w:rFonts w:ascii="Times New Roman" w:cs="Times New Roman" w:eastAsia="Times New Roman" w:hAnsi="Times New Roman"/>
                <w:sz w:val="18"/>
                <w:szCs w:val="18"/>
                <w:color w:val="auto"/>
              </w:rPr>
              <w:t>29</w:t>
            </w:r>
          </w:p>
        </w:tc>
        <w:tc>
          <w:tcPr>
            <w:tcW w:w="16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320.3</w:t>
            </w: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239.1</w:t>
            </w:r>
          </w:p>
        </w:tc>
        <w:tc>
          <w:tcPr>
            <w:tcW w:w="6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133"/>
              <w:spacing w:after="0"/>
              <w:rPr>
                <w:sz w:val="20"/>
                <w:szCs w:val="20"/>
                <w:color w:val="auto"/>
              </w:rPr>
            </w:pPr>
            <w:r>
              <w:rPr>
                <w:rFonts w:ascii="Times New Roman" w:cs="Times New Roman" w:eastAsia="Times New Roman" w:hAnsi="Times New Roman"/>
                <w:sz w:val="18"/>
                <w:szCs w:val="18"/>
                <w:color w:val="auto"/>
              </w:rPr>
              <w:t>34</w:t>
            </w:r>
          </w:p>
        </w:tc>
      </w:tr>
      <w:tr>
        <w:trPr>
          <w:trHeight w:val="223"/>
        </w:trPr>
        <w:tc>
          <w:tcPr>
            <w:tcW w:w="34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Revenues</w:t>
            </w:r>
          </w:p>
        </w:tc>
        <w:tc>
          <w:tcPr>
            <w:tcW w:w="32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1,584.4</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1,337.8</w:t>
            </w:r>
          </w:p>
        </w:tc>
        <w:tc>
          <w:tcPr>
            <w:tcW w:w="1300" w:type="dxa"/>
            <w:vAlign w:val="bottom"/>
          </w:tcPr>
          <w:p>
            <w:pPr>
              <w:jc w:val="right"/>
              <w:ind w:right="73"/>
              <w:spacing w:after="0"/>
              <w:rPr>
                <w:sz w:val="20"/>
                <w:szCs w:val="20"/>
                <w:color w:val="auto"/>
              </w:rPr>
            </w:pPr>
            <w:r>
              <w:rPr>
                <w:rFonts w:ascii="Times New Roman" w:cs="Times New Roman" w:eastAsia="Times New Roman" w:hAnsi="Times New Roman"/>
                <w:sz w:val="18"/>
                <w:szCs w:val="18"/>
                <w:color w:val="auto"/>
              </w:rPr>
              <w:t>18</w:t>
            </w:r>
          </w:p>
        </w:tc>
        <w:tc>
          <w:tcPr>
            <w:tcW w:w="16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4,604.8</w:t>
            </w:r>
          </w:p>
        </w:tc>
        <w:tc>
          <w:tcPr>
            <w:tcW w:w="10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4,139.6</w:t>
            </w:r>
          </w:p>
        </w:tc>
        <w:tc>
          <w:tcPr>
            <w:tcW w:w="60" w:type="dxa"/>
            <w:vAlign w:val="bottom"/>
          </w:tcPr>
          <w:p>
            <w:pPr>
              <w:spacing w:after="0"/>
              <w:rPr>
                <w:sz w:val="19"/>
                <w:szCs w:val="19"/>
                <w:color w:val="auto"/>
              </w:rPr>
            </w:pPr>
          </w:p>
        </w:tc>
        <w:tc>
          <w:tcPr>
            <w:tcW w:w="1300" w:type="dxa"/>
            <w:vAlign w:val="bottom"/>
          </w:tcPr>
          <w:p>
            <w:pPr>
              <w:jc w:val="right"/>
              <w:ind w:right="133"/>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3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bl>
    <w:p>
      <w:pPr>
        <w:spacing w:after="0" w:line="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Clearing and Transaction Fees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Futures and Options Contracts</w:t>
      </w:r>
    </w:p>
    <w:p>
      <w:pPr>
        <w:spacing w:after="0" w:line="117" w:lineRule="exact"/>
        <w:rPr>
          <w:sz w:val="20"/>
          <w:szCs w:val="20"/>
          <w:color w:val="auto"/>
        </w:rPr>
      </w:pPr>
    </w:p>
    <w:p>
      <w:pPr>
        <w:ind w:right="120"/>
        <w:spacing w:after="0" w:line="258" w:lineRule="auto"/>
        <w:rPr>
          <w:sz w:val="20"/>
          <w:szCs w:val="20"/>
          <w:color w:val="auto"/>
        </w:rPr>
      </w:pPr>
      <w:r>
        <w:rPr>
          <w:rFonts w:ascii="Times New Roman" w:cs="Times New Roman" w:eastAsia="Times New Roman" w:hAnsi="Times New Roman"/>
          <w:sz w:val="18"/>
          <w:szCs w:val="18"/>
          <w:color w:val="auto"/>
        </w:rPr>
        <w:t>The following table summarizes our total contract volume, revenue and average rate per contract for futures and options. Total contract volume includes contracts that are traded on our exchange and cleared through our clearing house and certain cleared-only contracts. Volume is measured in round turns, which is considered a completed transaction that involves a purchase and an offsetting sale of a contract. Average rate per contract is determined by dividing total clearing and transaction fees by total contract volume. Contract volume and average rate per contract disclosures exclude trading volume for the cash markets business and interest rate swaps volume.</w:t>
      </w:r>
    </w:p>
    <w:p>
      <w:pPr>
        <w:spacing w:after="0" w:line="7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6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3"/>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7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780" w:type="dxa"/>
            <w:vAlign w:val="bottom"/>
            <w:tcBorders>
              <w:bottom w:val="single" w:sz="8" w:color="auto"/>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4"/>
                <w:szCs w:val="14"/>
                <w:b w:val="1"/>
                <w:bCs w:val="1"/>
                <w:color w:val="auto"/>
              </w:rPr>
              <w:t>2024</w:t>
            </w:r>
          </w:p>
        </w:tc>
        <w:tc>
          <w:tcPr>
            <w:tcW w:w="4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contract volume (in millions)</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1,810.5</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1,408.2</w:t>
            </w: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29 %</w:t>
            </w:r>
          </w:p>
        </w:tc>
        <w:tc>
          <w:tcPr>
            <w:tcW w:w="26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5,052.8</w:t>
            </w:r>
          </w:p>
        </w:tc>
        <w:tc>
          <w:tcPr>
            <w:tcW w:w="48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4,492.0</w:t>
            </w:r>
          </w:p>
        </w:tc>
        <w:tc>
          <w:tcPr>
            <w:tcW w:w="1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12 %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Clearing and transaction fees (in millions)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1,205.3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994.8</w:t>
            </w: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21</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3,479.3</w:t>
            </w:r>
          </w:p>
        </w:tc>
        <w:tc>
          <w:tcPr>
            <w:tcW w:w="4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3,125.6</w:t>
            </w: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11</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Average rate per contract</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0.666</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0.707</w:t>
            </w:r>
          </w:p>
        </w:tc>
        <w:tc>
          <w:tcPr>
            <w:tcW w:w="146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(6)</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0.689</w:t>
            </w:r>
          </w:p>
        </w:tc>
        <w:tc>
          <w:tcPr>
            <w:tcW w:w="4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0.696</w:t>
            </w:r>
          </w:p>
        </w:tc>
        <w:tc>
          <w:tcPr>
            <w:tcW w:w="136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We estimate the following net changes in clearing and transaction fees based on the changes in total contract volumes and the changes in average rate per contract for futures and options during the third quarter and first nine months of 2024 when compared with the same periods in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78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120" w:type="dxa"/>
            <w:vAlign w:val="bottom"/>
          </w:tcPr>
          <w:p>
            <w:pPr>
              <w:spacing w:after="0"/>
              <w:rPr>
                <w:sz w:val="13"/>
                <w:szCs w:val="13"/>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Pr>
          <w:p>
            <w:pPr>
              <w:spacing w:after="0"/>
              <w:rPr>
                <w:sz w:val="13"/>
                <w:szCs w:val="13"/>
                <w:color w:val="auto"/>
              </w:rPr>
            </w:pPr>
          </w:p>
        </w:tc>
        <w:tc>
          <w:tcPr>
            <w:tcW w:w="1020" w:type="dxa"/>
            <w:vAlign w:val="bottom"/>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Nine Months</w:t>
            </w:r>
          </w:p>
        </w:tc>
        <w:tc>
          <w:tcPr>
            <w:tcW w:w="0" w:type="dxa"/>
            <w:vAlign w:val="bottom"/>
          </w:tcPr>
          <w:p>
            <w:pPr>
              <w:spacing w:after="0"/>
              <w:rPr>
                <w:sz w:val="1"/>
                <w:szCs w:val="1"/>
                <w:color w:val="auto"/>
              </w:rPr>
            </w:pPr>
          </w:p>
        </w:tc>
      </w:tr>
      <w:tr>
        <w:trPr>
          <w:trHeight w:val="195"/>
        </w:trPr>
        <w:tc>
          <w:tcPr>
            <w:tcW w:w="87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4"/>
                <w:szCs w:val="14"/>
                <w:b w:val="1"/>
                <w:bCs w:val="1"/>
                <w:color w:val="auto"/>
              </w:rPr>
              <w:t>Ended</w:t>
            </w:r>
          </w:p>
        </w:tc>
        <w:tc>
          <w:tcPr>
            <w:tcW w:w="0" w:type="dxa"/>
            <w:vAlign w:val="bottom"/>
          </w:tcPr>
          <w:p>
            <w:pPr>
              <w:spacing w:after="0"/>
              <w:rPr>
                <w:sz w:val="1"/>
                <w:szCs w:val="1"/>
                <w:color w:val="auto"/>
              </w:rPr>
            </w:pPr>
          </w:p>
        </w:tc>
      </w:tr>
      <w:tr>
        <w:trPr>
          <w:trHeight w:val="228"/>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Increases due to a changes in total contract volume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267.9</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386.8</w:t>
            </w:r>
          </w:p>
        </w:tc>
        <w:tc>
          <w:tcPr>
            <w:tcW w:w="0" w:type="dxa"/>
            <w:vAlign w:val="bottom"/>
          </w:tcPr>
          <w:p>
            <w:pPr>
              <w:spacing w:after="0"/>
              <w:rPr>
                <w:sz w:val="1"/>
                <w:szCs w:val="1"/>
                <w:color w:val="auto"/>
              </w:rPr>
            </w:pPr>
          </w:p>
        </w:tc>
      </w:tr>
      <w:tr>
        <w:trPr>
          <w:trHeight w:val="229"/>
        </w:trPr>
        <w:tc>
          <w:tcPr>
            <w:tcW w:w="87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Decreases due to a changes in average rate per contract</w:t>
            </w:r>
          </w:p>
        </w:tc>
        <w:tc>
          <w:tcPr>
            <w:tcW w:w="1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ind w:left="600"/>
              <w:spacing w:after="0"/>
              <w:rPr>
                <w:sz w:val="20"/>
                <w:szCs w:val="20"/>
                <w:color w:val="auto"/>
              </w:rPr>
            </w:pPr>
            <w:r>
              <w:rPr>
                <w:rFonts w:ascii="Times New Roman" w:cs="Times New Roman" w:eastAsia="Times New Roman" w:hAnsi="Times New Roman"/>
                <w:sz w:val="18"/>
                <w:szCs w:val="18"/>
                <w:color w:val="auto"/>
              </w:rPr>
              <w:t>(57.4)</w:t>
            </w:r>
          </w:p>
        </w:tc>
        <w:tc>
          <w:tcPr>
            <w:tcW w:w="10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ind w:left="560"/>
              <w:spacing w:after="0"/>
              <w:rPr>
                <w:sz w:val="20"/>
                <w:szCs w:val="20"/>
                <w:color w:val="auto"/>
              </w:rPr>
            </w:pPr>
            <w:r>
              <w:rPr>
                <w:rFonts w:ascii="Times New Roman" w:cs="Times New Roman" w:eastAsia="Times New Roman" w:hAnsi="Times New Roman"/>
                <w:sz w:val="18"/>
                <w:szCs w:val="18"/>
                <w:color w:val="auto"/>
              </w:rPr>
              <w:t>(33.1)</w:t>
            </w:r>
          </w:p>
        </w:tc>
        <w:tc>
          <w:tcPr>
            <w:tcW w:w="0" w:type="dxa"/>
            <w:vAlign w:val="bottom"/>
          </w:tcPr>
          <w:p>
            <w:pPr>
              <w:spacing w:after="0"/>
              <w:rPr>
                <w:sz w:val="1"/>
                <w:szCs w:val="1"/>
                <w:color w:val="auto"/>
              </w:rPr>
            </w:pPr>
          </w:p>
        </w:tc>
      </w:tr>
      <w:tr>
        <w:trPr>
          <w:trHeight w:val="223"/>
        </w:trPr>
        <w:tc>
          <w:tcPr>
            <w:tcW w:w="8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increases in clearing and transaction fees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210.5</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353.7</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Average rate per contract is impacted by our rate structure, including volume-based incentives; product mix; trading venue; and the percentage of volume executed by customers who are members compared with non-member customers. Due to the relationship between average rate per contract and contract volume, the change in clearing and transaction fees attributable to changes in each is only an approximation.</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Contract Volume</w:t>
      </w:r>
    </w:p>
    <w:p>
      <w:pPr>
        <w:spacing w:after="0" w:line="117" w:lineRule="exact"/>
        <w:rPr>
          <w:sz w:val="20"/>
          <w:szCs w:val="20"/>
          <w:color w:val="auto"/>
        </w:rPr>
      </w:pPr>
    </w:p>
    <w:p>
      <w:pPr>
        <w:ind w:right="4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Contract volume can be influenced by many factors, including political and economic conditions, the regulatory environment and market competition.</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60" w:type="dxa"/>
            <w:vAlign w:val="bottom"/>
          </w:tcPr>
          <w:p>
            <w:pPr>
              <w:spacing w:after="0"/>
              <w:rPr>
                <w:sz w:val="13"/>
                <w:szCs w:val="13"/>
                <w:color w:val="auto"/>
              </w:rPr>
            </w:pPr>
          </w:p>
        </w:tc>
        <w:tc>
          <w:tcPr>
            <w:tcW w:w="2160" w:type="dxa"/>
            <w:vAlign w:val="bottom"/>
            <w:gridSpan w:val="3"/>
          </w:tcPr>
          <w:p>
            <w:pPr>
              <w:jc w:val="right"/>
              <w:ind w:right="531"/>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140" w:type="dxa"/>
            <w:vAlign w:val="bottom"/>
          </w:tcPr>
          <w:p>
            <w:pPr>
              <w:spacing w:after="0"/>
              <w:rPr>
                <w:sz w:val="13"/>
                <w:szCs w:val="13"/>
                <w:color w:val="auto"/>
              </w:rPr>
            </w:pPr>
          </w:p>
        </w:tc>
        <w:tc>
          <w:tcPr>
            <w:tcW w:w="2160" w:type="dxa"/>
            <w:vAlign w:val="bottom"/>
            <w:gridSpan w:val="3"/>
          </w:tcPr>
          <w:p>
            <w:pPr>
              <w:jc w:val="right"/>
              <w:ind w:right="391"/>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r>
      <w:tr>
        <w:trPr>
          <w:trHeight w:val="196"/>
        </w:trPr>
        <w:tc>
          <w:tcPr>
            <w:tcW w:w="476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140" w:type="dxa"/>
            <w:vAlign w:val="bottom"/>
          </w:tcPr>
          <w:p>
            <w:pPr>
              <w:spacing w:after="0"/>
              <w:rPr>
                <w:sz w:val="17"/>
                <w:szCs w:val="17"/>
                <w:color w:val="auto"/>
              </w:rPr>
            </w:pPr>
          </w:p>
        </w:tc>
        <w:tc>
          <w:tcPr>
            <w:tcW w:w="2160" w:type="dxa"/>
            <w:vAlign w:val="bottom"/>
            <w:tcBorders>
              <w:bottom w:val="single" w:sz="8" w:color="auto"/>
            </w:tcBorders>
            <w:gridSpan w:val="3"/>
          </w:tcPr>
          <w:p>
            <w:pPr>
              <w:jc w:val="right"/>
              <w:ind w:right="55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Pr>
          <w:p>
            <w:pPr>
              <w:spacing w:after="0"/>
              <w:rPr>
                <w:sz w:val="17"/>
                <w:szCs w:val="17"/>
                <w:color w:val="auto"/>
              </w:rPr>
            </w:pPr>
          </w:p>
        </w:tc>
      </w:tr>
      <w:tr>
        <w:trPr>
          <w:trHeight w:val="196"/>
        </w:trPr>
        <w:tc>
          <w:tcPr>
            <w:tcW w:w="47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14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02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20" w:type="dxa"/>
            <w:vAlign w:val="bottom"/>
            <w:tcBorders>
              <w:bottom w:val="single" w:sz="8" w:color="auto"/>
            </w:tcBorders>
          </w:tcPr>
          <w:p>
            <w:pPr>
              <w:jc w:val="right"/>
              <w:ind w:right="13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Product Line: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rates</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14,881</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10,967</w:t>
            </w: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36 %</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13,877</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12,236</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13 %</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indexes</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7,407</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6,353</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17</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7,018</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6,623</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Foreign exchange</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1,088</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942</w:t>
            </w: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16</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1,050</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937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Agricultural commodities</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1,614</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1,433</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13</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1,696</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1,521</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Energy</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2,571</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2,126</w:t>
            </w: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21</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2,478</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2,104</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18</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Metals</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728</w:t>
            </w:r>
          </w:p>
        </w:tc>
        <w:tc>
          <w:tcPr>
            <w:tcW w:w="120" w:type="dxa"/>
            <w:vAlign w:val="bottom"/>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528</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38</w:t>
            </w:r>
          </w:p>
        </w:tc>
        <w:tc>
          <w:tcPr>
            <w:tcW w:w="102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758</w:t>
            </w:r>
          </w:p>
        </w:tc>
        <w:tc>
          <w:tcPr>
            <w:tcW w:w="100" w:type="dxa"/>
            <w:vAlign w:val="bottom"/>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596</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27</w:t>
            </w:r>
          </w:p>
        </w:tc>
      </w:tr>
      <w:tr>
        <w:trPr>
          <w:trHeight w:val="223"/>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28,289</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22,349</w:t>
            </w: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26,877</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24,017</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Average Daily Volume by Venue:</w:t>
            </w: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CME Globex</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26,199</w:t>
            </w:r>
          </w:p>
        </w:tc>
        <w:tc>
          <w:tcPr>
            <w:tcW w:w="120" w:type="dxa"/>
            <w:vAlign w:val="bottom"/>
          </w:tcPr>
          <w:p>
            <w:pPr>
              <w:spacing w:after="0"/>
              <w:rPr>
                <w:sz w:val="19"/>
                <w:szCs w:val="19"/>
                <w:color w:val="auto"/>
              </w:rPr>
            </w:pPr>
          </w:p>
        </w:tc>
        <w:tc>
          <w:tcPr>
            <w:tcW w:w="10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20,839</w:t>
            </w:r>
          </w:p>
        </w:tc>
        <w:tc>
          <w:tcPr>
            <w:tcW w:w="114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26</w:t>
            </w:r>
          </w:p>
        </w:tc>
        <w:tc>
          <w:tcPr>
            <w:tcW w:w="102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24,792</w:t>
            </w:r>
          </w:p>
        </w:tc>
        <w:tc>
          <w:tcPr>
            <w:tcW w:w="100" w:type="dxa"/>
            <w:vAlign w:val="bottom"/>
          </w:tcPr>
          <w:p>
            <w:pPr>
              <w:spacing w:after="0"/>
              <w:rPr>
                <w:sz w:val="19"/>
                <w:szCs w:val="19"/>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21,966</w:t>
            </w:r>
          </w:p>
        </w:tc>
        <w:tc>
          <w:tcPr>
            <w:tcW w:w="102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30"/>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Open outcry</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1,096</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713</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54</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1,082</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1,151</w:t>
            </w:r>
          </w:p>
        </w:tc>
        <w:tc>
          <w:tcPr>
            <w:tcW w:w="102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(6)</w:t>
            </w:r>
          </w:p>
        </w:tc>
      </w:tr>
      <w:tr>
        <w:trPr>
          <w:trHeight w:val="230"/>
        </w:trPr>
        <w:tc>
          <w:tcPr>
            <w:tcW w:w="47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Privately negotiated</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994</w:t>
            </w:r>
          </w:p>
        </w:tc>
        <w:tc>
          <w:tcPr>
            <w:tcW w:w="120" w:type="dxa"/>
            <w:vAlign w:val="bottom"/>
            <w:tcBorders>
              <w:bottom w:val="single" w:sz="8" w:color="CCEEFF"/>
            </w:tcBorders>
          </w:tcPr>
          <w:p>
            <w:pPr>
              <w:spacing w:after="0"/>
              <w:rPr>
                <w:sz w:val="19"/>
                <w:szCs w:val="19"/>
                <w:color w:val="auto"/>
              </w:rPr>
            </w:pPr>
          </w:p>
        </w:tc>
        <w:tc>
          <w:tcPr>
            <w:tcW w:w="10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797</w:t>
            </w:r>
          </w:p>
        </w:tc>
        <w:tc>
          <w:tcPr>
            <w:tcW w:w="1140" w:type="dxa"/>
            <w:vAlign w:val="bottom"/>
            <w:tcBorders>
              <w:bottom w:val="single" w:sz="8" w:color="CCEEFF"/>
            </w:tcBorders>
          </w:tcPr>
          <w:p>
            <w:pPr>
              <w:ind w:left="600"/>
              <w:spacing w:after="0"/>
              <w:rPr>
                <w:sz w:val="20"/>
                <w:szCs w:val="20"/>
                <w:color w:val="auto"/>
              </w:rPr>
            </w:pPr>
            <w:r>
              <w:rPr>
                <w:rFonts w:ascii="Times New Roman" w:cs="Times New Roman" w:eastAsia="Times New Roman" w:hAnsi="Times New Roman"/>
                <w:sz w:val="18"/>
                <w:szCs w:val="18"/>
                <w:color w:val="auto"/>
              </w:rPr>
              <w:t>25</w:t>
            </w:r>
          </w:p>
        </w:tc>
        <w:tc>
          <w:tcPr>
            <w:tcW w:w="102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1,003</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900</w:t>
            </w:r>
          </w:p>
        </w:tc>
        <w:tc>
          <w:tcPr>
            <w:tcW w:w="1020" w:type="dxa"/>
            <w:vAlign w:val="bottom"/>
            <w:tcBorders>
              <w:bottom w:val="single" w:sz="8" w:color="CCEEFF"/>
            </w:tcBorders>
          </w:tcPr>
          <w:p>
            <w:pPr>
              <w:jc w:val="right"/>
              <w:ind w:right="132"/>
              <w:spacing w:after="0"/>
              <w:rPr>
                <w:sz w:val="20"/>
                <w:szCs w:val="20"/>
                <w:color w:val="auto"/>
              </w:rPr>
            </w:pPr>
            <w:r>
              <w:rPr>
                <w:rFonts w:ascii="Times New Roman" w:cs="Times New Roman" w:eastAsia="Times New Roman" w:hAnsi="Times New Roman"/>
                <w:sz w:val="18"/>
                <w:szCs w:val="18"/>
                <w:color w:val="auto"/>
              </w:rPr>
              <w:t>11</w:t>
            </w:r>
          </w:p>
        </w:tc>
      </w:tr>
      <w:tr>
        <w:trPr>
          <w:trHeight w:val="223"/>
        </w:trPr>
        <w:tc>
          <w:tcPr>
            <w:tcW w:w="4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Aggregate average daily volume</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28,289</w:t>
            </w: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22,349</w:t>
            </w:r>
          </w:p>
        </w:tc>
        <w:tc>
          <w:tcPr>
            <w:tcW w:w="114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27</w:t>
            </w:r>
          </w:p>
        </w:tc>
        <w:tc>
          <w:tcPr>
            <w:tcW w:w="102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26,877</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24,017</w:t>
            </w:r>
          </w:p>
        </w:tc>
        <w:tc>
          <w:tcPr>
            <w:tcW w:w="10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34"/>
        </w:trPr>
        <w:tc>
          <w:tcPr>
            <w:tcW w:w="4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Electronic Volume as a Percentage of Total Volume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93 %</w:t>
            </w:r>
          </w:p>
        </w:tc>
        <w:tc>
          <w:tcPr>
            <w:tcW w:w="1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92 %</w:t>
            </w:r>
          </w:p>
        </w:tc>
        <w:tc>
          <w:tcPr>
            <w:tcW w:w="10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91 %</w:t>
            </w:r>
          </w:p>
        </w:tc>
        <w:tc>
          <w:tcPr>
            <w:tcW w:w="1020" w:type="dxa"/>
            <w:vAlign w:val="bottom"/>
          </w:tcPr>
          <w:p>
            <w:pPr>
              <w:spacing w:after="0"/>
              <w:rPr>
                <w:sz w:val="20"/>
                <w:szCs w:val="20"/>
                <w:color w:val="auto"/>
              </w:rPr>
            </w:pPr>
          </w:p>
        </w:tc>
      </w:tr>
    </w:tbl>
    <w:p>
      <w:pPr>
        <w:spacing w:after="0" w:line="193"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Market uncertainty remained high through the first nine months of 2024. Interest rate, equity and foreign exchange markets experienced significant uncertainty surrounding the United States' Federal Reserve’s (Federal Reserve) interest rate policy. The Federal Open Markets Committee (FOMC) had initially signaled the potential for several future rate cuts throughout 2024, but has since only cut interest rates once as a result of continued inflation. Energy, metals and agricultural commodities markets were more uncertain in the first nine months of 2024 mainly as a result of geopolitical events as well as uncertain weather conditions, which led to higher volumes within those markets. We believe these factors contributed to the increase in total volumes in the third quarter and first nine months of 2024 when compared with the same periods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Interest Rate Products</w:t>
      </w:r>
    </w:p>
    <w:p>
      <w:pPr>
        <w:spacing w:after="0" w:line="119"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interest rate products. We no longer offer Eurodollar contract trading as of June 2023.</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gridSpan w:val="2"/>
          </w:tcPr>
          <w:p>
            <w:pPr>
              <w:jc w:val="right"/>
              <w:ind w:right="45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4"/>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Eurodollar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 %</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8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Options</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(100)</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SOFR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within two years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3,044</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2,217</w:t>
            </w: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37</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2,676</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2,539</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5</w:t>
            </w:r>
          </w:p>
        </w:tc>
      </w:tr>
      <w:tr>
        <w:trPr>
          <w:trHeight w:val="229"/>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Options</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1,790</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1,178</w:t>
            </w:r>
          </w:p>
        </w:tc>
        <w:tc>
          <w:tcPr>
            <w:tcW w:w="14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52</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1,661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1,738</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(4)</w:t>
            </w:r>
          </w:p>
        </w:tc>
      </w:tr>
      <w:tr>
        <w:trPr>
          <w:trHeight w:val="230"/>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Futures expiring beyond two years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1,069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31</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954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U.S. Treasury futures and options:</w:t>
            </w:r>
          </w:p>
        </w:tc>
        <w:tc>
          <w:tcPr>
            <w:tcW w:w="16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0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10-Year</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3,376</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2,505</w:t>
            </w: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35</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3,279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2,595</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26</w:t>
            </w: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5-Year</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2,088</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4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20</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2,014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1,788</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82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2-Year</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1,142</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770</w:t>
            </w: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48</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1,045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32</w:t>
            </w:r>
          </w:p>
        </w:tc>
      </w:tr>
      <w:tr>
        <w:trPr>
          <w:trHeight w:val="230"/>
        </w:trPr>
        <w:tc>
          <w:tcPr>
            <w:tcW w:w="38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Treasury Bond</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699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14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18</w:t>
            </w:r>
          </w:p>
        </w:tc>
        <w:tc>
          <w:tcPr>
            <w:tcW w:w="1600" w:type="dxa"/>
            <w:vAlign w:val="bottom"/>
            <w:shd w:val="clear" w:color="auto" w:fill="CCEEFF"/>
          </w:tcPr>
          <w:p>
            <w:pPr>
              <w:jc w:val="right"/>
              <w:ind w:right="494"/>
              <w:spacing w:after="0"/>
              <w:rPr>
                <w:sz w:val="20"/>
                <w:szCs w:val="20"/>
                <w:color w:val="auto"/>
              </w:rPr>
            </w:pPr>
            <w:r>
              <w:rPr>
                <w:rFonts w:ascii="Times New Roman" w:cs="Times New Roman" w:eastAsia="Times New Roman" w:hAnsi="Times New Roman"/>
                <w:sz w:val="18"/>
                <w:szCs w:val="18"/>
                <w:color w:val="auto"/>
              </w:rPr>
              <w:t>701</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538</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30</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Federal Funds futures and options</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529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324</w:t>
            </w: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63</w:t>
            </w:r>
          </w:p>
        </w:tc>
        <w:tc>
          <w:tcPr>
            <w:tcW w:w="1600" w:type="dxa"/>
            <w:vAlign w:val="bottom"/>
          </w:tcPr>
          <w:p>
            <w:pPr>
              <w:jc w:val="right"/>
              <w:ind w:right="494"/>
              <w:spacing w:after="0"/>
              <w:rPr>
                <w:sz w:val="20"/>
                <w:szCs w:val="20"/>
                <w:color w:val="auto"/>
              </w:rPr>
            </w:pPr>
            <w:r>
              <w:rPr>
                <w:rFonts w:ascii="Times New Roman" w:cs="Times New Roman" w:eastAsia="Times New Roman" w:hAnsi="Times New Roman"/>
                <w:sz w:val="18"/>
                <w:szCs w:val="18"/>
                <w:color w:val="auto"/>
              </w:rPr>
              <w:t>414</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470</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(12)</w:t>
            </w:r>
          </w:p>
        </w:tc>
      </w:tr>
    </w:tbl>
    <w:p>
      <w:pPr>
        <w:spacing w:after="0" w:line="179" w:lineRule="exact"/>
        <w:rPr>
          <w:sz w:val="20"/>
          <w:szCs w:val="20"/>
          <w:color w:val="auto"/>
        </w:rPr>
      </w:pPr>
    </w:p>
    <w:p>
      <w:pPr>
        <w:ind w:right="120"/>
        <w:spacing w:after="0" w:line="250" w:lineRule="auto"/>
        <w:rPr>
          <w:sz w:val="20"/>
          <w:szCs w:val="20"/>
          <w:color w:val="auto"/>
        </w:rPr>
      </w:pPr>
      <w:r>
        <w:rPr>
          <w:rFonts w:ascii="Times New Roman" w:cs="Times New Roman" w:eastAsia="Times New Roman" w:hAnsi="Times New Roman"/>
          <w:sz w:val="18"/>
          <w:szCs w:val="18"/>
          <w:color w:val="auto"/>
        </w:rPr>
        <w:t>In the third quarter and first nine months of 2024, overall interest rate contract volumes increased when compared with the same periods in 2023. Volumes increased in the third quarter and first nine months of 2024 due to volatility as a result of mixed inflation results that occurred during 2024 as well as continued market uncertainty regarding the Federal Reserve's interest rate policy.</w:t>
      </w:r>
    </w:p>
    <w:p>
      <w:pPr>
        <w:spacing w:after="0" w:line="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Equity Index Products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equity index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20" w:type="dxa"/>
            <w:vAlign w:val="bottom"/>
            <w:gridSpan w:val="2"/>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7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8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S&amp;P 500 futures and options</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4,320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3,865</w:t>
            </w:r>
          </w:p>
        </w:tc>
        <w:tc>
          <w:tcPr>
            <w:tcW w:w="14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12 %</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4,136</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4,099</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1 %</w:t>
            </w:r>
          </w:p>
        </w:tc>
      </w:tr>
      <w:tr>
        <w:trPr>
          <w:trHeight w:val="230"/>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E-mini Nasdaq 100 futures and options</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2,277</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1,862</w:t>
            </w:r>
          </w:p>
        </w:tc>
        <w:tc>
          <w:tcPr>
            <w:tcW w:w="148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22</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2,127</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1,811</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17</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E-mini Russell 2000 futures and options</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337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270</w:t>
            </w:r>
          </w:p>
        </w:tc>
        <w:tc>
          <w:tcPr>
            <w:tcW w:w="148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25</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319</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5</w:t>
            </w:r>
          </w:p>
        </w:tc>
      </w:tr>
    </w:tbl>
    <w:p>
      <w:pPr>
        <w:spacing w:after="0" w:line="198"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Equity index contract volumes increased in the third quarter and first nine months of 2024 when compared with the same periods in 2023 due to periods of higher equity market volatility. We believe the higher volatility was a result of continued uncertainty surrounding the Federal Reserve's interest rate policy decision.</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Foreign Exchange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foreign exchange products.</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gridSpan w:val="2"/>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80" w:type="dxa"/>
            <w:vAlign w:val="bottom"/>
          </w:tcPr>
          <w:p>
            <w:pPr>
              <w:spacing w:after="0"/>
              <w:rPr>
                <w:sz w:val="16"/>
                <w:szCs w:val="16"/>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8"/>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480" w:type="dxa"/>
            <w:vAlign w:val="bottom"/>
            <w:tcBorders>
              <w:bottom w:val="single" w:sz="8" w:color="auto"/>
            </w:tcBorders>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8"/>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6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w:t>
            </w:r>
          </w:p>
        </w:tc>
        <w:tc>
          <w:tcPr>
            <w:tcW w:w="160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257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w:t>
            </w:r>
          </w:p>
        </w:tc>
        <w:tc>
          <w:tcPr>
            <w:tcW w:w="148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5 %</w:t>
            </w:r>
          </w:p>
        </w:tc>
        <w:tc>
          <w:tcPr>
            <w:tcW w:w="160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257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60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rPr>
              <w:t>227</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23</w:t>
            </w:r>
          </w:p>
        </w:tc>
        <w:tc>
          <w:tcPr>
            <w:tcW w:w="160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rPr>
              <w:t>201</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British Pound</w:t>
            </w:r>
          </w:p>
        </w:tc>
        <w:tc>
          <w:tcPr>
            <w:tcW w:w="160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126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48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8"/>
                <w:szCs w:val="18"/>
                <w:color w:val="auto"/>
              </w:rPr>
              <w:t>11</w:t>
            </w:r>
          </w:p>
        </w:tc>
        <w:tc>
          <w:tcPr>
            <w:tcW w:w="1600" w:type="dxa"/>
            <w:vAlign w:val="bottom"/>
            <w:shd w:val="clear" w:color="auto" w:fill="CCEEFF"/>
          </w:tcPr>
          <w:p>
            <w:pPr>
              <w:jc w:val="right"/>
              <w:ind w:right="498"/>
              <w:spacing w:after="0"/>
              <w:rPr>
                <w:sz w:val="20"/>
                <w:szCs w:val="20"/>
                <w:color w:val="auto"/>
              </w:rPr>
            </w:pPr>
            <w:r>
              <w:rPr>
                <w:rFonts w:ascii="Times New Roman" w:cs="Times New Roman" w:eastAsia="Times New Roman" w:hAnsi="Times New Roman"/>
                <w:sz w:val="18"/>
                <w:szCs w:val="18"/>
                <w:color w:val="auto"/>
              </w:rPr>
              <w:t>123</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1360" w:type="dxa"/>
            <w:vAlign w:val="bottom"/>
            <w:shd w:val="clear" w:color="auto" w:fill="CCEEFF"/>
          </w:tcPr>
          <w:p>
            <w:pPr>
              <w:jc w:val="right"/>
              <w:ind w:right="134"/>
              <w:spacing w:after="0"/>
              <w:rPr>
                <w:sz w:val="20"/>
                <w:szCs w:val="20"/>
                <w:color w:val="auto"/>
              </w:rPr>
            </w:pPr>
            <w:r>
              <w:rPr>
                <w:rFonts w:ascii="Times New Roman" w:cs="Times New Roman" w:eastAsia="Times New Roman" w:hAnsi="Times New Roman"/>
                <w:sz w:val="18"/>
                <w:szCs w:val="18"/>
                <w:color w:val="auto"/>
              </w:rPr>
              <w:t>10</w:t>
            </w:r>
          </w:p>
        </w:tc>
      </w:tr>
      <w:tr>
        <w:trPr>
          <w:trHeight w:val="234"/>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Australian dollar</w:t>
            </w:r>
          </w:p>
        </w:tc>
        <w:tc>
          <w:tcPr>
            <w:tcW w:w="160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rPr>
              <w:t>125</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1480" w:type="dxa"/>
            <w:vAlign w:val="bottom"/>
          </w:tcPr>
          <w:p>
            <w:pPr>
              <w:jc w:val="right"/>
              <w:ind w:right="234"/>
              <w:spacing w:after="0"/>
              <w:rPr>
                <w:sz w:val="20"/>
                <w:szCs w:val="20"/>
                <w:color w:val="auto"/>
              </w:rPr>
            </w:pPr>
            <w:r>
              <w:rPr>
                <w:rFonts w:ascii="Times New Roman" w:cs="Times New Roman" w:eastAsia="Times New Roman" w:hAnsi="Times New Roman"/>
                <w:sz w:val="18"/>
                <w:szCs w:val="18"/>
                <w:color w:val="auto"/>
              </w:rPr>
              <w:t>16</w:t>
            </w:r>
          </w:p>
        </w:tc>
        <w:tc>
          <w:tcPr>
            <w:tcW w:w="1600" w:type="dxa"/>
            <w:vAlign w:val="bottom"/>
          </w:tcPr>
          <w:p>
            <w:pPr>
              <w:jc w:val="right"/>
              <w:ind w:right="498"/>
              <w:spacing w:after="0"/>
              <w:rPr>
                <w:sz w:val="20"/>
                <w:szCs w:val="20"/>
                <w:color w:val="auto"/>
              </w:rPr>
            </w:pPr>
            <w:r>
              <w:rPr>
                <w:rFonts w:ascii="Times New Roman" w:cs="Times New Roman" w:eastAsia="Times New Roman" w:hAnsi="Times New Roman"/>
                <w:sz w:val="18"/>
                <w:szCs w:val="18"/>
                <w:color w:val="auto"/>
              </w:rPr>
              <w:t>119</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360" w:type="dxa"/>
            <w:vAlign w:val="bottom"/>
          </w:tcPr>
          <w:p>
            <w:pPr>
              <w:jc w:val="right"/>
              <w:ind w:right="134"/>
              <w:spacing w:after="0"/>
              <w:rPr>
                <w:sz w:val="20"/>
                <w:szCs w:val="20"/>
                <w:color w:val="auto"/>
              </w:rPr>
            </w:pPr>
            <w:r>
              <w:rPr>
                <w:rFonts w:ascii="Times New Roman" w:cs="Times New Roman" w:eastAsia="Times New Roman" w:hAnsi="Times New Roman"/>
                <w:sz w:val="18"/>
                <w:szCs w:val="18"/>
                <w:color w:val="auto"/>
              </w:rPr>
              <w:t>16</w:t>
            </w:r>
          </w:p>
        </w:tc>
      </w:tr>
    </w:tbl>
    <w:p>
      <w:pPr>
        <w:spacing w:after="0" w:line="71"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In the third quarter and first nine months of 2024, overall foreign exchange volumes increased when compared with the same periods in 2023. Despite a broad decline in foreign exchange market volatility, there was an increase in price volatility with the Japanese yen due to uncertainty surrounding the Japanese monetary policy and rate cuts from the Federal Reserve. The overall increases in volumes were also due to growing client adoption of our foreign currency products.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Agricultural Commodity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agricultural commodity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gridSpan w:val="2"/>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6"/>
        </w:trPr>
        <w:tc>
          <w:tcPr>
            <w:tcW w:w="38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480" w:type="dxa"/>
            <w:vAlign w:val="bottom"/>
            <w:tcBorders>
              <w:bottom w:val="single" w:sz="8" w:color="auto"/>
            </w:tcBorders>
          </w:tcPr>
          <w:p>
            <w:pPr>
              <w:ind w:left="5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Corn</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481</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48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13 %</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509</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Soybean</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329</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286</w:t>
            </w:r>
          </w:p>
        </w:tc>
        <w:tc>
          <w:tcPr>
            <w:tcW w:w="1480" w:type="dxa"/>
            <w:vAlign w:val="bottom"/>
          </w:tcPr>
          <w:p>
            <w:pPr>
              <w:ind w:left="980"/>
              <w:spacing w:after="0"/>
              <w:rPr>
                <w:sz w:val="20"/>
                <w:szCs w:val="20"/>
                <w:color w:val="auto"/>
              </w:rPr>
            </w:pPr>
            <w:r>
              <w:rPr>
                <w:rFonts w:ascii="Times New Roman" w:cs="Times New Roman" w:eastAsia="Times New Roman" w:hAnsi="Times New Roman"/>
                <w:sz w:val="18"/>
                <w:szCs w:val="18"/>
                <w:color w:val="auto"/>
              </w:rPr>
              <w:t>15</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352</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312</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Wheat</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196</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1480" w:type="dxa"/>
            <w:vAlign w:val="bottom"/>
            <w:shd w:val="clear" w:color="auto" w:fill="CCEEFF"/>
          </w:tcPr>
          <w:p>
            <w:pPr>
              <w:jc w:val="right"/>
              <w:ind w:right="195"/>
              <w:spacing w:after="0"/>
              <w:rPr>
                <w:sz w:val="20"/>
                <w:szCs w:val="20"/>
                <w:color w:val="auto"/>
              </w:rPr>
            </w:pPr>
            <w:r>
              <w:rPr>
                <w:rFonts w:ascii="Times New Roman" w:cs="Times New Roman" w:eastAsia="Times New Roman" w:hAnsi="Times New Roman"/>
                <w:sz w:val="18"/>
                <w:szCs w:val="18"/>
                <w:color w:val="auto"/>
              </w:rPr>
              <w:t>(4)</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234</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r>
    </w:tbl>
    <w:p>
      <w:pPr>
        <w:spacing w:after="0" w:line="157" w:lineRule="exact"/>
        <w:rPr>
          <w:sz w:val="20"/>
          <w:szCs w:val="20"/>
          <w:color w:val="auto"/>
        </w:rPr>
      </w:pPr>
    </w:p>
    <w:p>
      <w:pPr>
        <w:ind w:right="140"/>
        <w:spacing w:after="0" w:line="260" w:lineRule="auto"/>
        <w:rPr>
          <w:sz w:val="20"/>
          <w:szCs w:val="20"/>
          <w:color w:val="auto"/>
        </w:rPr>
      </w:pPr>
      <w:r>
        <w:rPr>
          <w:rFonts w:ascii="Times New Roman" w:cs="Times New Roman" w:eastAsia="Times New Roman" w:hAnsi="Times New Roman"/>
          <w:sz w:val="17"/>
          <w:szCs w:val="17"/>
          <w:color w:val="auto"/>
        </w:rPr>
        <w:t>Overall commodity contract volumes increased in the third quarter and first nine months of 2024 when compared with the same periods in 2023. We believe these increases were due to higher overall market volatility as a result of a change in market expectations regarding grain supplies as well as uncertain weather conditions in 2024. In addition, the first nine months of 2023 saw lower overall volatility within the commodities markets due to risk aversion by market participants following price increases and global trade uncertainty resulting from the conflict between Russia and Ukraine. We believe these factors contributed to higher overall commodity volumes in the third quarter and first nine months of 2024 compared with the same periods in 2023.</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Energy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contract volume for our key energy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20" w:type="dxa"/>
            <w:vAlign w:val="bottom"/>
            <w:gridSpan w:val="2"/>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6"/>
        </w:trPr>
        <w:tc>
          <w:tcPr>
            <w:tcW w:w="37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2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7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2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6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WTI crude oil</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1,290</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1,129</w:t>
            </w:r>
          </w:p>
        </w:tc>
        <w:tc>
          <w:tcPr>
            <w:tcW w:w="148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8"/>
                <w:szCs w:val="18"/>
                <w:color w:val="auto"/>
              </w:rPr>
              <w:t>14 %</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1,185</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1,091</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9 %</w:t>
            </w:r>
          </w:p>
        </w:tc>
      </w:tr>
      <w:tr>
        <w:trPr>
          <w:trHeight w:val="229"/>
        </w:trPr>
        <w:tc>
          <w:tcPr>
            <w:tcW w:w="37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Natural gas</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723</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1480" w:type="dxa"/>
            <w:vAlign w:val="bottom"/>
          </w:tcPr>
          <w:p>
            <w:pPr>
              <w:jc w:val="right"/>
              <w:ind w:right="255"/>
              <w:spacing w:after="0"/>
              <w:rPr>
                <w:sz w:val="20"/>
                <w:szCs w:val="20"/>
                <w:color w:val="auto"/>
              </w:rPr>
            </w:pPr>
            <w:r>
              <w:rPr>
                <w:rFonts w:ascii="Times New Roman" w:cs="Times New Roman" w:eastAsia="Times New Roman" w:hAnsi="Times New Roman"/>
                <w:sz w:val="18"/>
                <w:szCs w:val="18"/>
                <w:color w:val="auto"/>
              </w:rPr>
              <w:t>36</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780</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577</w:t>
            </w:r>
          </w:p>
        </w:tc>
        <w:tc>
          <w:tcPr>
            <w:tcW w:w="13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35</w:t>
            </w:r>
          </w:p>
        </w:tc>
      </w:tr>
      <w:tr>
        <w:trPr>
          <w:trHeight w:val="230"/>
        </w:trPr>
        <w:tc>
          <w:tcPr>
            <w:tcW w:w="37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Refined products</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388</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368</w:t>
            </w:r>
          </w:p>
        </w:tc>
        <w:tc>
          <w:tcPr>
            <w:tcW w:w="1480" w:type="dxa"/>
            <w:vAlign w:val="bottom"/>
            <w:shd w:val="clear" w:color="auto" w:fill="CCEEFF"/>
          </w:tcPr>
          <w:p>
            <w:pPr>
              <w:jc w:val="right"/>
              <w:ind w:right="255"/>
              <w:spacing w:after="0"/>
              <w:rPr>
                <w:sz w:val="20"/>
                <w:szCs w:val="20"/>
                <w:color w:val="auto"/>
              </w:rPr>
            </w:pPr>
            <w:r>
              <w:rPr>
                <w:rFonts w:ascii="Times New Roman" w:cs="Times New Roman" w:eastAsia="Times New Roman" w:hAnsi="Times New Roman"/>
                <w:sz w:val="18"/>
                <w:szCs w:val="18"/>
                <w:color w:val="auto"/>
              </w:rPr>
              <w:t>5</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383</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345</w:t>
            </w:r>
          </w:p>
        </w:tc>
        <w:tc>
          <w:tcPr>
            <w:tcW w:w="13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11</w:t>
            </w:r>
          </w:p>
        </w:tc>
      </w:tr>
    </w:tbl>
    <w:p>
      <w:pPr>
        <w:spacing w:after="0" w:line="171"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Energy contract volumes increased in the third quarter and first nine months of 2024 when compared with the same periods in 2023, which we believe were due to higher overall market volatility. Natural gas volatility was higher as a result of uncertain weather conditions in the United States, which impacted prices throughout the quarter. In addition, crude oil volatility was slightly higher as a result of ongoing geopolitical issues in the Middle East as well economic uncertainty between the United States and China.</w:t>
      </w:r>
    </w:p>
    <w:p>
      <w:pPr>
        <w:spacing w:after="0" w:line="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Metal Products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average daily volume for our key metal products.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2300" w:type="dxa"/>
            <w:vAlign w:val="bottom"/>
            <w:gridSpan w:val="2"/>
          </w:tcPr>
          <w:p>
            <w:pPr>
              <w:jc w:val="right"/>
              <w:ind w:right="47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6"/>
        </w:trPr>
        <w:tc>
          <w:tcPr>
            <w:tcW w:w="382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7"/>
                <w:szCs w:val="17"/>
                <w:color w:val="auto"/>
              </w:rPr>
            </w:pPr>
          </w:p>
        </w:tc>
        <w:tc>
          <w:tcPr>
            <w:tcW w:w="1480" w:type="dxa"/>
            <w:vAlign w:val="bottom"/>
          </w:tcPr>
          <w:p>
            <w:pPr>
              <w:spacing w:after="0"/>
              <w:rPr>
                <w:sz w:val="17"/>
                <w:szCs w:val="17"/>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7"/>
                <w:szCs w:val="17"/>
                <w:color w:val="auto"/>
              </w:rPr>
            </w:pPr>
          </w:p>
        </w:tc>
        <w:tc>
          <w:tcPr>
            <w:tcW w:w="1360" w:type="dxa"/>
            <w:vAlign w:val="bottom"/>
          </w:tcPr>
          <w:p>
            <w:pPr>
              <w:spacing w:after="0"/>
              <w:rPr>
                <w:sz w:val="17"/>
                <w:szCs w:val="17"/>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thousands)</w:t>
            </w:r>
          </w:p>
        </w:tc>
        <w:tc>
          <w:tcPr>
            <w:tcW w:w="1600" w:type="dxa"/>
            <w:vAlign w:val="bottom"/>
            <w:tcBorders>
              <w:bottom w:val="single" w:sz="8" w:color="auto"/>
            </w:tcBorders>
          </w:tcPr>
          <w:p>
            <w:pPr>
              <w:jc w:val="right"/>
              <w:ind w:right="839"/>
              <w:spacing w:after="0"/>
              <w:rPr>
                <w:sz w:val="20"/>
                <w:szCs w:val="20"/>
                <w:color w:val="auto"/>
              </w:rPr>
            </w:pPr>
            <w:r>
              <w:rPr>
                <w:rFonts w:ascii="Times New Roman" w:cs="Times New Roman" w:eastAsia="Times New Roman" w:hAnsi="Times New Roman"/>
                <w:sz w:val="14"/>
                <w:szCs w:val="14"/>
                <w:b w:val="1"/>
                <w:bCs w:val="1"/>
                <w:color w:val="auto"/>
              </w:rPr>
              <w:t>2024</w:t>
            </w:r>
          </w:p>
        </w:tc>
        <w:tc>
          <w:tcPr>
            <w:tcW w:w="6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48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00" w:type="dxa"/>
            <w:vAlign w:val="bottom"/>
            <w:tcBorders>
              <w:bottom w:val="single" w:sz="8" w:color="auto"/>
            </w:tcBorders>
          </w:tcPr>
          <w:p>
            <w:pPr>
              <w:jc w:val="right"/>
              <w:ind w:right="8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70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Gold</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447</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480" w:type="dxa"/>
            <w:vAlign w:val="bottom"/>
            <w:shd w:val="clear" w:color="auto" w:fill="CCEEFF"/>
          </w:tcPr>
          <w:p>
            <w:pPr>
              <w:jc w:val="right"/>
              <w:ind w:right="35"/>
              <w:spacing w:after="0"/>
              <w:rPr>
                <w:sz w:val="20"/>
                <w:szCs w:val="20"/>
                <w:color w:val="auto"/>
              </w:rPr>
            </w:pPr>
            <w:r>
              <w:rPr>
                <w:rFonts w:ascii="Times New Roman" w:cs="Times New Roman" w:eastAsia="Times New Roman" w:hAnsi="Times New Roman"/>
                <w:sz w:val="18"/>
                <w:szCs w:val="18"/>
                <w:color w:val="auto"/>
              </w:rPr>
              <w:t>49 %</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436</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354</w:t>
            </w:r>
          </w:p>
        </w:tc>
        <w:tc>
          <w:tcPr>
            <w:tcW w:w="1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23 %</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Copper</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113</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480" w:type="dxa"/>
            <w:vAlign w:val="bottom"/>
          </w:tcPr>
          <w:p>
            <w:pPr>
              <w:jc w:val="right"/>
              <w:ind w:right="235"/>
              <w:spacing w:after="0"/>
              <w:rPr>
                <w:sz w:val="20"/>
                <w:szCs w:val="20"/>
                <w:color w:val="auto"/>
              </w:rPr>
            </w:pPr>
            <w:r>
              <w:rPr>
                <w:rFonts w:ascii="Times New Roman" w:cs="Times New Roman" w:eastAsia="Times New Roman" w:hAnsi="Times New Roman"/>
                <w:sz w:val="18"/>
                <w:szCs w:val="18"/>
                <w:color w:val="auto"/>
              </w:rPr>
              <w:t>8</w:t>
            </w:r>
          </w:p>
        </w:tc>
        <w:tc>
          <w:tcPr>
            <w:tcW w:w="1600" w:type="dxa"/>
            <w:vAlign w:val="bottom"/>
          </w:tcPr>
          <w:p>
            <w:pPr>
              <w:jc w:val="right"/>
              <w:ind w:right="499"/>
              <w:spacing w:after="0"/>
              <w:rPr>
                <w:sz w:val="20"/>
                <w:szCs w:val="20"/>
                <w:color w:val="auto"/>
              </w:rPr>
            </w:pPr>
            <w:r>
              <w:rPr>
                <w:rFonts w:ascii="Times New Roman" w:cs="Times New Roman" w:eastAsia="Times New Roman" w:hAnsi="Times New Roman"/>
                <w:sz w:val="18"/>
                <w:szCs w:val="18"/>
                <w:color w:val="auto"/>
              </w:rPr>
              <w:t>145</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3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27</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Silver</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119</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480" w:type="dxa"/>
            <w:vAlign w:val="bottom"/>
            <w:shd w:val="clear" w:color="auto" w:fill="CCEEFF"/>
          </w:tcPr>
          <w:p>
            <w:pPr>
              <w:jc w:val="right"/>
              <w:ind w:right="235"/>
              <w:spacing w:after="0"/>
              <w:rPr>
                <w:sz w:val="20"/>
                <w:szCs w:val="20"/>
                <w:color w:val="auto"/>
              </w:rPr>
            </w:pPr>
            <w:r>
              <w:rPr>
                <w:rFonts w:ascii="Times New Roman" w:cs="Times New Roman" w:eastAsia="Times New Roman" w:hAnsi="Times New Roman"/>
                <w:sz w:val="18"/>
                <w:szCs w:val="18"/>
                <w:color w:val="auto"/>
              </w:rPr>
              <w:t>35</w:t>
            </w:r>
          </w:p>
        </w:tc>
        <w:tc>
          <w:tcPr>
            <w:tcW w:w="1600" w:type="dxa"/>
            <w:vAlign w:val="bottom"/>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127</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93</w:t>
            </w:r>
          </w:p>
        </w:tc>
        <w:tc>
          <w:tcPr>
            <w:tcW w:w="13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36</w:t>
            </w:r>
          </w:p>
        </w:tc>
      </w:tr>
    </w:tbl>
    <w:p>
      <w:pPr>
        <w:spacing w:after="0" w:line="171"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In the third quarter and first nine months of 2024, overall metal contract volumes increased when compared with the same periods in 2023. We believe gold and silver volumes increased as a result of continued uncertainty surrounding the Federal Reserve's monetary policy decision, which resulted in higher overall volatility.</w:t>
      </w:r>
    </w:p>
    <w:p>
      <w:pPr>
        <w:spacing w:after="0" w:line="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Average Rate per Contract</w:t>
      </w:r>
    </w:p>
    <w:p>
      <w:pPr>
        <w:spacing w:after="0" w:line="106"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The average rate per contract decreased in the third quarter and first nine months of 2024 when compared with the same periods in 2023. The decreases in the average rate per contract were primarily due to higher member trading as a percentage of total volume as well as our tiered volume pricing structure. The overall decrease was partially offset by an increase in our fee structure, which went into effect on February 1, 2024.</w:t>
      </w:r>
    </w:p>
    <w:p>
      <w:pPr>
        <w:spacing w:after="0" w:line="54"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The decrease in the third quarter of 2024 when compared with the same period in 2023 is also do to a change in product mix. In the third quarter of 2024, interest rate contract volume increased by 4 percentage points as a percent of total volume, while all other products collectively decreased by 4 percentage points. In general, interest rate products have a lower rate per contract compared with the remaining contracts.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Cash Markets Business</w:t>
      </w:r>
    </w:p>
    <w:p>
      <w:pPr>
        <w:spacing w:after="0" w:line="117" w:lineRule="exact"/>
        <w:rPr>
          <w:sz w:val="20"/>
          <w:szCs w:val="20"/>
          <w:color w:val="auto"/>
        </w:rPr>
      </w:pPr>
    </w:p>
    <w:p>
      <w:pPr>
        <w:jc w:val="both"/>
        <w:ind w:right="140"/>
        <w:spacing w:after="0" w:line="266" w:lineRule="auto"/>
        <w:rPr>
          <w:sz w:val="20"/>
          <w:szCs w:val="20"/>
          <w:color w:val="auto"/>
        </w:rPr>
      </w:pPr>
      <w:r>
        <w:rPr>
          <w:rFonts w:ascii="Times New Roman" w:cs="Times New Roman" w:eastAsia="Times New Roman" w:hAnsi="Times New Roman"/>
          <w:sz w:val="18"/>
          <w:szCs w:val="18"/>
          <w:color w:val="auto"/>
        </w:rPr>
        <w:t>Total clearing and transaction fees revenues in the third quarter and first nine months of 2024 include $68.5 million and $207.9 million of transaction fees attributable to the cash markets business, compared with $69.5 million and $214.3 million, respectively, in the third quarter and first nine months of 2023. This revenue includes BrokerTec Americas LLC's fixed income volume and EBS's foreign exchange volume.</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0" w:type="dxa"/>
            <w:vAlign w:val="bottom"/>
            <w:gridSpan w:val="2"/>
          </w:tcPr>
          <w:p>
            <w:pPr>
              <w:ind w:left="44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3"/>
                <w:szCs w:val="13"/>
                <w:color w:val="auto"/>
              </w:rPr>
            </w:pPr>
          </w:p>
        </w:tc>
        <w:tc>
          <w:tcPr>
            <w:tcW w:w="15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160" w:type="dxa"/>
            <w:vAlign w:val="bottom"/>
            <w:gridSpan w:val="3"/>
          </w:tcPr>
          <w:p>
            <w:pPr>
              <w:jc w:val="center"/>
              <w:ind w:right="216"/>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00" w:type="dxa"/>
            <w:vAlign w:val="bottom"/>
          </w:tcPr>
          <w:p>
            <w:pPr>
              <w:spacing w:after="0"/>
              <w:rPr>
                <w:sz w:val="13"/>
                <w:szCs w:val="13"/>
                <w:color w:val="auto"/>
              </w:rPr>
            </w:pPr>
          </w:p>
        </w:tc>
      </w:tr>
      <w:tr>
        <w:trPr>
          <w:trHeight w:val="196"/>
        </w:trPr>
        <w:tc>
          <w:tcPr>
            <w:tcW w:w="36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gridSpan w:val="2"/>
          </w:tcPr>
          <w:p>
            <w:pPr>
              <w:jc w:val="center"/>
              <w:ind w:left="381"/>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7"/>
                <w:szCs w:val="17"/>
                <w:color w:val="auto"/>
              </w:rPr>
            </w:pPr>
          </w:p>
        </w:tc>
        <w:tc>
          <w:tcPr>
            <w:tcW w:w="1300" w:type="dxa"/>
            <w:vAlign w:val="bottom"/>
          </w:tcPr>
          <w:p>
            <w:pPr>
              <w:spacing w:after="0"/>
              <w:rPr>
                <w:sz w:val="17"/>
                <w:szCs w:val="17"/>
                <w:color w:val="auto"/>
              </w:rPr>
            </w:pPr>
          </w:p>
        </w:tc>
      </w:tr>
      <w:tr>
        <w:trPr>
          <w:trHeight w:val="196"/>
        </w:trPr>
        <w:tc>
          <w:tcPr>
            <w:tcW w:w="36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millions)</w:t>
            </w: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500" w:type="dxa"/>
            <w:vAlign w:val="bottom"/>
            <w:tcBorders>
              <w:bottom w:val="single" w:sz="8" w:color="auto"/>
            </w:tcBorders>
          </w:tcPr>
          <w:p>
            <w:pPr>
              <w:jc w:val="right"/>
              <w:ind w:right="436"/>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81"/>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0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BrokerTec fixed income transaction fees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33.3</w:t>
            </w:r>
          </w:p>
        </w:tc>
        <w:tc>
          <w:tcPr>
            <w:tcW w:w="50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7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(11)%  $</w:t>
            </w:r>
          </w:p>
        </w:tc>
        <w:tc>
          <w:tcPr>
            <w:tcW w:w="920" w:type="dxa"/>
            <w:vAlign w:val="bottom"/>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108.9</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114.3</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34"/>
        </w:trPr>
        <w:tc>
          <w:tcPr>
            <w:tcW w:w="3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EBS foreign exchange transaction fees</w:t>
            </w:r>
          </w:p>
        </w:tc>
        <w:tc>
          <w:tcPr>
            <w:tcW w:w="260" w:type="dxa"/>
            <w:vAlign w:val="bottom"/>
          </w:tcPr>
          <w:p>
            <w:pPr>
              <w:spacing w:after="0"/>
              <w:rPr>
                <w:sz w:val="20"/>
                <w:szCs w:val="20"/>
                <w:color w:val="auto"/>
              </w:rPr>
            </w:pPr>
          </w:p>
        </w:tc>
        <w:tc>
          <w:tcPr>
            <w:tcW w:w="9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35.2</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50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9 %</w:t>
            </w:r>
          </w:p>
        </w:tc>
        <w:tc>
          <w:tcPr>
            <w:tcW w:w="260" w:type="dxa"/>
            <w:vAlign w:val="bottom"/>
          </w:tcPr>
          <w:p>
            <w:pPr>
              <w:spacing w:after="0"/>
              <w:rPr>
                <w:sz w:val="20"/>
                <w:szCs w:val="20"/>
                <w:color w:val="auto"/>
              </w:rPr>
            </w:pPr>
          </w:p>
        </w:tc>
        <w:tc>
          <w:tcPr>
            <w:tcW w:w="920" w:type="dxa"/>
            <w:vAlign w:val="bottom"/>
          </w:tcPr>
          <w:p>
            <w:pPr>
              <w:jc w:val="right"/>
              <w:ind w:right="21"/>
              <w:spacing w:after="0"/>
              <w:rPr>
                <w:sz w:val="20"/>
                <w:szCs w:val="20"/>
                <w:color w:val="auto"/>
              </w:rPr>
            </w:pPr>
            <w:r>
              <w:rPr>
                <w:rFonts w:ascii="Times New Roman" w:cs="Times New Roman" w:eastAsia="Times New Roman" w:hAnsi="Times New Roman"/>
                <w:sz w:val="18"/>
                <w:szCs w:val="18"/>
                <w:color w:val="auto"/>
              </w:rPr>
              <w:t>99.0</w:t>
            </w:r>
          </w:p>
        </w:tc>
        <w:tc>
          <w:tcPr>
            <w:tcW w:w="50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100.0</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bl>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related average daily notional value for the third quarter and first nine months of 2024 and 2023 were as follows:</w:t>
      </w:r>
    </w:p>
    <w:p>
      <w:pPr>
        <w:spacing w:after="0" w:line="193"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40" w:type="dxa"/>
            <w:vAlign w:val="bottom"/>
            <w:gridSpan w:val="2"/>
          </w:tcPr>
          <w:p>
            <w:pPr>
              <w:jc w:val="center"/>
              <w:ind w:left="379"/>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7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40" w:type="dxa"/>
            <w:vAlign w:val="bottom"/>
            <w:gridSpan w:val="3"/>
          </w:tcPr>
          <w:p>
            <w:pPr>
              <w:jc w:val="center"/>
              <w:ind w:right="215"/>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40" w:type="dxa"/>
            <w:vAlign w:val="bottom"/>
          </w:tcPr>
          <w:p>
            <w:pPr>
              <w:spacing w:after="0"/>
              <w:rPr>
                <w:sz w:val="13"/>
                <w:szCs w:val="13"/>
                <w:color w:val="auto"/>
              </w:rPr>
            </w:pPr>
          </w:p>
        </w:tc>
      </w:tr>
      <w:tr>
        <w:trPr>
          <w:trHeight w:val="194"/>
        </w:trPr>
        <w:tc>
          <w:tcPr>
            <w:tcW w:w="34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440" w:type="dxa"/>
            <w:vAlign w:val="bottom"/>
            <w:tcBorders>
              <w:bottom w:val="single" w:sz="8" w:color="auto"/>
            </w:tcBorders>
            <w:gridSpan w:val="2"/>
          </w:tcPr>
          <w:p>
            <w:pPr>
              <w:jc w:val="center"/>
              <w:ind w:left="39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ind w:left="419"/>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1340" w:type="dxa"/>
            <w:vAlign w:val="bottom"/>
          </w:tcPr>
          <w:p>
            <w:pPr>
              <w:spacing w:after="0"/>
              <w:rPr>
                <w:sz w:val="16"/>
                <w:szCs w:val="16"/>
                <w:color w:val="auto"/>
              </w:rPr>
            </w:pPr>
          </w:p>
        </w:tc>
      </w:tr>
      <w:tr>
        <w:trPr>
          <w:trHeight w:val="196"/>
        </w:trPr>
        <w:tc>
          <w:tcPr>
            <w:tcW w:w="344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(amounts in billions)</w:t>
            </w:r>
          </w:p>
        </w:tc>
        <w:tc>
          <w:tcPr>
            <w:tcW w:w="26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460" w:type="dxa"/>
            <w:vAlign w:val="bottom"/>
            <w:tcBorders>
              <w:bottom w:val="single" w:sz="8" w:color="auto"/>
            </w:tcBorders>
          </w:tcPr>
          <w:p>
            <w:pPr>
              <w:ind w:left="50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8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40" w:type="dxa"/>
            <w:vAlign w:val="bottom"/>
            <w:tcBorders>
              <w:bottom w:val="single" w:sz="8" w:color="auto"/>
            </w:tcBorders>
          </w:tcPr>
          <w:p>
            <w:pPr>
              <w:jc w:val="right"/>
              <w:ind w:right="295"/>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European Repo (in euros)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285.9</w:t>
            </w:r>
          </w:p>
        </w:tc>
        <w:tc>
          <w:tcPr>
            <w:tcW w:w="5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313.9</w:t>
            </w:r>
          </w:p>
        </w:tc>
        <w:tc>
          <w:tcPr>
            <w:tcW w:w="1740" w:type="dxa"/>
            <w:vAlign w:val="bottom"/>
            <w:gridSpan w:val="2"/>
            <w:shd w:val="clear" w:color="auto" w:fill="CCEEFF"/>
          </w:tcPr>
          <w:p>
            <w:pPr>
              <w:ind w:left="980"/>
              <w:spacing w:after="0"/>
              <w:rPr>
                <w:sz w:val="20"/>
                <w:szCs w:val="20"/>
                <w:color w:val="auto"/>
              </w:rPr>
            </w:pPr>
            <w:r>
              <w:rPr>
                <w:rFonts w:ascii="Times New Roman" w:cs="Times New Roman" w:eastAsia="Times New Roman" w:hAnsi="Times New Roman"/>
                <w:sz w:val="18"/>
                <w:szCs w:val="18"/>
                <w:color w:val="auto"/>
              </w:rPr>
              <w:t>(9)%  $</w:t>
            </w: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289.5</w:t>
            </w:r>
          </w:p>
        </w:tc>
        <w:tc>
          <w:tcPr>
            <w:tcW w:w="52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340.1</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29"/>
        </w:trPr>
        <w:tc>
          <w:tcPr>
            <w:tcW w:w="34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 Treasury</w:t>
            </w:r>
          </w:p>
        </w:tc>
        <w:tc>
          <w:tcPr>
            <w:tcW w:w="26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109.3</w:t>
            </w:r>
          </w:p>
        </w:tc>
        <w:tc>
          <w:tcPr>
            <w:tcW w:w="5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98.3</w:t>
            </w:r>
          </w:p>
        </w:tc>
        <w:tc>
          <w:tcPr>
            <w:tcW w:w="146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11 %</w:t>
            </w:r>
          </w:p>
        </w:tc>
        <w:tc>
          <w:tcPr>
            <w:tcW w:w="280" w:type="dxa"/>
            <w:vAlign w:val="bottom"/>
          </w:tcPr>
          <w:p>
            <w:pPr>
              <w:spacing w:after="0"/>
              <w:rPr>
                <w:sz w:val="19"/>
                <w:szCs w:val="19"/>
                <w:color w:val="auto"/>
              </w:rPr>
            </w:pPr>
          </w:p>
        </w:tc>
        <w:tc>
          <w:tcPr>
            <w:tcW w:w="940" w:type="dxa"/>
            <w:vAlign w:val="bottom"/>
          </w:tcPr>
          <w:p>
            <w:pPr>
              <w:jc w:val="right"/>
              <w:ind w:right="39"/>
              <w:spacing w:after="0"/>
              <w:rPr>
                <w:sz w:val="20"/>
                <w:szCs w:val="20"/>
                <w:color w:val="auto"/>
              </w:rPr>
            </w:pPr>
            <w:r>
              <w:rPr>
                <w:rFonts w:ascii="Times New Roman" w:cs="Times New Roman" w:eastAsia="Times New Roman" w:hAnsi="Times New Roman"/>
                <w:sz w:val="18"/>
                <w:szCs w:val="18"/>
                <w:color w:val="auto"/>
              </w:rPr>
              <w:t>102.1</w:t>
            </w:r>
          </w:p>
        </w:tc>
        <w:tc>
          <w:tcPr>
            <w:tcW w:w="52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134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(4)</w:t>
            </w:r>
          </w:p>
        </w:tc>
      </w:tr>
      <w:tr>
        <w:trPr>
          <w:trHeight w:val="229"/>
        </w:trPr>
        <w:tc>
          <w:tcPr>
            <w:tcW w:w="3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Spot FX</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67.0</w:t>
            </w:r>
          </w:p>
        </w:tc>
        <w:tc>
          <w:tcPr>
            <w:tcW w:w="5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w:t>
            </w:r>
          </w:p>
        </w:tc>
        <w:tc>
          <w:tcPr>
            <w:tcW w:w="1460" w:type="dxa"/>
            <w:vAlign w:val="bottom"/>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23 %</w:t>
            </w:r>
          </w:p>
        </w:tc>
        <w:tc>
          <w:tcPr>
            <w:tcW w:w="280" w:type="dxa"/>
            <w:vAlign w:val="bottom"/>
            <w:shd w:val="clear" w:color="auto" w:fill="CCEEFF"/>
          </w:tcPr>
          <w:p>
            <w:pPr>
              <w:spacing w:after="0"/>
              <w:rPr>
                <w:sz w:val="19"/>
                <w:szCs w:val="19"/>
                <w:color w:val="auto"/>
              </w:rPr>
            </w:pPr>
          </w:p>
        </w:tc>
        <w:tc>
          <w:tcPr>
            <w:tcW w:w="94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58.9</w:t>
            </w:r>
          </w:p>
        </w:tc>
        <w:tc>
          <w:tcPr>
            <w:tcW w:w="52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57.9</w:t>
            </w:r>
          </w:p>
        </w:tc>
        <w:tc>
          <w:tcPr>
            <w:tcW w:w="134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r>
    </w:tbl>
    <w:p>
      <w:pPr>
        <w:spacing w:after="0" w:line="198"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Overall average daily notional values for the cash markets business were slightly lower in the third quarter and first nine months of 2024 when compared with the same periods in 2023.</w:t>
      </w:r>
    </w:p>
    <w:p>
      <w:pPr>
        <w:spacing w:after="0" w:line="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Revenue</w:t>
      </w:r>
    </w:p>
    <w:p>
      <w:pPr>
        <w:spacing w:after="0" w:line="121" w:lineRule="exact"/>
        <w:rPr>
          <w:sz w:val="20"/>
          <w:szCs w:val="20"/>
          <w:color w:val="auto"/>
        </w:rPr>
      </w:pPr>
    </w:p>
    <w:p>
      <w:pPr>
        <w:ind w:right="140"/>
        <w:spacing w:after="0" w:line="258" w:lineRule="auto"/>
        <w:rPr>
          <w:sz w:val="20"/>
          <w:szCs w:val="20"/>
          <w:color w:val="auto"/>
        </w:rPr>
      </w:pPr>
      <w:r>
        <w:rPr>
          <w:rFonts w:ascii="Times New Roman" w:cs="Times New Roman" w:eastAsia="Times New Roman" w:hAnsi="Times New Roman"/>
          <w:sz w:val="18"/>
          <w:szCs w:val="18"/>
          <w:color w:val="auto"/>
        </w:rPr>
        <w:t>We bill a substantial portion of our clearing and transaction fees directly to our clearing firms. The majority of clearing and transaction fees received from clearing firms represent charges for trades executed and cleared on behalf of their customers. One individual firm represented at least approximately 10% of our clearing and transaction fees in the first nine months of 2024. Should a clearing firm withdraw, we believe that the customer portion of the firm’s trading activity would likely transfer to another clearing firm of the exchange. Therefore, we do not believe we are exposed to significant risk from the ongoing loss of revenue received from or through a particular clearing firm.</w:t>
      </w:r>
    </w:p>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Sources of Revenue</w:t>
      </w:r>
    </w:p>
    <w:p>
      <w:pPr>
        <w:spacing w:after="0" w:line="119" w:lineRule="exact"/>
        <w:rPr>
          <w:sz w:val="20"/>
          <w:szCs w:val="20"/>
          <w:color w:val="auto"/>
        </w:rPr>
      </w:pPr>
    </w:p>
    <w:p>
      <w:pPr>
        <w:ind w:right="560"/>
        <w:spacing w:after="0" w:line="284" w:lineRule="auto"/>
        <w:rPr>
          <w:sz w:val="20"/>
          <w:szCs w:val="20"/>
          <w:color w:val="auto"/>
        </w:rPr>
      </w:pPr>
      <w:r>
        <w:rPr>
          <w:rFonts w:ascii="Times New Roman" w:cs="Times New Roman" w:eastAsia="Times New Roman" w:hAnsi="Times New Roman"/>
          <w:sz w:val="18"/>
          <w:szCs w:val="18"/>
          <w:i w:val="1"/>
          <w:iCs w:val="1"/>
          <w:color w:val="auto"/>
        </w:rPr>
        <w:t>Market data and information services</w:t>
      </w:r>
      <w:r>
        <w:rPr>
          <w:rFonts w:ascii="Times New Roman" w:cs="Times New Roman" w:eastAsia="Times New Roman" w:hAnsi="Times New Roman"/>
          <w:sz w:val="18"/>
          <w:szCs w:val="18"/>
          <w:color w:val="auto"/>
        </w:rPr>
        <w:t>. During the third quarter and first nine months of 2024, overall market data and information services revenues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increased when compared with the same periods in 2023, largely due to price increases for certain products.</w:t>
      </w:r>
    </w:p>
    <w:p>
      <w:pPr>
        <w:spacing w:after="0" w:line="52"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The two largest resellers of our market data represented approximately 30% of our market data and information services revenue in the first nine months of 2024. Despite this concentration, we consider exposure to significant risk of revenue loss to be minimal. In the event that one of these vendors no longer subscribes to our market data, we believe the majority of that vendor’s customers would likely subscribe to our market data through another reseller. Additionally, several of our largest institutional customers that utilize services from our two largest resellers report usage and remit payment of their fees directly to us.</w:t>
      </w:r>
    </w:p>
    <w:p>
      <w:pPr>
        <w:spacing w:after="0" w:line="73" w:lineRule="exact"/>
        <w:rPr>
          <w:sz w:val="20"/>
          <w:szCs w:val="20"/>
          <w:color w:val="auto"/>
        </w:rPr>
      </w:pPr>
    </w:p>
    <w:p>
      <w:pPr>
        <w:ind w:right="26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Other revenues. </w:t>
      </w:r>
      <w:r>
        <w:rPr>
          <w:rFonts w:ascii="Times New Roman" w:cs="Times New Roman" w:eastAsia="Times New Roman" w:hAnsi="Times New Roman"/>
          <w:sz w:val="18"/>
          <w:szCs w:val="18"/>
          <w:color w:val="auto"/>
        </w:rPr>
        <w:t>In the third quarter and first nine months of 2024, the increases in other revenues when compared with the same periods in 2023 were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largely attributable to higher custody fees due to an increase in non-cash collateral as well as a fee increase. Other revenues also increased mainly due to higher co-location fees.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Expenses</w:t>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6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60" w:type="dxa"/>
            <w:vAlign w:val="bottom"/>
            <w:gridSpan w:val="4"/>
          </w:tcPr>
          <w:p>
            <w:pPr>
              <w:jc w:val="right"/>
              <w:ind w:right="472"/>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360" w:type="dxa"/>
            <w:vAlign w:val="bottom"/>
          </w:tcPr>
          <w:p>
            <w:pPr>
              <w:spacing w:after="0"/>
              <w:rPr>
                <w:sz w:val="13"/>
                <w:szCs w:val="13"/>
                <w:color w:val="auto"/>
              </w:rPr>
            </w:pPr>
          </w:p>
        </w:tc>
      </w:tr>
      <w:tr>
        <w:trPr>
          <w:trHeight w:val="194"/>
        </w:trPr>
        <w:tc>
          <w:tcPr>
            <w:tcW w:w="3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680" w:type="dxa"/>
            <w:vAlign w:val="bottom"/>
            <w:tcBorders>
              <w:bottom w:val="single" w:sz="8" w:color="auto"/>
            </w:tcBorders>
          </w:tcPr>
          <w:p>
            <w:pPr>
              <w:spacing w:after="0"/>
              <w:rPr>
                <w:sz w:val="16"/>
                <w:szCs w:val="16"/>
                <w:color w:val="auto"/>
              </w:rPr>
            </w:pPr>
          </w:p>
        </w:tc>
        <w:tc>
          <w:tcPr>
            <w:tcW w:w="14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00" w:type="dxa"/>
            <w:vAlign w:val="bottom"/>
            <w:tcBorders>
              <w:bottom w:val="single" w:sz="8" w:color="auto"/>
            </w:tcBorders>
          </w:tcPr>
          <w:p>
            <w:pPr>
              <w:spacing w:after="0"/>
              <w:rPr>
                <w:sz w:val="16"/>
                <w:szCs w:val="16"/>
                <w:color w:val="auto"/>
              </w:rPr>
            </w:pPr>
          </w:p>
        </w:tc>
        <w:tc>
          <w:tcPr>
            <w:tcW w:w="1360" w:type="dxa"/>
            <w:vAlign w:val="bottom"/>
          </w:tcPr>
          <w:p>
            <w:pPr>
              <w:spacing w:after="0"/>
              <w:rPr>
                <w:sz w:val="16"/>
                <w:szCs w:val="16"/>
                <w:color w:val="auto"/>
              </w:rPr>
            </w:pPr>
          </w:p>
        </w:tc>
      </w:tr>
      <w:tr>
        <w:trPr>
          <w:trHeight w:val="196"/>
        </w:trPr>
        <w:tc>
          <w:tcPr>
            <w:tcW w:w="382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46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ind w:right="312"/>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36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Compensation and benefits</w:t>
            </w:r>
          </w:p>
        </w:tc>
        <w:tc>
          <w:tcPr>
            <w:tcW w:w="26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218.8</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205.5</w:t>
            </w:r>
          </w:p>
        </w:tc>
        <w:tc>
          <w:tcPr>
            <w:tcW w:w="14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6 %</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629.5</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615.7</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Technology</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55.6</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190.1</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160.2</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19</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31.0</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32.2</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98.8</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108.3</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Amortization of purchased intangibles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55.7</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w:t>
            </w:r>
          </w:p>
        </w:tc>
        <w:tc>
          <w:tcPr>
            <w:tcW w:w="1460" w:type="dxa"/>
            <w:vAlign w:val="bottom"/>
          </w:tcPr>
          <w:p>
            <w:pPr>
              <w:jc w:val="right"/>
              <w:ind w:right="19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171.0</w:t>
            </w:r>
          </w:p>
        </w:tc>
        <w:tc>
          <w:tcPr>
            <w:tcW w:w="1360" w:type="dxa"/>
            <w:vAlign w:val="bottom"/>
          </w:tcPr>
          <w:p>
            <w:pPr>
              <w:jc w:val="right"/>
              <w:ind w:right="92"/>
              <w:spacing w:after="0"/>
              <w:rPr>
                <w:sz w:val="20"/>
                <w:szCs w:val="20"/>
                <w:color w:val="auto"/>
              </w:rPr>
            </w:pPr>
            <w:r>
              <w:rPr>
                <w:rFonts w:ascii="Times New Roman" w:cs="Times New Roman" w:eastAsia="Times New Roman" w:hAnsi="Times New Roman"/>
                <w:sz w:val="18"/>
                <w:szCs w:val="18"/>
                <w:color w:val="auto"/>
              </w:rPr>
              <w:t>(3)</w:t>
            </w:r>
          </w:p>
        </w:tc>
      </w:tr>
      <w:tr>
        <w:trPr>
          <w:trHeight w:val="229"/>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28.2</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31.1</w:t>
            </w:r>
          </w:p>
        </w:tc>
        <w:tc>
          <w:tcPr>
            <w:tcW w:w="1460" w:type="dxa"/>
            <w:vAlign w:val="bottom"/>
            <w:shd w:val="clear" w:color="auto" w:fill="CCEEFF"/>
          </w:tcPr>
          <w:p>
            <w:pPr>
              <w:jc w:val="right"/>
              <w:ind w:right="192"/>
              <w:spacing w:after="0"/>
              <w:rPr>
                <w:sz w:val="20"/>
                <w:szCs w:val="20"/>
                <w:color w:val="auto"/>
              </w:rPr>
            </w:pPr>
            <w:r>
              <w:rPr>
                <w:rFonts w:ascii="Times New Roman" w:cs="Times New Roman" w:eastAsia="Times New Roman" w:hAnsi="Times New Roman"/>
                <w:sz w:val="18"/>
                <w:szCs w:val="18"/>
                <w:color w:val="auto"/>
              </w:rPr>
              <w:t>(9)</w:t>
            </w:r>
          </w:p>
        </w:tc>
        <w:tc>
          <w:tcPr>
            <w:tcW w:w="26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87.0</w:t>
            </w:r>
          </w:p>
        </w:tc>
        <w:tc>
          <w:tcPr>
            <w:tcW w:w="10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95.3</w:t>
            </w:r>
          </w:p>
        </w:tc>
        <w:tc>
          <w:tcPr>
            <w:tcW w:w="1360" w:type="dxa"/>
            <w:vAlign w:val="bottom"/>
            <w:shd w:val="clear" w:color="auto" w:fill="CCEEFF"/>
          </w:tcPr>
          <w:p>
            <w:pPr>
              <w:jc w:val="right"/>
              <w:ind w:right="92"/>
              <w:spacing w:after="0"/>
              <w:rPr>
                <w:sz w:val="20"/>
                <w:szCs w:val="20"/>
                <w:color w:val="auto"/>
              </w:rPr>
            </w:pPr>
            <w:r>
              <w:rPr>
                <w:rFonts w:ascii="Times New Roman" w:cs="Times New Roman" w:eastAsia="Times New Roman" w:hAnsi="Times New Roman"/>
                <w:sz w:val="18"/>
                <w:szCs w:val="18"/>
                <w:color w:val="auto"/>
              </w:rPr>
              <w:t>(9)</w:t>
            </w:r>
          </w:p>
        </w:tc>
      </w:tr>
      <w:tr>
        <w:trPr>
          <w:trHeight w:val="229"/>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Licensing and other fee agreements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79.5</w:t>
            </w:r>
          </w:p>
        </w:tc>
        <w:tc>
          <w:tcPr>
            <w:tcW w:w="1460" w:type="dxa"/>
            <w:vAlign w:val="bottom"/>
          </w:tcPr>
          <w:p>
            <w:pPr>
              <w:jc w:val="right"/>
              <w:ind w:right="232"/>
              <w:spacing w:after="0"/>
              <w:rPr>
                <w:sz w:val="20"/>
                <w:szCs w:val="20"/>
                <w:color w:val="auto"/>
              </w:rPr>
            </w:pPr>
            <w:r>
              <w:rPr>
                <w:rFonts w:ascii="Times New Roman" w:cs="Times New Roman" w:eastAsia="Times New Roman" w:hAnsi="Times New Roman"/>
                <w:sz w:val="18"/>
                <w:szCs w:val="18"/>
                <w:color w:val="auto"/>
              </w:rPr>
              <w:t>23</w:t>
            </w:r>
          </w:p>
        </w:tc>
        <w:tc>
          <w:tcPr>
            <w:tcW w:w="26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242.4</w:t>
            </w:r>
          </w:p>
        </w:tc>
        <w:tc>
          <w:tcPr>
            <w:tcW w:w="1360" w:type="dxa"/>
            <w:vAlign w:val="bottom"/>
          </w:tcPr>
          <w:p>
            <w:pPr>
              <w:jc w:val="right"/>
              <w:ind w:right="132"/>
              <w:spacing w:after="0"/>
              <w:rPr>
                <w:sz w:val="20"/>
                <w:szCs w:val="20"/>
                <w:color w:val="auto"/>
              </w:rPr>
            </w:pPr>
            <w:r>
              <w:rPr>
                <w:rFonts w:ascii="Times New Roman" w:cs="Times New Roman" w:eastAsia="Times New Roman" w:hAnsi="Times New Roman"/>
                <w:sz w:val="18"/>
                <w:szCs w:val="18"/>
                <w:color w:val="auto"/>
              </w:rPr>
              <w:t>12</w:t>
            </w:r>
          </w:p>
        </w:tc>
      </w:tr>
      <w:tr>
        <w:trPr>
          <w:trHeight w:val="230"/>
        </w:trPr>
        <w:tc>
          <w:tcPr>
            <w:tcW w:w="3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w:t>
            </w:r>
          </w:p>
        </w:tc>
        <w:tc>
          <w:tcPr>
            <w:tcW w:w="12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460" w:type="dxa"/>
            <w:vAlign w:val="bottom"/>
            <w:shd w:val="clear" w:color="auto" w:fill="CCEEFF"/>
          </w:tcPr>
          <w:p>
            <w:pPr>
              <w:jc w:val="right"/>
              <w:ind w:right="232"/>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177.2</w:t>
            </w:r>
          </w:p>
        </w:tc>
        <w:tc>
          <w:tcPr>
            <w:tcW w:w="100" w:type="dxa"/>
            <w:vAlign w:val="bottom"/>
            <w:shd w:val="clear" w:color="auto" w:fill="CCEEFF"/>
          </w:tcPr>
          <w:p>
            <w:pPr>
              <w:spacing w:after="0"/>
              <w:rPr>
                <w:sz w:val="19"/>
                <w:szCs w:val="19"/>
                <w:color w:val="auto"/>
              </w:rPr>
            </w:pPr>
          </w:p>
        </w:tc>
        <w:tc>
          <w:tcPr>
            <w:tcW w:w="40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174.2</w:t>
            </w:r>
          </w:p>
        </w:tc>
        <w:tc>
          <w:tcPr>
            <w:tcW w:w="136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rPr>
              <w:t>2</w:t>
            </w:r>
          </w:p>
        </w:tc>
      </w:tr>
      <w:tr>
        <w:trPr>
          <w:trHeight w:val="223"/>
        </w:trPr>
        <w:tc>
          <w:tcPr>
            <w:tcW w:w="3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Expenses</w:t>
            </w:r>
          </w:p>
        </w:tc>
        <w:tc>
          <w:tcPr>
            <w:tcW w:w="2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560.2</w:t>
            </w:r>
          </w:p>
        </w:tc>
        <w:tc>
          <w:tcPr>
            <w:tcW w:w="120" w:type="dxa"/>
            <w:vAlign w:val="bottom"/>
          </w:tcPr>
          <w:p>
            <w:pPr>
              <w:spacing w:after="0"/>
              <w:rPr>
                <w:sz w:val="19"/>
                <w:szCs w:val="19"/>
                <w:color w:val="auto"/>
              </w:rPr>
            </w:pPr>
          </w:p>
        </w:tc>
        <w:tc>
          <w:tcPr>
            <w:tcW w:w="400" w:type="dxa"/>
            <w:vAlign w:val="bottom"/>
            <w:tcBorders>
              <w:bottom w:val="single" w:sz="8" w:color="auto"/>
            </w:tcBorders>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517.6</w:t>
            </w:r>
          </w:p>
        </w:tc>
        <w:tc>
          <w:tcPr>
            <w:tcW w:w="146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8 %</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1,620.4</w:t>
            </w:r>
          </w:p>
        </w:tc>
        <w:tc>
          <w:tcPr>
            <w:tcW w:w="100" w:type="dxa"/>
            <w:vAlign w:val="bottom"/>
          </w:tcPr>
          <w:p>
            <w:pPr>
              <w:spacing w:after="0"/>
              <w:rPr>
                <w:sz w:val="19"/>
                <w:szCs w:val="19"/>
                <w:color w:val="auto"/>
              </w:rPr>
            </w:pPr>
          </w:p>
        </w:tc>
        <w:tc>
          <w:tcPr>
            <w:tcW w:w="40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1,567.1</w:t>
            </w:r>
          </w:p>
        </w:tc>
        <w:tc>
          <w:tcPr>
            <w:tcW w:w="1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3 %</w:t>
            </w:r>
          </w:p>
        </w:tc>
      </w:tr>
      <w:tr>
        <w:trPr>
          <w:trHeight w:val="21"/>
        </w:trPr>
        <w:tc>
          <w:tcPr>
            <w:tcW w:w="38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Operating expenses increased by $42.6 million and $53.3 million in the third quarter and first nine months of 2024 when compared with the same periods in 2023. The following table shows the estimated impacts of key factors resulting in the changes in operating expenses:</w:t>
      </w:r>
    </w:p>
    <w:p>
      <w:pPr>
        <w:spacing w:after="0" w:line="7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660" w:type="dxa"/>
            <w:vAlign w:val="bottom"/>
            <w:gridSpan w:val="4"/>
          </w:tcPr>
          <w:p>
            <w:pPr>
              <w:ind w:left="680"/>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40" w:type="dxa"/>
            <w:vAlign w:val="bottom"/>
          </w:tcPr>
          <w:p>
            <w:pPr>
              <w:spacing w:after="0"/>
              <w:rPr>
                <w:sz w:val="13"/>
                <w:szCs w:val="13"/>
                <w:color w:val="auto"/>
              </w:rPr>
            </w:pPr>
          </w:p>
        </w:tc>
        <w:tc>
          <w:tcPr>
            <w:tcW w:w="2480" w:type="dxa"/>
            <w:vAlign w:val="bottom"/>
            <w:gridSpan w:val="3"/>
          </w:tcPr>
          <w:p>
            <w:pPr>
              <w:ind w:left="5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0" w:type="dxa"/>
            <w:vAlign w:val="bottom"/>
          </w:tcPr>
          <w:p>
            <w:pPr>
              <w:spacing w:after="0"/>
              <w:rPr>
                <w:sz w:val="1"/>
                <w:szCs w:val="1"/>
                <w:color w:val="auto"/>
              </w:rPr>
            </w:pPr>
          </w:p>
        </w:tc>
      </w:tr>
      <w:tr>
        <w:trPr>
          <w:trHeight w:val="195"/>
        </w:trPr>
        <w:tc>
          <w:tcPr>
            <w:tcW w:w="58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1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3"/>
          </w:tcPr>
          <w:p>
            <w:pPr>
              <w:jc w:val="right"/>
              <w:ind w:right="615"/>
              <w:spacing w:after="0"/>
              <w:rPr>
                <w:sz w:val="20"/>
                <w:szCs w:val="20"/>
                <w:color w:val="auto"/>
              </w:rPr>
            </w:pPr>
            <w:r>
              <w:rPr>
                <w:rFonts w:ascii="Times New Roman" w:cs="Times New Roman" w:eastAsia="Times New Roman" w:hAnsi="Times New Roman"/>
                <w:sz w:val="14"/>
                <w:szCs w:val="14"/>
                <w:b w:val="1"/>
                <w:bCs w:val="1"/>
                <w:color w:val="auto"/>
              </w:rPr>
              <w:t>September 30, 2024</w:t>
            </w:r>
          </w:p>
        </w:tc>
        <w:tc>
          <w:tcPr>
            <w:tcW w:w="0" w:type="dxa"/>
            <w:vAlign w:val="bottom"/>
          </w:tcPr>
          <w:p>
            <w:pPr>
              <w:spacing w:after="0"/>
              <w:rPr>
                <w:sz w:val="1"/>
                <w:szCs w:val="1"/>
                <w:color w:val="auto"/>
              </w:rPr>
            </w:pPr>
          </w:p>
        </w:tc>
      </w:tr>
      <w:tr>
        <w:trPr>
          <w:trHeight w:val="284"/>
        </w:trPr>
        <w:tc>
          <w:tcPr>
            <w:tcW w:w="5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6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140" w:type="dxa"/>
            <w:vAlign w:val="bottom"/>
          </w:tcPr>
          <w:p>
            <w:pPr>
              <w:spacing w:after="0"/>
              <w:rPr>
                <w:sz w:val="24"/>
                <w:szCs w:val="24"/>
                <w:color w:val="auto"/>
              </w:rPr>
            </w:pPr>
          </w:p>
        </w:tc>
        <w:tc>
          <w:tcPr>
            <w:tcW w:w="100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 of</w:t>
            </w:r>
          </w:p>
        </w:tc>
        <w:tc>
          <w:tcPr>
            <w:tcW w:w="14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Change as a</w:t>
            </w:r>
          </w:p>
        </w:tc>
        <w:tc>
          <w:tcPr>
            <w:tcW w:w="0" w:type="dxa"/>
            <w:vAlign w:val="bottom"/>
          </w:tcPr>
          <w:p>
            <w:pPr>
              <w:spacing w:after="0"/>
              <w:rPr>
                <w:sz w:val="1"/>
                <w:szCs w:val="1"/>
                <w:color w:val="auto"/>
              </w:rPr>
            </w:pPr>
          </w:p>
        </w:tc>
      </w:tr>
      <w:tr>
        <w:trPr>
          <w:trHeight w:val="146"/>
        </w:trPr>
        <w:tc>
          <w:tcPr>
            <w:tcW w:w="58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14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1640" w:type="dxa"/>
            <w:vAlign w:val="bottom"/>
            <w:gridSpan w:val="2"/>
          </w:tcPr>
          <w:p>
            <w:pPr>
              <w:jc w:val="center"/>
              <w:ind w:right="180"/>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14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1480" w:type="dxa"/>
            <w:vAlign w:val="bottom"/>
          </w:tcPr>
          <w:p>
            <w:pPr>
              <w:jc w:val="center"/>
              <w:spacing w:after="0" w:line="146" w:lineRule="exact"/>
              <w:rPr>
                <w:sz w:val="20"/>
                <w:szCs w:val="20"/>
                <w:color w:val="auto"/>
              </w:rPr>
            </w:pPr>
            <w:r>
              <w:rPr>
                <w:rFonts w:ascii="Times New Roman" w:cs="Times New Roman" w:eastAsia="Times New Roman" w:hAnsi="Times New Roman"/>
                <w:sz w:val="14"/>
                <w:szCs w:val="14"/>
                <w:b w:val="1"/>
                <w:bCs w:val="1"/>
                <w:color w:val="auto"/>
              </w:rPr>
              <w:t>Percentage of</w:t>
            </w:r>
          </w:p>
        </w:tc>
        <w:tc>
          <w:tcPr>
            <w:tcW w:w="0" w:type="dxa"/>
            <w:vAlign w:val="bottom"/>
          </w:tcPr>
          <w:p>
            <w:pPr>
              <w:spacing w:after="0"/>
              <w:rPr>
                <w:sz w:val="1"/>
                <w:szCs w:val="1"/>
                <w:color w:val="auto"/>
              </w:rPr>
            </w:pPr>
          </w:p>
        </w:tc>
      </w:tr>
      <w:tr>
        <w:trPr>
          <w:trHeight w:val="198"/>
        </w:trPr>
        <w:tc>
          <w:tcPr>
            <w:tcW w:w="5820" w:type="dxa"/>
            <w:vAlign w:val="bottom"/>
            <w:tcBorders>
              <w:bottom w:val="single" w:sz="8" w:color="auto"/>
            </w:tcBorders>
            <w:vMerge w:val="continue"/>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640" w:type="dxa"/>
            <w:vAlign w:val="bottom"/>
            <w:tcBorders>
              <w:bottom w:val="single" w:sz="8" w:color="auto"/>
            </w:tcBorders>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Total Expenses</w:t>
            </w:r>
          </w:p>
        </w:tc>
        <w:tc>
          <w:tcPr>
            <w:tcW w:w="1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14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Total Expenses</w:t>
            </w:r>
          </w:p>
        </w:tc>
        <w:tc>
          <w:tcPr>
            <w:tcW w:w="0" w:type="dxa"/>
            <w:vAlign w:val="bottom"/>
          </w:tcPr>
          <w:p>
            <w:pPr>
              <w:spacing w:after="0"/>
              <w:rPr>
                <w:sz w:val="1"/>
                <w:szCs w:val="1"/>
                <w:color w:val="auto"/>
              </w:rPr>
            </w:pPr>
          </w:p>
        </w:tc>
      </w:tr>
      <w:tr>
        <w:trPr>
          <w:trHeight w:val="228"/>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Technology support services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29.7</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2 %</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License fees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20" w:type="dxa"/>
            <w:vAlign w:val="bottom"/>
          </w:tcPr>
          <w:p>
            <w:pPr>
              <w:spacing w:after="0"/>
              <w:rPr>
                <w:sz w:val="19"/>
                <w:szCs w:val="19"/>
                <w:color w:val="auto"/>
              </w:rPr>
            </w:pPr>
          </w:p>
        </w:tc>
        <w:tc>
          <w:tcPr>
            <w:tcW w:w="146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8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Salaries, benefits and employer taxes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19"/>
                <w:szCs w:val="19"/>
                <w:color w:val="auto"/>
              </w:rPr>
            </w:pPr>
          </w:p>
        </w:tc>
        <w:tc>
          <w:tcPr>
            <w:tcW w:w="1460" w:type="dxa"/>
            <w:vAlign w:val="bottom"/>
          </w:tcPr>
          <w:p>
            <w:pPr>
              <w:jc w:val="right"/>
              <w:ind w:right="75"/>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(8.3)</w:t>
            </w:r>
          </w:p>
        </w:tc>
        <w:tc>
          <w:tcPr>
            <w:tcW w:w="80" w:type="dxa"/>
            <w:vAlign w:val="bottom"/>
          </w:tcPr>
          <w:p>
            <w:pPr>
              <w:spacing w:after="0"/>
              <w:rPr>
                <w:sz w:val="19"/>
                <w:szCs w:val="19"/>
                <w:color w:val="auto"/>
              </w:rPr>
            </w:pPr>
          </w:p>
        </w:tc>
        <w:tc>
          <w:tcPr>
            <w:tcW w:w="1480" w:type="dxa"/>
            <w:vAlign w:val="bottom"/>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Occupancy and building operations</w:t>
            </w:r>
          </w:p>
        </w:tc>
        <w:tc>
          <w:tcPr>
            <w:tcW w:w="1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8"/>
                <w:szCs w:val="18"/>
                <w:color w:val="auto"/>
              </w:rPr>
              <w:t>(1)</w:t>
            </w: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92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(9.2)</w:t>
            </w:r>
          </w:p>
        </w:tc>
        <w:tc>
          <w:tcPr>
            <w:tcW w:w="80" w:type="dxa"/>
            <w:vAlign w:val="bottom"/>
            <w:shd w:val="clear" w:color="auto" w:fill="CCEEFF"/>
          </w:tcPr>
          <w:p>
            <w:pPr>
              <w:spacing w:after="0"/>
              <w:rPr>
                <w:sz w:val="19"/>
                <w:szCs w:val="19"/>
                <w:color w:val="auto"/>
              </w:rPr>
            </w:pPr>
          </w:p>
        </w:tc>
        <w:tc>
          <w:tcPr>
            <w:tcW w:w="1480" w:type="dxa"/>
            <w:vAlign w:val="bottom"/>
            <w:shd w:val="clear" w:color="auto" w:fill="CCEEFF"/>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9"/>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Professional fees and outside services</w:t>
            </w:r>
          </w:p>
        </w:tc>
        <w:tc>
          <w:tcPr>
            <w:tcW w:w="1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9"/>
                <w:szCs w:val="19"/>
                <w:color w:val="auto"/>
              </w:rPr>
            </w:pPr>
          </w:p>
        </w:tc>
        <w:tc>
          <w:tcPr>
            <w:tcW w:w="164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2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(9.5)</w:t>
            </w:r>
          </w:p>
        </w:tc>
        <w:tc>
          <w:tcPr>
            <w:tcW w:w="80" w:type="dxa"/>
            <w:vAlign w:val="bottom"/>
          </w:tcPr>
          <w:p>
            <w:pPr>
              <w:spacing w:after="0"/>
              <w:rPr>
                <w:sz w:val="19"/>
                <w:szCs w:val="19"/>
                <w:color w:val="auto"/>
              </w:rPr>
            </w:pPr>
          </w:p>
        </w:tc>
        <w:tc>
          <w:tcPr>
            <w:tcW w:w="1480" w:type="dxa"/>
            <w:vAlign w:val="bottom"/>
          </w:tcPr>
          <w:p>
            <w:pPr>
              <w:jc w:val="right"/>
              <w:ind w:right="95"/>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0"/>
        </w:trPr>
        <w:tc>
          <w:tcPr>
            <w:tcW w:w="58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expenses, net</w:t>
            </w:r>
          </w:p>
        </w:tc>
        <w:tc>
          <w:tcPr>
            <w:tcW w:w="1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2</w:t>
            </w:r>
          </w:p>
        </w:tc>
        <w:tc>
          <w:tcPr>
            <w:tcW w:w="1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80" w:type="dxa"/>
            <w:vAlign w:val="bottom"/>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ind w:right="135"/>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58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increase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42.6</w:t>
            </w:r>
          </w:p>
        </w:tc>
        <w:tc>
          <w:tcPr>
            <w:tcW w:w="12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8 %</w:t>
            </w:r>
          </w:p>
        </w:tc>
        <w:tc>
          <w:tcPr>
            <w:tcW w:w="18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53.3</w:t>
            </w:r>
          </w:p>
        </w:tc>
        <w:tc>
          <w:tcPr>
            <w:tcW w:w="80" w:type="dxa"/>
            <w:vAlign w:val="bottom"/>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3 %</w:t>
            </w:r>
          </w:p>
        </w:tc>
        <w:tc>
          <w:tcPr>
            <w:tcW w:w="0" w:type="dxa"/>
            <w:vAlign w:val="bottom"/>
          </w:tcPr>
          <w:p>
            <w:pPr>
              <w:spacing w:after="0"/>
              <w:rPr>
                <w:sz w:val="1"/>
                <w:szCs w:val="1"/>
                <w:color w:val="auto"/>
              </w:rPr>
            </w:pPr>
          </w:p>
        </w:tc>
      </w:tr>
      <w:tr>
        <w:trPr>
          <w:trHeight w:val="21"/>
        </w:trPr>
        <w:tc>
          <w:tcPr>
            <w:tcW w:w="5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Increases in operating expenses in the third quarter and first nine months of 2024 when compared with the same periods in 2023 were as follows:</w:t>
      </w:r>
    </w:p>
    <w:p>
      <w:pPr>
        <w:spacing w:after="0" w:line="117" w:lineRule="exact"/>
        <w:rPr>
          <w:sz w:val="20"/>
          <w:szCs w:val="20"/>
          <w:color w:val="auto"/>
        </w:rPr>
      </w:pPr>
    </w:p>
    <w:p>
      <w:pPr>
        <w:ind w:left="660" w:right="16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increases in expenses related to technology support services were primarily driven by higher software license fees and third party services to support the ongoing Google Cloud transformation project.</w:t>
      </w:r>
    </w:p>
    <w:p>
      <w:pPr>
        <w:spacing w:after="0" w:line="53" w:lineRule="exact"/>
        <w:rPr>
          <w:rFonts w:ascii="Times New Roman" w:cs="Times New Roman" w:eastAsia="Times New Roman" w:hAnsi="Times New Roman"/>
          <w:sz w:val="18"/>
          <w:szCs w:val="18"/>
          <w:color w:val="auto"/>
        </w:rPr>
      </w:pPr>
    </w:p>
    <w:p>
      <w:pPr>
        <w:ind w:left="660" w:right="300" w:hanging="328"/>
        <w:spacing w:after="0" w:line="282"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License fees were higher primarily due to increases in volume for certain equity products and improved revenue performance related to certain arrangements.</w:t>
      </w:r>
    </w:p>
    <w:p>
      <w:pPr>
        <w:spacing w:after="0" w:line="53" w:lineRule="exact"/>
        <w:rPr>
          <w:rFonts w:ascii="Times New Roman" w:cs="Times New Roman" w:eastAsia="Times New Roman" w:hAnsi="Times New Roman"/>
          <w:sz w:val="18"/>
          <w:szCs w:val="18"/>
          <w:color w:val="auto"/>
        </w:rPr>
      </w:pPr>
    </w:p>
    <w:p>
      <w:pPr>
        <w:jc w:val="both"/>
        <w:ind w:left="660" w:right="220" w:hanging="328"/>
        <w:spacing w:after="0" w:line="312" w:lineRule="auto"/>
        <w:tabs>
          <w:tab w:leader="none" w:pos="655"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Salaries, benefits and employer taxes were higher due to increases in headcount during the year, which were primarily attributable to additional headcount in the company's international locations, as well as an increase in compensation expenses due to a law change for vacation carryover.</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Decreases in operating expenses in the third quarter and first nine months of 2024 when compared with the same periods in 2023 were as follows:</w:t>
      </w:r>
    </w:p>
    <w:p>
      <w:pPr>
        <w:spacing w:after="0" w:line="117" w:lineRule="exact"/>
        <w:rPr>
          <w:sz w:val="20"/>
          <w:szCs w:val="20"/>
          <w:color w:val="auto"/>
        </w:rPr>
      </w:pPr>
    </w:p>
    <w:p>
      <w:pPr>
        <w:ind w:left="660" w:righ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Depreciation and amortization expense decreased as a result of a decline in fixed asset purchases over the last few years and certain assets becoming fully depreciated.</w:t>
      </w:r>
    </w:p>
    <w:p>
      <w:pPr>
        <w:spacing w:after="0" w:line="53"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Occupancy and building operations expenses decreased due to lower rent expenses and real estate taxes.</w:t>
      </w:r>
    </w:p>
    <w:p>
      <w:pPr>
        <w:spacing w:after="0" w:line="117" w:lineRule="exact"/>
        <w:rPr>
          <w:rFonts w:ascii="Times New Roman" w:cs="Times New Roman" w:eastAsia="Times New Roman" w:hAnsi="Times New Roman"/>
          <w:sz w:val="18"/>
          <w:szCs w:val="18"/>
          <w:color w:val="auto"/>
        </w:rPr>
      </w:pPr>
    </w:p>
    <w:p>
      <w:pPr>
        <w:ind w:left="660" w:right="74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decreases in professional fees and outside services are largely due to decreases in consulting costs associated with the Google Cloud Migration, which began in late 2021, as well as lower legal fees during the periods.</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Non-Operating Income (Expense)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4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920" w:type="dxa"/>
            <w:vAlign w:val="bottom"/>
            <w:gridSpan w:val="4"/>
          </w:tcPr>
          <w:p>
            <w:pPr>
              <w:jc w:val="right"/>
              <w:ind w:right="533"/>
              <w:spacing w:after="0"/>
              <w:rPr>
                <w:sz w:val="20"/>
                <w:szCs w:val="20"/>
                <w:color w:val="auto"/>
              </w:rPr>
            </w:pPr>
            <w:r>
              <w:rPr>
                <w:rFonts w:ascii="Times New Roman" w:cs="Times New Roman" w:eastAsia="Times New Roman" w:hAnsi="Times New Roman"/>
                <w:sz w:val="14"/>
                <w:szCs w:val="14"/>
                <w:b w:val="1"/>
                <w:bCs w:val="1"/>
                <w:color w:val="auto"/>
              </w:rPr>
              <w:t>Quarter Ended</w:t>
            </w:r>
          </w:p>
        </w:tc>
        <w:tc>
          <w:tcPr>
            <w:tcW w:w="13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940" w:type="dxa"/>
            <w:vAlign w:val="bottom"/>
            <w:gridSpan w:val="4"/>
          </w:tcPr>
          <w:p>
            <w:pPr>
              <w:jc w:val="right"/>
              <w:ind w:right="393"/>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0" w:type="dxa"/>
            <w:vAlign w:val="bottom"/>
          </w:tcPr>
          <w:p>
            <w:pPr>
              <w:spacing w:after="0"/>
              <w:rPr>
                <w:sz w:val="13"/>
                <w:szCs w:val="13"/>
                <w:color w:val="auto"/>
              </w:rPr>
            </w:pPr>
          </w:p>
        </w:tc>
      </w:tr>
      <w:tr>
        <w:trPr>
          <w:trHeight w:val="194"/>
        </w:trPr>
        <w:tc>
          <w:tcPr>
            <w:tcW w:w="4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92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3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940" w:type="dxa"/>
            <w:vAlign w:val="bottom"/>
            <w:tcBorders>
              <w:bottom w:val="single" w:sz="8" w:color="auto"/>
            </w:tcBorders>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00" w:type="dxa"/>
            <w:vAlign w:val="bottom"/>
          </w:tcPr>
          <w:p>
            <w:pPr>
              <w:spacing w:after="0"/>
              <w:rPr>
                <w:sz w:val="16"/>
                <w:szCs w:val="16"/>
                <w:color w:val="auto"/>
              </w:rPr>
            </w:pPr>
          </w:p>
        </w:tc>
      </w:tr>
      <w:tr>
        <w:trPr>
          <w:trHeight w:val="196"/>
        </w:trPr>
        <w:tc>
          <w:tcPr>
            <w:tcW w:w="440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(dollars in millions)</w:t>
            </w: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3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77"/>
              <w:spacing w:after="0"/>
              <w:rPr>
                <w:sz w:val="20"/>
                <w:szCs w:val="20"/>
                <w:color w:val="auto"/>
              </w:rPr>
            </w:pPr>
            <w:r>
              <w:rPr>
                <w:rFonts w:ascii="Times New Roman" w:cs="Times New Roman" w:eastAsia="Times New Roman" w:hAnsi="Times New Roman"/>
                <w:sz w:val="14"/>
                <w:szCs w:val="14"/>
                <w:b w:val="1"/>
                <w:bCs w:val="1"/>
                <w:color w:val="auto"/>
              </w:rPr>
              <w:t>2024</w:t>
            </w:r>
          </w:p>
        </w:tc>
        <w:tc>
          <w:tcPr>
            <w:tcW w:w="12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20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229"/>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income</w:t>
            </w:r>
          </w:p>
        </w:tc>
        <w:tc>
          <w:tcPr>
            <w:tcW w:w="24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1,026.8</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1,272.5</w:t>
            </w:r>
          </w:p>
        </w:tc>
        <w:tc>
          <w:tcPr>
            <w:tcW w:w="13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(19)%</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3,142.6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4,198.4</w:t>
            </w:r>
          </w:p>
        </w:tc>
        <w:tc>
          <w:tcPr>
            <w:tcW w:w="120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(25)%</w:t>
            </w:r>
          </w:p>
        </w:tc>
      </w:tr>
      <w:tr>
        <w:trPr>
          <w:trHeight w:val="229"/>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and other borrowing costs</w:t>
            </w:r>
          </w:p>
        </w:tc>
        <w:tc>
          <w:tcPr>
            <w:tcW w:w="24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(39.6)</w:t>
            </w:r>
          </w:p>
        </w:tc>
        <w:tc>
          <w:tcPr>
            <w:tcW w:w="1320" w:type="dxa"/>
            <w:vAlign w:val="bottom"/>
          </w:tcPr>
          <w:p>
            <w:pPr>
              <w:jc w:val="right"/>
              <w:ind w:right="233"/>
              <w:spacing w:after="0"/>
              <w:rPr>
                <w:sz w:val="20"/>
                <w:szCs w:val="20"/>
                <w:color w:val="auto"/>
              </w:rPr>
            </w:pPr>
            <w:r>
              <w:rPr>
                <w:rFonts w:ascii="Times New Roman" w:cs="Times New Roman" w:eastAsia="Times New Roman" w:hAnsi="Times New Roman"/>
                <w:sz w:val="18"/>
                <w:szCs w:val="18"/>
                <w:color w:val="auto"/>
              </w:rPr>
              <w:t>2</w:t>
            </w: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(119.7)</w:t>
            </w:r>
          </w:p>
        </w:tc>
        <w:tc>
          <w:tcPr>
            <w:tcW w:w="120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 %</w:t>
            </w:r>
          </w:p>
        </w:tc>
      </w:tr>
      <w:tr>
        <w:trPr>
          <w:trHeight w:val="230"/>
        </w:trPr>
        <w:tc>
          <w:tcPr>
            <w:tcW w:w="4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Equity in net earnings of unconsolidated subsidiaries</w:t>
            </w:r>
          </w:p>
        </w:tc>
        <w:tc>
          <w:tcPr>
            <w:tcW w:w="24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320" w:type="dxa"/>
            <w:vAlign w:val="bottom"/>
            <w:shd w:val="clear" w:color="auto" w:fill="CCEEFF"/>
          </w:tcPr>
          <w:p>
            <w:pPr>
              <w:jc w:val="right"/>
              <w:ind w:right="233"/>
              <w:spacing w:after="0"/>
              <w:rPr>
                <w:sz w:val="20"/>
                <w:szCs w:val="20"/>
                <w:color w:val="auto"/>
              </w:rPr>
            </w:pPr>
            <w:r>
              <w:rPr>
                <w:rFonts w:ascii="Times New Roman" w:cs="Times New Roman" w:eastAsia="Times New Roman" w:hAnsi="Times New Roman"/>
                <w:sz w:val="18"/>
                <w:szCs w:val="18"/>
                <w:color w:val="auto"/>
              </w:rPr>
              <w:t>12</w:t>
            </w: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259.7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w:t>
            </w:r>
          </w:p>
        </w:tc>
        <w:tc>
          <w:tcPr>
            <w:tcW w:w="120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13</w:t>
            </w:r>
          </w:p>
        </w:tc>
      </w:tr>
      <w:tr>
        <w:trPr>
          <w:trHeight w:val="229"/>
        </w:trPr>
        <w:tc>
          <w:tcPr>
            <w:tcW w:w="4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2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(1,155.6)</w:t>
            </w:r>
          </w:p>
        </w:tc>
        <w:tc>
          <w:tcPr>
            <w:tcW w:w="1320" w:type="dxa"/>
            <w:vAlign w:val="bottom"/>
            <w:tcBorders>
              <w:bottom w:val="single" w:sz="8" w:color="CCEEFF"/>
            </w:tcBorders>
          </w:tcPr>
          <w:p>
            <w:pPr>
              <w:jc w:val="right"/>
              <w:ind w:right="193"/>
              <w:spacing w:after="0"/>
              <w:rPr>
                <w:sz w:val="20"/>
                <w:szCs w:val="20"/>
                <w:color w:val="auto"/>
              </w:rPr>
            </w:pPr>
            <w:r>
              <w:rPr>
                <w:rFonts w:ascii="Times New Roman" w:cs="Times New Roman" w:eastAsia="Times New Roman" w:hAnsi="Times New Roman"/>
                <w:sz w:val="18"/>
                <w:szCs w:val="18"/>
                <w:color w:val="auto"/>
              </w:rPr>
              <w:t>(20)</w:t>
            </w: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(2,821.7)</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(3,733.7)</w:t>
            </w:r>
          </w:p>
        </w:tc>
        <w:tc>
          <w:tcPr>
            <w:tcW w:w="1200" w:type="dxa"/>
            <w:vAlign w:val="bottom"/>
            <w:tcBorders>
              <w:bottom w:val="single" w:sz="8" w:color="CCEEFF"/>
            </w:tcBorders>
          </w:tcPr>
          <w:p>
            <w:pPr>
              <w:ind w:left="720"/>
              <w:spacing w:after="0"/>
              <w:rPr>
                <w:sz w:val="20"/>
                <w:szCs w:val="20"/>
                <w:color w:val="auto"/>
              </w:rPr>
            </w:pPr>
            <w:r>
              <w:rPr>
                <w:rFonts w:ascii="Times New Roman" w:cs="Times New Roman" w:eastAsia="Times New Roman" w:hAnsi="Times New Roman"/>
                <w:sz w:val="18"/>
                <w:szCs w:val="18"/>
                <w:color w:val="auto"/>
              </w:rPr>
              <w:t>(24)</w:t>
            </w:r>
          </w:p>
        </w:tc>
      </w:tr>
      <w:tr>
        <w:trPr>
          <w:trHeight w:val="248"/>
        </w:trPr>
        <w:tc>
          <w:tcPr>
            <w:tcW w:w="4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Non-Operating</w:t>
            </w: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154.1</w:t>
            </w:r>
          </w:p>
        </w:tc>
        <w:tc>
          <w:tcPr>
            <w:tcW w:w="1320" w:type="dxa"/>
            <w:vAlign w:val="bottom"/>
            <w:tcBorders>
              <w:bottom w:val="single" w:sz="8" w:color="CCEEFF"/>
            </w:tcBorders>
            <w:shd w:val="clear" w:color="auto" w:fill="CCEEFF"/>
          </w:tcPr>
          <w:p>
            <w:pPr>
              <w:jc w:val="right"/>
              <w:ind w:right="193"/>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460.4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w:t>
            </w:r>
          </w:p>
        </w:tc>
        <w:tc>
          <w:tcPr>
            <w:tcW w:w="120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(20)</w:t>
            </w:r>
          </w:p>
        </w:tc>
      </w:tr>
      <w:tr>
        <w:trPr>
          <w:trHeight w:val="20"/>
        </w:trPr>
        <w:tc>
          <w:tcPr>
            <w:tcW w:w="44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r>
    </w:tbl>
    <w:p>
      <w:pPr>
        <w:spacing w:after="0" w:line="182" w:lineRule="exact"/>
        <w:rPr>
          <w:sz w:val="20"/>
          <w:szCs w:val="20"/>
          <w:color w:val="auto"/>
        </w:rPr>
      </w:pPr>
    </w:p>
    <w:p>
      <w:pPr>
        <w:ind w:right="20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Investment income. </w:t>
      </w:r>
      <w:r>
        <w:rPr>
          <w:rFonts w:ascii="Times New Roman" w:cs="Times New Roman" w:eastAsia="Times New Roman" w:hAnsi="Times New Roman"/>
          <w:sz w:val="18"/>
          <w:szCs w:val="18"/>
          <w:color w:val="auto"/>
        </w:rPr>
        <w:t>Earnings from cash performance bond and guaranty fund contributions that are reinvested decreased in the third quarter and first nine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months of 2024 when compared with the same periods in 2023 due to lower average reinvestment balances. In the third quarter and first nine months of 2024, earnings from cash performance bond and guaranty fund contributions were $991.3 million and $3,035.6 million, compared with $1,246.5 million and $4,042.9 million, respectively, in the third quarter and first nine months of 2023. We also recognized lower net realized and unrealized gains on investments in the first nine months of 2024.</w:t>
      </w:r>
    </w:p>
    <w:p>
      <w:pPr>
        <w:spacing w:after="0" w:line="75"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Equity in net earnings (losses) of unconsolidated subsidiaries. </w:t>
      </w:r>
      <w:r>
        <w:rPr>
          <w:rFonts w:ascii="Times New Roman" w:cs="Times New Roman" w:eastAsia="Times New Roman" w:hAnsi="Times New Roman"/>
          <w:sz w:val="18"/>
          <w:szCs w:val="18"/>
          <w:color w:val="auto"/>
        </w:rPr>
        <w:t>Higher income generated from our S&amp;P/Dow Jones Indices LLC (S&amp;P/DJI) business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venture contributed to an increase in equity in net earnings of unconsolidated subsidiaries in the third quarter and first nine months of quarter of 2024 when compared with the same periods in 2023.</w:t>
      </w:r>
    </w:p>
    <w:p>
      <w:pPr>
        <w:spacing w:after="0" w:line="38"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Other non-operating income (expense). </w:t>
      </w:r>
      <w:r>
        <w:rPr>
          <w:rFonts w:ascii="Times New Roman" w:cs="Times New Roman" w:eastAsia="Times New Roman" w:hAnsi="Times New Roman"/>
          <w:sz w:val="18"/>
          <w:szCs w:val="18"/>
          <w:color w:val="auto"/>
        </w:rPr>
        <w:t>We recognized lower expenses related to the distribution of interest earned on performance bond collateral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reinvestments to the clearing firms in conjunction with lower interest income earned on our reinvestment during the third quarter and first nine months of 2024 when compared with the same periods in 2023. In the third quarter and first nine months of 2024, expenses related to the distribution of interest earned on collateral reinvestments were $922.6 million and $2,829.4 million, compared with $1,160.5 million and $3,756.8 million in the third quarter and first nine months of 2023.</w:t>
      </w:r>
    </w:p>
    <w:p>
      <w:pPr>
        <w:spacing w:after="0" w:line="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Income Tax Provision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effective tax rates for the periods presented:</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1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880" w:type="dxa"/>
            <w:vAlign w:val="bottom"/>
          </w:tcPr>
          <w:p>
            <w:pPr>
              <w:spacing w:after="0"/>
              <w:rPr>
                <w:sz w:val="16"/>
                <w:szCs w:val="16"/>
                <w:color w:val="auto"/>
              </w:rPr>
            </w:pPr>
          </w:p>
        </w:tc>
        <w:tc>
          <w:tcPr>
            <w:tcW w:w="1220" w:type="dxa"/>
            <w:vAlign w:val="bottom"/>
          </w:tcPr>
          <w:p>
            <w:pPr>
              <w:jc w:val="right"/>
              <w:ind w:right="496"/>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3"/>
        </w:trPr>
        <w:tc>
          <w:tcPr>
            <w:tcW w:w="91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23"/>
        </w:trPr>
        <w:tc>
          <w:tcPr>
            <w:tcW w:w="91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Quarter ended September 30</w:t>
            </w:r>
          </w:p>
        </w:tc>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22.4 %</w:t>
            </w:r>
          </w:p>
        </w:tc>
        <w:tc>
          <w:tcPr>
            <w:tcW w:w="12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23.0 %</w:t>
            </w:r>
          </w:p>
        </w:tc>
      </w:tr>
      <w:tr>
        <w:trPr>
          <w:trHeight w:val="234"/>
        </w:trPr>
        <w:tc>
          <w:tcPr>
            <w:tcW w:w="9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Nine months ended September 30</w:t>
            </w:r>
          </w:p>
        </w:tc>
        <w:tc>
          <w:tcPr>
            <w:tcW w:w="8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23.0</w:t>
            </w:r>
          </w:p>
        </w:tc>
        <w:tc>
          <w:tcPr>
            <w:tcW w:w="1220" w:type="dxa"/>
            <w:vAlign w:val="bottom"/>
          </w:tcPr>
          <w:p>
            <w:pPr>
              <w:ind w:left="680"/>
              <w:spacing w:after="0"/>
              <w:rPr>
                <w:sz w:val="20"/>
                <w:szCs w:val="20"/>
                <w:color w:val="auto"/>
              </w:rPr>
            </w:pPr>
            <w:r>
              <w:rPr>
                <w:rFonts w:ascii="Times New Roman" w:cs="Times New Roman" w:eastAsia="Times New Roman" w:hAnsi="Times New Roman"/>
                <w:sz w:val="18"/>
                <w:szCs w:val="18"/>
                <w:color w:val="auto"/>
              </w:rPr>
              <w:t>23.4</w:t>
            </w:r>
          </w:p>
        </w:tc>
      </w:tr>
    </w:tbl>
    <w:p>
      <w:pPr>
        <w:spacing w:after="0" w:line="166" w:lineRule="exact"/>
        <w:rPr>
          <w:sz w:val="20"/>
          <w:szCs w:val="20"/>
          <w:color w:val="auto"/>
        </w:rPr>
      </w:pPr>
    </w:p>
    <w:p>
      <w:pPr>
        <w:ind w:right="400"/>
        <w:spacing w:after="0" w:line="266" w:lineRule="auto"/>
        <w:rPr>
          <w:sz w:val="20"/>
          <w:szCs w:val="20"/>
          <w:color w:val="auto"/>
        </w:rPr>
      </w:pPr>
      <w:r>
        <w:rPr>
          <w:rFonts w:ascii="Times New Roman" w:cs="Times New Roman" w:eastAsia="Times New Roman" w:hAnsi="Times New Roman"/>
          <w:sz w:val="18"/>
          <w:szCs w:val="18"/>
          <w:color w:val="auto"/>
        </w:rPr>
        <w:t>The overall effective tax rate remained relatively consistent in the third quarter and first nine months of 2024 when compared with the same periods in 2023.</w:t>
      </w:r>
    </w:p>
    <w:p>
      <w:pPr>
        <w:spacing w:after="0" w:line="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1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i w:val="1"/>
          <w:iCs w:val="1"/>
          <w:u w:val="single" w:color="auto"/>
          <w:color w:val="auto"/>
        </w:rPr>
        <w:t>Sources and Uses of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Net cash provided by operating activities increased in the first nine months of 2024 when compared with the same period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2023 was largely due to an increase in revenues. Cash used in investing activities increased in the first nine months of 2024 when compared with the same period in 2023 due to a decrease in proceeds from sales of investments. Cash provided by financing activities was higher during the first nine months of 2024 when compared with the same period in 2023 due to an increase in cash performance bonds and guaranty fund contributions.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9" w:name="page30"/>
    <w:bookmarkEnd w:id="29"/>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u w:val="single" w:color="auto"/>
          <w:color w:val="auto"/>
        </w:rPr>
        <w:t>Debt Instruments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following table summarizes our debt outstanding at September 30,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240" w:type="dxa"/>
            <w:vAlign w:val="bottom"/>
          </w:tcPr>
          <w:p>
            <w:pPr>
              <w:ind w:left="20"/>
              <w:spacing w:after="0"/>
              <w:rPr>
                <w:sz w:val="20"/>
                <w:szCs w:val="20"/>
                <w:color w:val="auto"/>
              </w:rPr>
            </w:pPr>
            <w:r>
              <w:rPr>
                <w:rFonts w:ascii="Times New Roman" w:cs="Times New Roman" w:eastAsia="Times New Roman" w:hAnsi="Times New Roman"/>
                <w:sz w:val="14"/>
                <w:szCs w:val="14"/>
                <w:b w:val="1"/>
                <w:bCs w:val="1"/>
                <w:i w:val="1"/>
                <w:iCs w:val="1"/>
                <w:color w:val="auto"/>
              </w:rPr>
              <w:t>(in millions)</w:t>
            </w:r>
          </w:p>
        </w:tc>
        <w:tc>
          <w:tcPr>
            <w:tcW w:w="2980" w:type="dxa"/>
            <w:vAlign w:val="bottom"/>
          </w:tcPr>
          <w:p>
            <w:pPr>
              <w:spacing w:after="0"/>
              <w:rPr>
                <w:sz w:val="16"/>
                <w:szCs w:val="16"/>
                <w:color w:val="auto"/>
              </w:rPr>
            </w:pPr>
          </w:p>
        </w:tc>
        <w:tc>
          <w:tcPr>
            <w:tcW w:w="880" w:type="dxa"/>
            <w:vAlign w:val="bottom"/>
          </w:tcPr>
          <w:p>
            <w:pPr>
              <w:jc w:val="right"/>
              <w:ind w:right="133"/>
              <w:spacing w:after="0"/>
              <w:rPr>
                <w:sz w:val="20"/>
                <w:szCs w:val="20"/>
                <w:color w:val="auto"/>
              </w:rPr>
            </w:pPr>
            <w:r>
              <w:rPr>
                <w:rFonts w:ascii="Times New Roman" w:cs="Times New Roman" w:eastAsia="Times New Roman" w:hAnsi="Times New Roman"/>
                <w:sz w:val="14"/>
                <w:szCs w:val="14"/>
                <w:b w:val="1"/>
                <w:bCs w:val="1"/>
                <w:color w:val="auto"/>
              </w:rPr>
              <w:t>Par Value</w:t>
            </w:r>
          </w:p>
        </w:tc>
      </w:tr>
      <w:tr>
        <w:trPr>
          <w:trHeight w:val="23"/>
        </w:trPr>
        <w:tc>
          <w:tcPr>
            <w:tcW w:w="7240" w:type="dxa"/>
            <w:vAlign w:val="bottom"/>
            <w:tcBorders>
              <w:bottom w:val="single" w:sz="8" w:color="auto"/>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23"/>
        </w:trPr>
        <w:tc>
          <w:tcPr>
            <w:tcW w:w="7240" w:type="dxa"/>
            <w:vAlign w:val="bottom"/>
            <w:shd w:val="clear" w:color="auto" w:fill="CCEEFF"/>
          </w:tcPr>
          <w:p>
            <w:pPr>
              <w:ind w:left="20"/>
              <w:spacing w:after="0" w:line="223" w:lineRule="exact"/>
              <w:rPr>
                <w:sz w:val="20"/>
                <w:szCs w:val="20"/>
                <w:color w:val="auto"/>
              </w:rPr>
            </w:pPr>
            <w:r>
              <w:rPr>
                <w:rFonts w:ascii="Times New Roman" w:cs="Times New Roman" w:eastAsia="Times New Roman" w:hAnsi="Times New Roman"/>
                <w:sz w:val="18"/>
                <w:szCs w:val="18"/>
                <w:color w:val="auto"/>
              </w:rPr>
              <w:t xml:space="preserve">Fixed rate notes due March 2025, stated rate of 3.00% </w:t>
            </w:r>
            <w:r>
              <w:rPr>
                <w:rFonts w:ascii="Times New Roman" w:cs="Times New Roman" w:eastAsia="Times New Roman" w:hAnsi="Times New Roman"/>
                <w:sz w:val="23"/>
                <w:szCs w:val="23"/>
                <w:color w:val="auto"/>
                <w:vertAlign w:val="superscript"/>
              </w:rPr>
              <w:t>(1)</w:t>
            </w:r>
          </w:p>
        </w:tc>
        <w:tc>
          <w:tcPr>
            <w:tcW w:w="2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Fixed rate notes due June 2028, stated rate of 3.75%</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March 2032, stated rate of 2.65%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30"/>
        </w:trPr>
        <w:tc>
          <w:tcPr>
            <w:tcW w:w="7240" w:type="dxa"/>
            <w:vAlign w:val="bottom"/>
          </w:tcPr>
          <w:p>
            <w:pPr>
              <w:ind w:left="20"/>
              <w:spacing w:after="0" w:line="230" w:lineRule="exact"/>
              <w:rPr>
                <w:sz w:val="20"/>
                <w:szCs w:val="20"/>
                <w:color w:val="auto"/>
              </w:rPr>
            </w:pPr>
            <w:r>
              <w:rPr>
                <w:rFonts w:ascii="Times New Roman" w:cs="Times New Roman" w:eastAsia="Times New Roman" w:hAnsi="Times New Roman"/>
                <w:sz w:val="18"/>
                <w:szCs w:val="18"/>
                <w:color w:val="auto"/>
              </w:rPr>
              <w:t xml:space="preserve">Fixed rate notes due September 2043, stated rate of 5.30% </w:t>
            </w:r>
            <w:r>
              <w:rPr>
                <w:rFonts w:ascii="Times New Roman" w:cs="Times New Roman" w:eastAsia="Times New Roman" w:hAnsi="Times New Roman"/>
                <w:sz w:val="23"/>
                <w:szCs w:val="23"/>
                <w:color w:val="auto"/>
                <w:vertAlign w:val="superscript"/>
              </w:rPr>
              <w:t>(2)</w:t>
            </w:r>
          </w:p>
        </w:tc>
        <w:tc>
          <w:tcPr>
            <w:tcW w:w="29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750.0</w:t>
            </w:r>
          </w:p>
        </w:tc>
      </w:tr>
      <w:tr>
        <w:trPr>
          <w:trHeight w:val="229"/>
        </w:trPr>
        <w:tc>
          <w:tcPr>
            <w:tcW w:w="7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Fixed rate notes due June 2048, stated rate of 4.15%</w:t>
            </w:r>
          </w:p>
        </w:tc>
        <w:tc>
          <w:tcPr>
            <w:tcW w:w="29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700.0</w:t>
            </w:r>
          </w:p>
        </w:tc>
      </w:tr>
    </w:tbl>
    <w:p>
      <w:pPr>
        <w:spacing w:after="0" w:line="90"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w:t>
      </w:r>
    </w:p>
    <w:p>
      <w:pPr>
        <w:spacing w:after="0" w:line="117" w:lineRule="exact"/>
        <w:rPr>
          <w:sz w:val="20"/>
          <w:szCs w:val="20"/>
          <w:color w:val="auto"/>
        </w:rPr>
      </w:pPr>
    </w:p>
    <w:p>
      <w:pPr>
        <w:ind w:left="660" w:right="100" w:hanging="328"/>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forward-starting interest rate swap agreement that modified the interest obligation associated with these notes so that the interest payable on the notes effectively became fixed at a rate of 3.11%.</w:t>
      </w:r>
    </w:p>
    <w:p>
      <w:pPr>
        <w:spacing w:after="0" w:line="53" w:lineRule="exact"/>
        <w:rPr>
          <w:rFonts w:ascii="Times New Roman" w:cs="Times New Roman" w:eastAsia="Times New Roman" w:hAnsi="Times New Roman"/>
          <w:sz w:val="18"/>
          <w:szCs w:val="18"/>
          <w:color w:val="auto"/>
        </w:rPr>
      </w:pPr>
    </w:p>
    <w:p>
      <w:pPr>
        <w:ind w:left="660" w:right="100" w:hanging="328"/>
        <w:spacing w:after="0" w:line="282"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maintained a forward-starting interest rate swap agreement that modified the interest obligation associated with these notes so that the interest payable effectively became fixed at a rate of 4.73%.</w:t>
      </w:r>
    </w:p>
    <w:p>
      <w:pPr>
        <w:spacing w:after="0" w:line="54"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We maintain a $2.3 billion multi-currency revolving senior credit facility with various financial institutions, which matures in November 2026. The proceeds from this facility can be used for general corporate purposes, which includes providing liquidity for our clearing house in certain circumstances at CME Group's discretion and, if necessary, for maturities of commercial paper. As long as we are not in default under this facility, we have the option to increase it up to $3.3 billion with the consent of the agent and lenders providing the additional funds. This facility is voluntarily pre-payable from time to time without premium or penalty. Under this facility, we are required to remain in compliance with a consolidated net worth test, which is defined as our consolidated shareholders' equity at September 30, 2021, giving effect to share repurchases made and special dividends paid during the term of the agreements (and in no event greater than $2.0 billion in aggregate), multiplied by 0.65. We currently do not have any borrowings outstanding under this facility, but any commercial paper balance if or when outstanding can be backstopped against this facility.</w:t>
      </w:r>
    </w:p>
    <w:p>
      <w:pPr>
        <w:spacing w:after="0" w:line="84"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We maintain a 364-day multi-currency revolving secured credit facility with a consortium of domestic and international banks to be used in certain situations by the clearing house. The facility provides for borrowings of up to $7.0 billion. We may use the proceeds to provide temporary liquidity in the unlikely event a clearing firm fails to promptly discharge an obligation to the clearing house operated by CME, in the event of a liquidity constraint or default by a depositary (custodian for our collateral), in the event of a temporary disruption with the domestic payments system that would delay payment of settlement variation between us and our clearing firms, or in other cases as provided by the CME rulebook. Clearing firm guaranty fund contributions received in the form of cash or U.S. Treasury securities as well as the performance bond assets (pursuant to the CME rulebook) can be used to collateralize the facility. At September 30, 2024, guaranty fund contributions available to collateralize the facility totaled $10.0 billion. We have the option to request an increase in the line from $7.0 billion to $10.0 billion. Our 364-day facility contains a requirement that CME remain in compliance with a consolidated tangible net worth test, defined as CME's consolidated shareholder's equity less intangible assets (as defined in the agreement), of not less than $800.0 million. We currently do not have any borrowings outstanding under this facility.</w:t>
      </w:r>
    </w:p>
    <w:p>
      <w:pPr>
        <w:spacing w:after="0" w:line="86" w:lineRule="exact"/>
        <w:rPr>
          <w:sz w:val="20"/>
          <w:szCs w:val="20"/>
          <w:color w:val="auto"/>
        </w:rPr>
      </w:pPr>
    </w:p>
    <w:p>
      <w:pPr>
        <w:jc w:val="both"/>
        <w:ind w:right="320"/>
        <w:spacing w:after="0" w:line="261" w:lineRule="auto"/>
        <w:rPr>
          <w:sz w:val="20"/>
          <w:szCs w:val="20"/>
          <w:color w:val="auto"/>
        </w:rPr>
      </w:pPr>
      <w:r>
        <w:rPr>
          <w:rFonts w:ascii="Times New Roman" w:cs="Times New Roman" w:eastAsia="Times New Roman" w:hAnsi="Times New Roman"/>
          <w:sz w:val="18"/>
          <w:szCs w:val="18"/>
          <w:color w:val="auto"/>
        </w:rPr>
        <w:t>The indentures governing our fixed rate notes, our $2.3 billion multi-currency revolving senior credit facility and our 364-day multi-currency revolving secured credit facility for $7.0 billion do not contain specific covenants that restrict the ability to pay dividends. These documents, however, do contain other customary financial and operating covenants that place restrictions on the operations of the company that could indirectly affect the ability to pay dividends.</w:t>
      </w:r>
    </w:p>
    <w:p>
      <w:pPr>
        <w:spacing w:after="0" w:line="72"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At September 30, 2024, we have excess borrowing capacity for general corporate purposes of approximately $2.3 billion under our multi-currency revolving senior credit facility.</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September 30, 2024, we were in compliance with the various covenant requirements of all our debt facilities.</w:t>
      </w:r>
    </w:p>
    <w:p>
      <w:pPr>
        <w:spacing w:after="0" w:line="11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CME Group, as a holding company, has no operations of its own. Instead, it relies on dividends declared and paid to it by its subsidiaries in order to provide the funds which it uses to pay dividends to its shareholders.</w:t>
      </w:r>
    </w:p>
    <w:p>
      <w:pPr>
        <w:spacing w:after="0" w:line="40"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To satisfy our performance bond obligation with Singapore Exchange Limited, we may pledge irrevocable standby letters of credit. At September 30, 2024, the letters of credit totaled $400.0 million. We also maintain a $350.0 million line of credit to meet our obligations under this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credit ratings at September 30, 2024:</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300" w:type="dxa"/>
            <w:vAlign w:val="bottom"/>
          </w:tcPr>
          <w:p>
            <w:pPr>
              <w:spacing w:after="0"/>
              <w:rPr>
                <w:sz w:val="16"/>
                <w:szCs w:val="16"/>
                <w:color w:val="auto"/>
              </w:rPr>
            </w:pP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Short-Term</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Long-Term</w:t>
            </w:r>
          </w:p>
        </w:tc>
        <w:tc>
          <w:tcPr>
            <w:tcW w:w="1760" w:type="dxa"/>
            <w:vAlign w:val="bottom"/>
          </w:tcPr>
          <w:p>
            <w:pPr>
              <w:spacing w:after="0"/>
              <w:rPr>
                <w:sz w:val="16"/>
                <w:szCs w:val="16"/>
                <w:color w:val="auto"/>
              </w:rPr>
            </w:pPr>
          </w:p>
        </w:tc>
      </w:tr>
      <w:tr>
        <w:trPr>
          <w:trHeight w:val="203"/>
        </w:trPr>
        <w:tc>
          <w:tcPr>
            <w:tcW w:w="43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Rating Agency</w:t>
            </w:r>
          </w:p>
        </w:tc>
        <w:tc>
          <w:tcPr>
            <w:tcW w:w="3160" w:type="dxa"/>
            <w:vAlign w:val="bottom"/>
          </w:tcPr>
          <w:p>
            <w:pPr>
              <w:ind w:left="1820"/>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2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Debt Rating</w:t>
            </w:r>
          </w:p>
        </w:tc>
        <w:tc>
          <w:tcPr>
            <w:tcW w:w="1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Outlook</w:t>
            </w:r>
          </w:p>
        </w:tc>
      </w:tr>
      <w:tr>
        <w:trPr>
          <w:trHeight w:val="23"/>
        </w:trPr>
        <w:tc>
          <w:tcPr>
            <w:tcW w:w="4300" w:type="dxa"/>
            <w:vAlign w:val="bottom"/>
            <w:tcBorders>
              <w:bottom w:val="single" w:sz="8" w:color="auto"/>
            </w:tcBorders>
          </w:tcPr>
          <w:p>
            <w:pPr>
              <w:spacing w:after="0"/>
              <w:rPr>
                <w:sz w:val="2"/>
                <w:szCs w:val="2"/>
                <w:color w:val="auto"/>
              </w:rPr>
            </w:pPr>
          </w:p>
        </w:tc>
        <w:tc>
          <w:tcPr>
            <w:tcW w:w="31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1760" w:type="dxa"/>
            <w:vAlign w:val="bottom"/>
            <w:tcBorders>
              <w:bottom w:val="single" w:sz="8" w:color="auto"/>
            </w:tcBorders>
          </w:tcPr>
          <w:p>
            <w:pPr>
              <w:spacing w:after="0"/>
              <w:rPr>
                <w:sz w:val="2"/>
                <w:szCs w:val="2"/>
                <w:color w:val="auto"/>
              </w:rPr>
            </w:pPr>
          </w:p>
        </w:tc>
      </w:tr>
      <w:tr>
        <w:trPr>
          <w:trHeight w:val="223"/>
        </w:trPr>
        <w:tc>
          <w:tcPr>
            <w:tcW w:w="4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Standard &amp; Poor’s Global Ratings</w:t>
            </w:r>
          </w:p>
        </w:tc>
        <w:tc>
          <w:tcPr>
            <w:tcW w:w="3160" w:type="dxa"/>
            <w:vAlign w:val="bottom"/>
            <w:shd w:val="clear" w:color="auto" w:fill="CCEEFF"/>
          </w:tcPr>
          <w:p>
            <w:pPr>
              <w:jc w:val="center"/>
              <w:ind w:left="1119"/>
              <w:spacing w:after="0"/>
              <w:rPr>
                <w:sz w:val="20"/>
                <w:szCs w:val="20"/>
                <w:color w:val="auto"/>
              </w:rPr>
            </w:pPr>
            <w:r>
              <w:rPr>
                <w:rFonts w:ascii="Times New Roman" w:cs="Times New Roman" w:eastAsia="Times New Roman" w:hAnsi="Times New Roman"/>
                <w:sz w:val="18"/>
                <w:szCs w:val="18"/>
                <w:color w:val="auto"/>
                <w:w w:val="99"/>
              </w:rPr>
              <w:t>A1+</w:t>
            </w:r>
          </w:p>
        </w:tc>
        <w:tc>
          <w:tcPr>
            <w:tcW w:w="20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AA-</w:t>
            </w:r>
          </w:p>
        </w:tc>
        <w:tc>
          <w:tcPr>
            <w:tcW w:w="17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Stable</w:t>
            </w:r>
          </w:p>
        </w:tc>
      </w:tr>
      <w:tr>
        <w:trPr>
          <w:trHeight w:val="234"/>
        </w:trPr>
        <w:tc>
          <w:tcPr>
            <w:tcW w:w="43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Moody’s Investors Service, Inc.</w:t>
            </w:r>
          </w:p>
        </w:tc>
        <w:tc>
          <w:tcPr>
            <w:tcW w:w="3160" w:type="dxa"/>
            <w:vAlign w:val="bottom"/>
          </w:tcPr>
          <w:p>
            <w:pPr>
              <w:jc w:val="center"/>
              <w:ind w:left="1139"/>
              <w:spacing w:after="0"/>
              <w:rPr>
                <w:sz w:val="20"/>
                <w:szCs w:val="20"/>
                <w:color w:val="auto"/>
              </w:rPr>
            </w:pPr>
            <w:r>
              <w:rPr>
                <w:rFonts w:ascii="Times New Roman" w:cs="Times New Roman" w:eastAsia="Times New Roman" w:hAnsi="Times New Roman"/>
                <w:sz w:val="18"/>
                <w:szCs w:val="18"/>
                <w:color w:val="auto"/>
                <w:w w:val="94"/>
              </w:rPr>
              <w:t>P1</w:t>
            </w:r>
          </w:p>
        </w:tc>
        <w:tc>
          <w:tcPr>
            <w:tcW w:w="2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Aa3</w:t>
            </w:r>
          </w:p>
        </w:tc>
        <w:tc>
          <w:tcPr>
            <w:tcW w:w="17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Stable</w:t>
            </w:r>
          </w:p>
        </w:tc>
      </w:tr>
    </w:tbl>
    <w:p>
      <w:pPr>
        <w:spacing w:after="0" w:line="85"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Given our cash flow generation, our ability to pay down debt levels and our ability to refinance existing debt facilities if necessary, we expect to maintain an investment grade rating. If our ratings are downgraded below investment grade within certain specified time periods due to a change of control, we are required to make an offer to repurchase our fixed rate notes at a price equal to 101% of the principal amount, plus accrued and unpaid interest. No report of any rating agency is incorporated by reference herein.</w:t>
      </w:r>
    </w:p>
    <w:p>
      <w:pPr>
        <w:spacing w:after="0" w:line="7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i w:val="1"/>
          <w:iCs w:val="1"/>
          <w:u w:val="single" w:color="auto"/>
          <w:color w:val="auto"/>
        </w:rPr>
        <w:t>Liquidity and Cash Management</w:t>
      </w:r>
      <w:r>
        <w:rPr>
          <w:rFonts w:ascii="Times New Roman" w:cs="Times New Roman" w:eastAsia="Times New Roman" w:hAnsi="Times New Roman"/>
          <w:sz w:val="18"/>
          <w:szCs w:val="18"/>
          <w:color w:val="auto"/>
        </w:rPr>
        <w:t>. Cash and cash equivalents totaled $2.3 billion and $2.9 billion at September 30, 2024 and December 31, 2023,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respectively. The balance retained in cash and cash equivalents is a function of anticipated or possible short-term cash needs, prevailing interest rates, our corporate investment policy and alternative investment choices. A majority of our cash and cash equivalents balance is invested in money market mutual funds that invest only in U.S. Treasury securities, U.S. government agency securities and U.S. Treasury security reverse repurchase agreements and short-term bank deposits. Our exposure to credit and liquidity risk is minimal given the nature of the investments. Cash that is not available for general corporate purposes because of regulatory requirements or other restrictions is classified as restricted cash and is included in cash performance bonds and guaranty fund contributions, other current assets or other assets in the consolidated balance sheets.</w:t>
      </w:r>
    </w:p>
    <w:p>
      <w:pPr>
        <w:spacing w:after="0" w:line="77"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On November 7, 2024, the company declared a regular quarterly dividend of $1.15 per share for all outstanding common and preferred shares. The dividend will be payable on December 27, 2024 to shareholders of record on December 9, 2024. Assuming no changes in the number of shares outstanding, the fourth quarter dividend payment will total approximately $420 million.</w:t>
      </w:r>
    </w:p>
    <w:p>
      <w:pPr>
        <w:spacing w:after="0" w:line="6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u w:val="single" w:color="auto"/>
          <w:color w:val="auto"/>
        </w:rPr>
        <w:t>Regulatory Requirements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CME is regulated by the CFTC as a Derivatives Clearing Organization (DCO). DCOs are required to maintain capital, as defined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CFTC, in an amount at least equal to one year of projected operating expenses as well as cash, liquid securities, or a line of credit at least equal to six months of projected operating expenses. CME was designated by the Financial Stability Oversight Council as a systemically important financial market utility under Title VIII of the Dodd-Frank Wall Street Reform and Consumer Protection Act. As a result, CME must comply with CFTC regulations applicable to a systemically important DCO for financial resources and liquidity resources. CME is in compliance with all DCO financial requirements.</w:t>
      </w:r>
    </w:p>
    <w:p>
      <w:pPr>
        <w:spacing w:after="0" w:line="77"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CME, CBOT, NYMEX and COMEX are regulated by the CFTC as Designated Contract Markets (DCM). DCMs are required to maintain capital, as defined by the CFTC, in an amount at least equal to one year of projected operating expenses as well as cash, liquid securities or a line of credit at least equal to six months of projected operating expenses. Our DCMs are in compliance with all DCM financial requirements.</w:t>
      </w:r>
    </w:p>
    <w:p>
      <w:pPr>
        <w:spacing w:after="0" w:line="68"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BrokerTec Americas LLC is required to maintain sufficient net capital under Securities Exchange Act of 1934, as amended (Exchange Act), Rule 15c3-1 (the Net Capital Rule). The Net Capital Rule focuses on liquidity and is designed to protect securities customers, counterparties, and creditors by requiring that broker-dealers have sufficient liquid resources on hand at all times to satisfy claims promptly. Rule 15c3-3, or the customer protection rule, which complements Rule 15c3-1, is designed to ensure that customer property (securities and funds) in the custody of broker-dealers is adequately safeguarded. By law, both of these rules apply to the activities of registered broker-dealers, but not to unregistered affiliates. The firm began operating as a (k)(2)(i) broker dealer in November 2017 following notification to the Financial Industry Regulatory Authority and the SEC. A company operating under the (k)(2) (i) exemption is not required to lock up customer funds as would otherwise be required under Exchange Act Rule 15c3-3.</w:t>
      </w:r>
    </w:p>
    <w:p>
      <w:pPr>
        <w:spacing w:after="0" w:line="117"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QUANTITATIVE AND QUALITATIVE DISCLOSURES ABOUT MARKET RISK</w:t>
      </w:r>
    </w:p>
    <w:p>
      <w:pPr>
        <w:spacing w:after="0" w:line="121"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We are subject to various market risks, including those caused by changes in interest rates, credit, foreign currency exchange rates and equity prices. There have not been material changes in our exposure to market risk since December 31, 2023. Refer to Item 7A. of CME Group’s Annual Report on Form 10-K for the year ended December 31, 2023, filed with the SEC on February 28, 2024, for additional information.</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color w:val="auto"/>
        </w:rPr>
        <w:t>CONTROLS AND PROCEDURES</w:t>
      </w:r>
    </w:p>
    <w:p>
      <w:pPr>
        <w:spacing w:after="0" w:line="121" w:lineRule="exact"/>
        <w:rPr>
          <w:sz w:val="20"/>
          <w:szCs w:val="20"/>
          <w:color w:val="auto"/>
        </w:rPr>
      </w:pPr>
    </w:p>
    <w:p>
      <w:pPr>
        <w:ind w:right="20" w:firstLine="8"/>
        <w:spacing w:after="0" w:line="266" w:lineRule="auto"/>
        <w:tabs>
          <w:tab w:leader="none" w:pos="24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Disclosure Controls and Procedures. Our management, with the participation of our Chief Executive Officer and Chief Financial Officer, has evaluated the effectiveness of our disclosure controls and procedures (as such term is defined in Rules 13a-15(e) and 15d-15(e) under the Exchange Act) as of the end of the period covered by this report. Based on such evaluation,</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our Chief Executive Officer and Chief Financial Officer have concluded that, as of the end of such period, our disclosure controls and procedures are effective.</w:t>
      </w:r>
    </w:p>
    <w:p>
      <w:pPr>
        <w:spacing w:after="0" w:line="54" w:lineRule="exact"/>
        <w:rPr>
          <w:sz w:val="20"/>
          <w:szCs w:val="20"/>
          <w:color w:val="auto"/>
        </w:rPr>
      </w:pPr>
    </w:p>
    <w:p>
      <w:pPr>
        <w:ind w:right="80" w:firstLine="8"/>
        <w:spacing w:after="0" w:line="256" w:lineRule="auto"/>
        <w:tabs>
          <w:tab w:leader="none" w:pos="255"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As required by Rule 13a-15(d) under the Exchange Act, the company’s management, including the company’s Chief Executive Officer and Chief Financial Officer, have evaluated the company’s internal control over financial reporting (as such term is defined in Rules 13a-15(f) and 15d-15(f) under the Exchange Act) to determine whether any changes occurred during the quarter covered by this quarterly report that have materially affected, or are reasonably likely to materially affect, the company’s internal control over financial reporting. There were no changes in the company’s internal control over financial reporting which occurred during the fiscal quarter ended September 30, 2024, that have materially affected, or are reasonably likely to materially affect, the company’s internal control over financial reporting.</w:t>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158"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LEGAL PROCEEDINGS</w:t>
      </w:r>
    </w:p>
    <w:p>
      <w:pPr>
        <w:spacing w:after="0" w:line="108" w:lineRule="exact"/>
        <w:rPr>
          <w:sz w:val="20"/>
          <w:szCs w:val="20"/>
          <w:color w:val="auto"/>
        </w:rPr>
      </w:pPr>
    </w:p>
    <w:p>
      <w:pPr>
        <w:ind w:right="200"/>
        <w:spacing w:after="0" w:line="266" w:lineRule="auto"/>
        <w:rPr>
          <w:sz w:val="20"/>
          <w:szCs w:val="20"/>
          <w:color w:val="auto"/>
        </w:rPr>
      </w:pPr>
      <w:r>
        <w:rPr>
          <w:rFonts w:ascii="Times New Roman" w:cs="Times New Roman" w:eastAsia="Times New Roman" w:hAnsi="Times New Roman"/>
          <w:sz w:val="18"/>
          <w:szCs w:val="18"/>
          <w:color w:val="auto"/>
        </w:rPr>
        <w:t>The disclosure under “Legal and Regulatory Matters” in Note 6. Contingencies in the Notes to Unaudited Consolidated Financial Statements in Item 1 of Part I of this report is incorporated herein by reference. Such disclosure includes updates to the legal proceedings disclosed in the company’s Annual Report on Form 10-K for the year ended December 31, 2023, filed with the SEC on February 28, 2024.</w:t>
      </w:r>
    </w:p>
    <w:p>
      <w:pPr>
        <w:spacing w:after="0" w:line="104"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333333"/>
        </w:rPr>
        <w:t>There have been no material changes in the company's risk factors from those disclosed in the company's Annual Report on Form 10-K for the year ended December 31, 2023, filed with the SEC on February 28, 2024.</w:t>
      </w:r>
    </w:p>
    <w:p>
      <w:pPr>
        <w:spacing w:after="0" w:line="131" w:lineRule="exact"/>
        <w:rPr>
          <w:sz w:val="20"/>
          <w:szCs w:val="20"/>
          <w:color w:val="auto"/>
        </w:rPr>
      </w:pPr>
    </w:p>
    <w:p>
      <w:pPr>
        <w:ind w:left="20"/>
        <w:spacing w:after="0"/>
        <w:tabs>
          <w:tab w:leader="none" w:pos="12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Issuer Purchases of Equity Securities</w:t>
      </w:r>
    </w:p>
    <w:p>
      <w:pPr>
        <w:spacing w:after="0" w:line="1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920" w:type="dxa"/>
            <w:vAlign w:val="bottom"/>
          </w:tcPr>
          <w:p>
            <w:pPr>
              <w:spacing w:after="0"/>
              <w:rPr>
                <w:sz w:val="13"/>
                <w:szCs w:val="13"/>
                <w:color w:val="auto"/>
              </w:rPr>
            </w:pPr>
          </w:p>
        </w:tc>
        <w:tc>
          <w:tcPr>
            <w:tcW w:w="17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180" w:type="dxa"/>
            <w:vAlign w:val="bottom"/>
            <w:gridSpan w:val="2"/>
            <w:vMerge w:val="restart"/>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(c) Total Number of Class A</w:t>
            </w:r>
          </w:p>
        </w:tc>
        <w:tc>
          <w:tcPr>
            <w:tcW w:w="2640" w:type="dxa"/>
            <w:vAlign w:val="bottom"/>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(d) Maximum Number (or Approximate</w:t>
            </w:r>
          </w:p>
        </w:tc>
        <w:tc>
          <w:tcPr>
            <w:tcW w:w="0" w:type="dxa"/>
            <w:vAlign w:val="bottom"/>
          </w:tcPr>
          <w:p>
            <w:pPr>
              <w:spacing w:after="0"/>
              <w:rPr>
                <w:sz w:val="1"/>
                <w:szCs w:val="1"/>
                <w:color w:val="auto"/>
              </w:rPr>
            </w:pPr>
          </w:p>
        </w:tc>
      </w:tr>
      <w:tr>
        <w:trPr>
          <w:trHeight w:val="135"/>
        </w:trPr>
        <w:tc>
          <w:tcPr>
            <w:tcW w:w="2920" w:type="dxa"/>
            <w:vAlign w:val="bottom"/>
          </w:tcPr>
          <w:p>
            <w:pPr>
              <w:spacing w:after="0"/>
              <w:rPr>
                <w:sz w:val="11"/>
                <w:szCs w:val="11"/>
                <w:color w:val="auto"/>
              </w:rPr>
            </w:pPr>
          </w:p>
        </w:tc>
        <w:tc>
          <w:tcPr>
            <w:tcW w:w="1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(a) Total Number of</w:t>
            </w:r>
          </w:p>
        </w:tc>
        <w:tc>
          <w:tcPr>
            <w:tcW w:w="28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2180" w:type="dxa"/>
            <w:vAlign w:val="bottom"/>
            <w:gridSpan w:val="2"/>
            <w:vMerge w:val="continue"/>
          </w:tcPr>
          <w:p>
            <w:pPr>
              <w:spacing w:after="0"/>
              <w:rPr>
                <w:sz w:val="11"/>
                <w:szCs w:val="11"/>
                <w:color w:val="auto"/>
              </w:rPr>
            </w:pPr>
          </w:p>
        </w:tc>
        <w:tc>
          <w:tcPr>
            <w:tcW w:w="2640" w:type="dxa"/>
            <w:vAlign w:val="bottom"/>
          </w:tcPr>
          <w:p>
            <w:pPr>
              <w:jc w:val="center"/>
              <w:ind w:right="61"/>
              <w:spacing w:after="0" w:line="135" w:lineRule="exact"/>
              <w:rPr>
                <w:sz w:val="20"/>
                <w:szCs w:val="20"/>
                <w:color w:val="auto"/>
              </w:rPr>
            </w:pPr>
            <w:r>
              <w:rPr>
                <w:rFonts w:ascii="Times New Roman" w:cs="Times New Roman" w:eastAsia="Times New Roman" w:hAnsi="Times New Roman"/>
                <w:sz w:val="14"/>
                <w:szCs w:val="14"/>
                <w:b w:val="1"/>
                <w:bCs w:val="1"/>
                <w:color w:val="auto"/>
              </w:rPr>
              <w:t>Value) of shares that</w:t>
            </w:r>
          </w:p>
        </w:tc>
        <w:tc>
          <w:tcPr>
            <w:tcW w:w="0" w:type="dxa"/>
            <w:vAlign w:val="bottom"/>
          </w:tcPr>
          <w:p>
            <w:pPr>
              <w:spacing w:after="0"/>
              <w:rPr>
                <w:sz w:val="1"/>
                <w:szCs w:val="1"/>
                <w:color w:val="auto"/>
              </w:rPr>
            </w:pPr>
          </w:p>
        </w:tc>
      </w:tr>
      <w:tr>
        <w:trPr>
          <w:trHeight w:val="148"/>
        </w:trPr>
        <w:tc>
          <w:tcPr>
            <w:tcW w:w="2920" w:type="dxa"/>
            <w:vAlign w:val="bottom"/>
          </w:tcPr>
          <w:p>
            <w:pPr>
              <w:spacing w:after="0"/>
              <w:rPr>
                <w:sz w:val="12"/>
                <w:szCs w:val="12"/>
                <w:color w:val="auto"/>
              </w:rPr>
            </w:pPr>
          </w:p>
        </w:tc>
        <w:tc>
          <w:tcPr>
            <w:tcW w:w="17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460" w:type="dxa"/>
            <w:vAlign w:val="bottom"/>
            <w:vMerge w:val="restart"/>
          </w:tcPr>
          <w:p>
            <w:pPr>
              <w:jc w:val="right"/>
              <w:ind w:right="257"/>
              <w:spacing w:after="0"/>
              <w:rPr>
                <w:sz w:val="20"/>
                <w:szCs w:val="20"/>
                <w:color w:val="auto"/>
              </w:rPr>
            </w:pPr>
            <w:r>
              <w:rPr>
                <w:rFonts w:ascii="Times New Roman" w:cs="Times New Roman" w:eastAsia="Times New Roman" w:hAnsi="Times New Roman"/>
                <w:sz w:val="14"/>
                <w:szCs w:val="14"/>
                <w:b w:val="1"/>
                <w:bCs w:val="1"/>
                <w:color w:val="auto"/>
              </w:rPr>
              <w:t>(b) Average Price</w:t>
            </w:r>
          </w:p>
        </w:tc>
        <w:tc>
          <w:tcPr>
            <w:tcW w:w="2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Shares Purchased as</w:t>
            </w:r>
          </w:p>
        </w:tc>
        <w:tc>
          <w:tcPr>
            <w:tcW w:w="2640" w:type="dxa"/>
            <w:vAlign w:val="bottom"/>
          </w:tcPr>
          <w:p>
            <w:pPr>
              <w:jc w:val="center"/>
              <w:ind w:right="61"/>
              <w:spacing w:after="0" w:line="149" w:lineRule="exact"/>
              <w:rPr>
                <w:sz w:val="20"/>
                <w:szCs w:val="20"/>
                <w:color w:val="auto"/>
              </w:rPr>
            </w:pPr>
            <w:r>
              <w:rPr>
                <w:rFonts w:ascii="Times New Roman" w:cs="Times New Roman" w:eastAsia="Times New Roman" w:hAnsi="Times New Roman"/>
                <w:sz w:val="14"/>
                <w:szCs w:val="14"/>
                <w:b w:val="1"/>
                <w:bCs w:val="1"/>
                <w:color w:val="auto"/>
              </w:rPr>
              <w:t>May Yet Be Purchased</w:t>
            </w:r>
          </w:p>
        </w:tc>
        <w:tc>
          <w:tcPr>
            <w:tcW w:w="0" w:type="dxa"/>
            <w:vAlign w:val="bottom"/>
          </w:tcPr>
          <w:p>
            <w:pPr>
              <w:spacing w:after="0"/>
              <w:rPr>
                <w:sz w:val="1"/>
                <w:szCs w:val="1"/>
                <w:color w:val="auto"/>
              </w:rPr>
            </w:pPr>
          </w:p>
        </w:tc>
      </w:tr>
      <w:tr>
        <w:trPr>
          <w:trHeight w:val="148"/>
        </w:trPr>
        <w:tc>
          <w:tcPr>
            <w:tcW w:w="292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17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Class A</w:t>
            </w:r>
          </w:p>
        </w:tc>
        <w:tc>
          <w:tcPr>
            <w:tcW w:w="280" w:type="dxa"/>
            <w:vAlign w:val="bottom"/>
          </w:tcPr>
          <w:p>
            <w:pPr>
              <w:spacing w:after="0"/>
              <w:rPr>
                <w:sz w:val="12"/>
                <w:szCs w:val="12"/>
                <w:color w:val="auto"/>
              </w:rPr>
            </w:pPr>
          </w:p>
        </w:tc>
        <w:tc>
          <w:tcPr>
            <w:tcW w:w="1460" w:type="dxa"/>
            <w:vAlign w:val="bottom"/>
            <w:vMerge w:val="continue"/>
          </w:tcPr>
          <w:p>
            <w:pPr>
              <w:spacing w:after="0"/>
              <w:rPr>
                <w:sz w:val="12"/>
                <w:szCs w:val="12"/>
                <w:color w:val="auto"/>
              </w:rPr>
            </w:pPr>
          </w:p>
        </w:tc>
        <w:tc>
          <w:tcPr>
            <w:tcW w:w="21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Part of Publicly Announced</w:t>
            </w:r>
          </w:p>
        </w:tc>
        <w:tc>
          <w:tcPr>
            <w:tcW w:w="2640" w:type="dxa"/>
            <w:vAlign w:val="bottom"/>
          </w:tcPr>
          <w:p>
            <w:pPr>
              <w:jc w:val="center"/>
              <w:ind w:right="41"/>
              <w:spacing w:after="0" w:line="149" w:lineRule="exact"/>
              <w:rPr>
                <w:sz w:val="20"/>
                <w:szCs w:val="20"/>
                <w:color w:val="auto"/>
              </w:rPr>
            </w:pPr>
            <w:r>
              <w:rPr>
                <w:rFonts w:ascii="Times New Roman" w:cs="Times New Roman" w:eastAsia="Times New Roman" w:hAnsi="Times New Roman"/>
                <w:sz w:val="14"/>
                <w:szCs w:val="14"/>
                <w:b w:val="1"/>
                <w:bCs w:val="1"/>
                <w:color w:val="auto"/>
              </w:rPr>
              <w:t>Under the Plans or Programs</w:t>
            </w:r>
          </w:p>
        </w:tc>
        <w:tc>
          <w:tcPr>
            <w:tcW w:w="0" w:type="dxa"/>
            <w:vAlign w:val="bottom"/>
          </w:tcPr>
          <w:p>
            <w:pPr>
              <w:spacing w:after="0"/>
              <w:rPr>
                <w:sz w:val="1"/>
                <w:szCs w:val="1"/>
                <w:color w:val="auto"/>
              </w:rPr>
            </w:pPr>
          </w:p>
        </w:tc>
      </w:tr>
      <w:tr>
        <w:trPr>
          <w:trHeight w:val="196"/>
        </w:trPr>
        <w:tc>
          <w:tcPr>
            <w:tcW w:w="2920" w:type="dxa"/>
            <w:vAlign w:val="bottom"/>
            <w:tcBorders>
              <w:bottom w:val="single" w:sz="8" w:color="auto"/>
            </w:tcBorders>
            <w:vMerge w:val="continue"/>
          </w:tcPr>
          <w:p>
            <w:pPr>
              <w:spacing w:after="0"/>
              <w:rPr>
                <w:sz w:val="17"/>
                <w:szCs w:val="17"/>
                <w:color w:val="auto"/>
              </w:rPr>
            </w:pPr>
          </w:p>
        </w:tc>
        <w:tc>
          <w:tcPr>
            <w:tcW w:w="17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Shares Purchased (1)</w:t>
            </w:r>
          </w:p>
        </w:tc>
        <w:tc>
          <w:tcPr>
            <w:tcW w:w="280" w:type="dxa"/>
            <w:vAlign w:val="bottom"/>
            <w:tcBorders>
              <w:bottom w:val="single" w:sz="8" w:color="auto"/>
            </w:tcBorders>
          </w:tcPr>
          <w:p>
            <w:pPr>
              <w:spacing w:after="0"/>
              <w:rPr>
                <w:sz w:val="17"/>
                <w:szCs w:val="17"/>
                <w:color w:val="auto"/>
              </w:rPr>
            </w:pPr>
          </w:p>
        </w:tc>
        <w:tc>
          <w:tcPr>
            <w:tcW w:w="1460" w:type="dxa"/>
            <w:vAlign w:val="bottom"/>
            <w:tcBorders>
              <w:bottom w:val="single" w:sz="8" w:color="auto"/>
            </w:tcBorders>
          </w:tcPr>
          <w:p>
            <w:pPr>
              <w:jc w:val="right"/>
              <w:ind w:right="317"/>
              <w:spacing w:after="0"/>
              <w:rPr>
                <w:sz w:val="20"/>
                <w:szCs w:val="20"/>
                <w:color w:val="auto"/>
              </w:rPr>
            </w:pPr>
            <w:r>
              <w:rPr>
                <w:rFonts w:ascii="Times New Roman" w:cs="Times New Roman" w:eastAsia="Times New Roman" w:hAnsi="Times New Roman"/>
                <w:sz w:val="14"/>
                <w:szCs w:val="14"/>
                <w:b w:val="1"/>
                <w:bCs w:val="1"/>
                <w:color w:val="auto"/>
              </w:rPr>
              <w:t>Paid Per Share</w:t>
            </w:r>
          </w:p>
        </w:tc>
        <w:tc>
          <w:tcPr>
            <w:tcW w:w="218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Plans or Programs</w:t>
            </w:r>
          </w:p>
        </w:tc>
        <w:tc>
          <w:tcPr>
            <w:tcW w:w="2640" w:type="dxa"/>
            <w:vAlign w:val="bottom"/>
            <w:tcBorders>
              <w:bottom w:val="single" w:sz="8" w:color="auto"/>
            </w:tcBorders>
          </w:tcPr>
          <w:p>
            <w:pPr>
              <w:jc w:val="center"/>
              <w:ind w:right="61"/>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9"/>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July 1 to July 31</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302</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195.50</w:t>
            </w:r>
          </w:p>
        </w:tc>
        <w:tc>
          <w:tcPr>
            <w:tcW w:w="21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264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August 1 to August 31</w:t>
            </w:r>
          </w:p>
        </w:tc>
        <w:tc>
          <w:tcPr>
            <w:tcW w:w="1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80" w:type="dxa"/>
            <w:vAlign w:val="bottom"/>
          </w:tcPr>
          <w:p>
            <w:pPr>
              <w:spacing w:after="0"/>
              <w:rPr>
                <w:sz w:val="19"/>
                <w:szCs w:val="19"/>
                <w:color w:val="auto"/>
              </w:rPr>
            </w:pPr>
          </w:p>
        </w:tc>
        <w:tc>
          <w:tcPr>
            <w:tcW w:w="1460" w:type="dxa"/>
            <w:vAlign w:val="bottom"/>
          </w:tcPr>
          <w:p>
            <w:pPr>
              <w:jc w:val="right"/>
              <w:ind w:right="97"/>
              <w:spacing w:after="0"/>
              <w:rPr>
                <w:sz w:val="20"/>
                <w:szCs w:val="20"/>
                <w:color w:val="auto"/>
              </w:rPr>
            </w:pPr>
            <w:r>
              <w:rPr>
                <w:rFonts w:ascii="Times New Roman" w:cs="Times New Roman" w:eastAsia="Times New Roman" w:hAnsi="Times New Roman"/>
                <w:sz w:val="18"/>
                <w:szCs w:val="18"/>
                <w:color w:val="auto"/>
              </w:rPr>
              <w:t>208.41</w:t>
            </w:r>
          </w:p>
        </w:tc>
        <w:tc>
          <w:tcPr>
            <w:tcW w:w="2180" w:type="dxa"/>
            <w:vAlign w:val="bottom"/>
            <w:gridSpan w:val="2"/>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September 1 to September 30</w:t>
            </w: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81,073</w:t>
            </w:r>
          </w:p>
        </w:tc>
        <w:tc>
          <w:tcPr>
            <w:tcW w:w="280" w:type="dxa"/>
            <w:vAlign w:val="bottom"/>
            <w:shd w:val="clear" w:color="auto" w:fill="CCEEFF"/>
          </w:tcPr>
          <w:p>
            <w:pPr>
              <w:spacing w:after="0"/>
              <w:rPr>
                <w:sz w:val="19"/>
                <w:szCs w:val="19"/>
                <w:color w:val="auto"/>
              </w:rPr>
            </w:pPr>
          </w:p>
        </w:tc>
        <w:tc>
          <w:tcPr>
            <w:tcW w:w="1460" w:type="dxa"/>
            <w:vAlign w:val="bottom"/>
            <w:shd w:val="clear" w:color="auto" w:fill="CCEEFF"/>
          </w:tcPr>
          <w:p>
            <w:pPr>
              <w:jc w:val="right"/>
              <w:ind w:right="97"/>
              <w:spacing w:after="0"/>
              <w:rPr>
                <w:sz w:val="20"/>
                <w:szCs w:val="20"/>
                <w:color w:val="auto"/>
              </w:rPr>
            </w:pPr>
            <w:r>
              <w:rPr>
                <w:rFonts w:ascii="Times New Roman" w:cs="Times New Roman" w:eastAsia="Times New Roman" w:hAnsi="Times New Roman"/>
                <w:sz w:val="18"/>
                <w:szCs w:val="18"/>
                <w:color w:val="auto"/>
              </w:rPr>
              <w:t>216.99</w:t>
            </w:r>
          </w:p>
        </w:tc>
        <w:tc>
          <w:tcPr>
            <w:tcW w:w="2180" w:type="dxa"/>
            <w:vAlign w:val="bottom"/>
            <w:gridSpan w:val="2"/>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640" w:type="dxa"/>
            <w:vAlign w:val="bottom"/>
            <w:shd w:val="clear" w:color="auto" w:fill="CCEEFF"/>
          </w:tcPr>
          <w:p>
            <w:pPr>
              <w:ind w:left="238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81,406</w:t>
            </w:r>
          </w:p>
        </w:tc>
        <w:tc>
          <w:tcPr>
            <w:tcW w:w="28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96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196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660" w:right="60" w:hanging="328"/>
        <w:spacing w:after="0" w:line="282"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purchased consist of an aggregate of 81,406 shares of Class A common stock surrendered in the third quarter of 2024 to satisfy employees’ tax obligations upon the vesting of restricted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38"/>
        </w:trPr>
        <w:tc>
          <w:tcPr>
            <w:tcW w:w="9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32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EXHIBITS</w:t>
            </w:r>
          </w:p>
        </w:tc>
        <w:tc>
          <w:tcPr>
            <w:tcW w:w="94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31.1</w:t>
            </w:r>
          </w:p>
        </w:tc>
        <w:tc>
          <w:tcPr>
            <w:tcW w:w="4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302</w:t>
            </w:r>
          </w:p>
        </w:tc>
        <w:tc>
          <w:tcPr>
            <w:tcW w:w="2440" w:type="dxa"/>
            <w:vAlign w:val="bottom"/>
            <w:tcBorders>
              <w:bottom w:val="single" w:sz="8" w:color="0000FF"/>
            </w:tcBorders>
            <w:gridSpan w:val="3"/>
          </w:tcPr>
          <w:p>
            <w:pPr>
              <w:ind w:left="20"/>
              <w:spacing w:after="0"/>
              <w:rPr>
                <w:sz w:val="20"/>
                <w:szCs w:val="20"/>
                <w:color w:val="auto"/>
              </w:rPr>
            </w:pPr>
            <w:r>
              <w:rPr>
                <w:rFonts w:ascii="Times New Roman" w:cs="Times New Roman" w:eastAsia="Times New Roman" w:hAnsi="Times New Roman"/>
                <w:sz w:val="18"/>
                <w:szCs w:val="18"/>
                <w:color w:val="0000FF"/>
                <w:w w:val="98"/>
              </w:rPr>
              <w:t>Certification—Terrence A. Duffy</w:t>
            </w: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31.2</w:t>
            </w:r>
          </w:p>
        </w:tc>
        <w:tc>
          <w:tcPr>
            <w:tcW w:w="4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302</w:t>
            </w:r>
          </w:p>
        </w:tc>
        <w:tc>
          <w:tcPr>
            <w:tcW w:w="2400" w:type="dxa"/>
            <w:vAlign w:val="bottom"/>
            <w:tcBorders>
              <w:bottom w:val="single" w:sz="8" w:color="0000FF"/>
            </w:tcBorders>
            <w:gridSpan w:val="2"/>
          </w:tcPr>
          <w:p>
            <w:pPr>
              <w:ind w:left="20"/>
              <w:spacing w:after="0"/>
              <w:rPr>
                <w:sz w:val="20"/>
                <w:szCs w:val="20"/>
                <w:color w:val="auto"/>
              </w:rPr>
            </w:pPr>
            <w:r>
              <w:rPr>
                <w:rFonts w:ascii="Times New Roman" w:cs="Times New Roman" w:eastAsia="Times New Roman" w:hAnsi="Times New Roman"/>
                <w:sz w:val="18"/>
                <w:szCs w:val="18"/>
                <w:color w:val="0000FF"/>
                <w:w w:val="99"/>
              </w:rPr>
              <w:t>Certification—Lynne Fitzpatrick</w:t>
            </w:r>
          </w:p>
        </w:tc>
        <w:tc>
          <w:tcPr>
            <w:tcW w:w="40" w:type="dxa"/>
            <w:vAlign w:val="bottom"/>
          </w:tcPr>
          <w:p>
            <w:pPr>
              <w:spacing w:after="0"/>
              <w:rPr>
                <w:sz w:val="24"/>
                <w:szCs w:val="24"/>
                <w:color w:val="auto"/>
              </w:rPr>
            </w:pPr>
          </w:p>
        </w:tc>
      </w:tr>
      <w:tr>
        <w:trPr>
          <w:trHeight w:val="318"/>
        </w:trPr>
        <w:tc>
          <w:tcPr>
            <w:tcW w:w="960" w:type="dxa"/>
            <w:vAlign w:val="bottom"/>
          </w:tcPr>
          <w:p>
            <w:pPr>
              <w:spacing w:after="0"/>
              <w:rPr>
                <w:sz w:val="20"/>
                <w:szCs w:val="20"/>
                <w:color w:val="auto"/>
              </w:rPr>
            </w:pPr>
            <w:r>
              <w:rPr>
                <w:rFonts w:ascii="Times New Roman" w:cs="Times New Roman" w:eastAsia="Times New Roman" w:hAnsi="Times New Roman"/>
                <w:sz w:val="18"/>
                <w:szCs w:val="18"/>
                <w:color w:val="auto"/>
              </w:rPr>
              <w:t>32.1</w:t>
            </w:r>
          </w:p>
        </w:tc>
        <w:tc>
          <w:tcPr>
            <w:tcW w:w="440" w:type="dxa"/>
            <w:vAlign w:val="bottom"/>
          </w:tcPr>
          <w:p>
            <w:pPr>
              <w:spacing w:after="0"/>
              <w:rPr>
                <w:sz w:val="24"/>
                <w:szCs w:val="24"/>
                <w:color w:val="auto"/>
              </w:rPr>
            </w:pPr>
          </w:p>
        </w:tc>
        <w:tc>
          <w:tcPr>
            <w:tcW w:w="88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Section 906</w:t>
            </w:r>
          </w:p>
        </w:tc>
        <w:tc>
          <w:tcPr>
            <w:tcW w:w="940" w:type="dxa"/>
            <w:vAlign w:val="bottom"/>
            <w:tcBorders>
              <w:bottom w:val="single" w:sz="8" w:color="0000FF"/>
            </w:tcBorders>
          </w:tcPr>
          <w:p>
            <w:pPr>
              <w:ind w:left="20"/>
              <w:spacing w:after="0"/>
              <w:rPr>
                <w:sz w:val="20"/>
                <w:szCs w:val="20"/>
                <w:color w:val="auto"/>
              </w:rPr>
            </w:pPr>
            <w:r>
              <w:rPr>
                <w:rFonts w:ascii="Times New Roman" w:cs="Times New Roman" w:eastAsia="Times New Roman" w:hAnsi="Times New Roman"/>
                <w:sz w:val="18"/>
                <w:szCs w:val="18"/>
                <w:color w:val="0000FF"/>
                <w:w w:val="98"/>
              </w:rPr>
              <w:t>Certification</w:t>
            </w:r>
          </w:p>
        </w:tc>
        <w:tc>
          <w:tcPr>
            <w:tcW w:w="1500" w:type="dxa"/>
            <w:vAlign w:val="bottom"/>
            <w:gridSpan w:val="2"/>
          </w:tcPr>
          <w:p>
            <w:pPr>
              <w:spacing w:after="0"/>
              <w:rPr>
                <w:sz w:val="24"/>
                <w:szCs w:val="24"/>
                <w:color w:val="auto"/>
              </w:rPr>
            </w:pPr>
          </w:p>
        </w:tc>
      </w:tr>
    </w:tbl>
    <w:p>
      <w:pPr>
        <w:spacing w:after="0" w:line="130" w:lineRule="exact"/>
        <w:rPr>
          <w:sz w:val="20"/>
          <w:szCs w:val="20"/>
          <w:color w:val="auto"/>
        </w:rPr>
      </w:pPr>
    </w:p>
    <w:p>
      <w:pPr>
        <w:ind w:left="1440" w:right="459" w:hanging="1414"/>
        <w:spacing w:after="0" w:line="220" w:lineRule="auto"/>
        <w:tabs>
          <w:tab w:leader="none" w:pos="14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 materials from CME Group Inc.’s Quarterly Report on Form 10-Q for the quarterly period ended September 30, 2024, formatted in Inline XBRL (Xtensible Business Reporting Language): (i) the Consolidated Balance Sheets, (ii) the Consolidated Statements of Income, (iii) the Consolidated Statements of Comprehensive Income, (iv) the Consolidated Statements of Equity, (v) the Consolidated Statements of Cash Flows and (vi) Notes to Unaudited Consolidated Financial Statements, tagged as blocks of text.</w:t>
      </w:r>
    </w:p>
    <w:p>
      <w:pPr>
        <w:spacing w:after="0" w:line="64"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w w:val="99"/>
              </w:rPr>
              <w:t>Cover Page Interactive Data File included in the Inline XBRL Document Set for Exhibit 101.</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Definition Linkbase</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Label Linkbase Document</w:t>
            </w:r>
          </w:p>
        </w:tc>
      </w:tr>
      <w:tr>
        <w:trPr>
          <w:trHeight w:val="338"/>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71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XBRL Taxonomy Extension Presentation Linkbase Document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u w:val="single" w:color="auto"/>
          <w:color w:val="0000FF"/>
        </w:rPr>
        <w:t>Table of Contents</w:t>
      </w:r>
    </w:p>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0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34"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b w:val="1"/>
          <w:bCs w:val="1"/>
          <w:color w:val="auto"/>
        </w:rPr>
        <w:t>CME Group Inc.</w:t>
      </w:r>
    </w:p>
    <w:p>
      <w:pPr>
        <w:ind w:left="5100"/>
        <w:spacing w:after="0"/>
        <w:rPr>
          <w:sz w:val="20"/>
          <w:szCs w:val="20"/>
          <w:color w:val="auto"/>
        </w:rPr>
      </w:pPr>
      <w:r>
        <w:rPr>
          <w:rFonts w:ascii="Times New Roman" w:cs="Times New Roman" w:eastAsia="Times New Roman" w:hAnsi="Times New Roman"/>
          <w:sz w:val="18"/>
          <w:szCs w:val="18"/>
          <w:color w:val="auto"/>
        </w:rPr>
        <w:t>(Registrant)</w:t>
      </w:r>
    </w:p>
    <w:p>
      <w:pPr>
        <w:spacing w:after="0" w:line="286" w:lineRule="exact"/>
        <w:rPr>
          <w:sz w:val="20"/>
          <w:szCs w:val="20"/>
          <w:color w:val="auto"/>
        </w:rPr>
      </w:pPr>
    </w:p>
    <w:p>
      <w:pPr>
        <w:ind w:left="20"/>
        <w:spacing w:after="0"/>
        <w:tabs>
          <w:tab w:leader="none" w:pos="5080" w:val="left"/>
          <w:tab w:leader="none" w:pos="7820" w:val="left"/>
        </w:tabs>
        <w:rPr>
          <w:sz w:val="20"/>
          <w:szCs w:val="20"/>
          <w:color w:val="auto"/>
        </w:rPr>
      </w:pPr>
      <w:r>
        <w:rPr>
          <w:rFonts w:ascii="Times New Roman" w:cs="Times New Roman" w:eastAsia="Times New Roman" w:hAnsi="Times New Roman"/>
          <w:sz w:val="18"/>
          <w:szCs w:val="18"/>
          <w:color w:val="auto"/>
        </w:rPr>
        <w:t>Dated: November 8,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17145</wp:posOffset>
            </wp:positionV>
            <wp:extent cx="354012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540125" cy="8255"/>
                    </a:xfrm>
                    <a:prstGeom prst="rect">
                      <a:avLst/>
                    </a:prstGeom>
                    <a:noFill/>
                  </pic:spPr>
                </pic:pic>
              </a:graphicData>
            </a:graphic>
          </wp:anchor>
        </w:drawing>
      </w:r>
    </w:p>
    <w:p>
      <w:pPr>
        <w:spacing w:after="0" w:line="12" w:lineRule="exact"/>
        <w:rPr>
          <w:sz w:val="20"/>
          <w:szCs w:val="20"/>
          <w:color w:val="auto"/>
        </w:rPr>
      </w:pPr>
    </w:p>
    <w:p>
      <w:pPr>
        <w:ind w:left="7900"/>
        <w:spacing w:after="0"/>
        <w:rPr>
          <w:sz w:val="20"/>
          <w:szCs w:val="20"/>
          <w:color w:val="auto"/>
        </w:rPr>
      </w:pPr>
      <w:r>
        <w:rPr>
          <w:rFonts w:ascii="Times New Roman" w:cs="Times New Roman" w:eastAsia="Times New Roman" w:hAnsi="Times New Roman"/>
          <w:sz w:val="18"/>
          <w:szCs w:val="18"/>
          <w:b w:val="1"/>
          <w:bCs w:val="1"/>
          <w:color w:val="auto"/>
        </w:rPr>
        <w:t>Lynne Fitzpatrick</w:t>
      </w:r>
    </w:p>
    <w:p>
      <w:pPr>
        <w:spacing w:after="0" w:line="14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b w:val="1"/>
          <w:bCs w:val="1"/>
          <w:color w:val="auto"/>
        </w:rPr>
        <w:t>Senior Managing Director and Chief Financial Officer</w:t>
      </w:r>
    </w:p>
    <w:p>
      <w:pPr>
        <w:spacing w:after="0" w:line="150" w:lineRule="exact"/>
        <w:rPr>
          <w:sz w:val="20"/>
          <w:szCs w:val="20"/>
          <w:color w:val="auto"/>
        </w:rPr>
      </w:pPr>
    </w:p>
    <w:p>
      <w:pPr>
        <w:ind w:left="7460"/>
        <w:spacing w:after="0"/>
        <w:rPr>
          <w:sz w:val="20"/>
          <w:szCs w:val="20"/>
          <w:color w:val="auto"/>
        </w:rPr>
      </w:pPr>
      <w:r>
        <w:rPr>
          <w:rFonts w:ascii="Times New Roman" w:cs="Times New Roman" w:eastAsia="Times New Roman" w:hAnsi="Times New Roman"/>
          <w:sz w:val="18"/>
          <w:szCs w:val="18"/>
          <w:b w:val="1"/>
          <w:bCs w:val="1"/>
          <w:color w:val="auto"/>
        </w:rPr>
        <w:t>Principal Financial Offer and</w:t>
      </w:r>
    </w:p>
    <w:p>
      <w:pPr>
        <w:ind w:left="7640"/>
        <w:spacing w:after="0"/>
        <w:rPr>
          <w:sz w:val="20"/>
          <w:szCs w:val="20"/>
          <w:color w:val="auto"/>
        </w:rPr>
      </w:pPr>
      <w:r>
        <w:rPr>
          <w:rFonts w:ascii="Times New Roman" w:cs="Times New Roman" w:eastAsia="Times New Roman" w:hAnsi="Times New Roman"/>
          <w:sz w:val="18"/>
          <w:szCs w:val="18"/>
          <w:b w:val="1"/>
          <w:bCs w:val="1"/>
          <w:color w:val="auto"/>
        </w:rPr>
        <w:t>Duly Authorized Officer</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34</w:t>
      </w:r>
    </w:p>
    <w:p>
      <w:pPr>
        <w:sectPr>
          <w:pgSz w:w="11900" w:h="16838" w:orient="portrait"/>
          <w:cols w:equalWidth="0" w:num="1">
            <w:col w:w="11200"/>
          </w:cols>
          <w:pgMar w:left="320" w:top="121" w:right="37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Terrence A. Duffy, certify that:</w:t>
      </w:r>
    </w:p>
    <w:p>
      <w:pPr>
        <w:spacing w:after="0" w:line="104" w:lineRule="exact"/>
        <w:rPr>
          <w:sz w:val="20"/>
          <w:szCs w:val="20"/>
          <w:color w:val="auto"/>
        </w:rPr>
      </w:pPr>
    </w:p>
    <w:p>
      <w:pPr>
        <w:ind w:left="360" w:hanging="172"/>
        <w:spacing w:after="0"/>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8, 2024</w:t>
            </w:r>
          </w:p>
        </w:tc>
        <w:tc>
          <w:tcPr>
            <w:tcW w:w="556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Terrence A. Duffy</w:t>
            </w:r>
          </w:p>
        </w:tc>
      </w:tr>
      <w:tr>
        <w:trPr>
          <w:trHeight w:val="218"/>
        </w:trPr>
        <w:tc>
          <w:tcPr>
            <w:tcW w:w="5620" w:type="dxa"/>
            <w:vAlign w:val="bottom"/>
          </w:tcPr>
          <w:p>
            <w:pPr>
              <w:spacing w:after="0"/>
              <w:rPr>
                <w:sz w:val="18"/>
                <w:szCs w:val="18"/>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Terrence A. Duffy</w:t>
            </w:r>
          </w:p>
        </w:tc>
      </w:tr>
      <w:tr>
        <w:trPr>
          <w:trHeight w:val="234"/>
        </w:trPr>
        <w:tc>
          <w:tcPr>
            <w:tcW w:w="5620" w:type="dxa"/>
            <w:vAlign w:val="bottom"/>
          </w:tcPr>
          <w:p>
            <w:pPr>
              <w:spacing w:after="0"/>
              <w:rPr>
                <w:sz w:val="20"/>
                <w:szCs w:val="20"/>
                <w:color w:val="auto"/>
              </w:rPr>
            </w:pPr>
          </w:p>
        </w:tc>
        <w:tc>
          <w:tcPr>
            <w:tcW w:w="55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Executive Officer</w:t>
            </w:r>
          </w:p>
        </w:tc>
      </w:tr>
    </w:tbl>
    <w:p>
      <w:pPr>
        <w:sectPr>
          <w:pgSz w:w="11900" w:h="16838" w:orient="portrait"/>
          <w:cols w:equalWidth="0" w:num="1">
            <w:col w:w="11240"/>
          </w:cols>
          <w:pgMar w:left="320" w:top="981" w:right="339" w:bottom="1440" w:gutter="0" w:footer="0" w:header="0"/>
        </w:sectPr>
      </w:pPr>
    </w:p>
    <w:bookmarkStart w:id="35" w:name="page36"/>
    <w:bookmarkEnd w:id="35"/>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Lynne Fitzpatrick, certify that:</w:t>
      </w:r>
    </w:p>
    <w:p>
      <w:pPr>
        <w:spacing w:after="0" w:line="104" w:lineRule="exact"/>
        <w:rPr>
          <w:sz w:val="20"/>
          <w:szCs w:val="20"/>
          <w:color w:val="auto"/>
        </w:rPr>
      </w:pPr>
    </w:p>
    <w:p>
      <w:pPr>
        <w:ind w:left="360" w:hanging="172"/>
        <w:spacing w:after="0"/>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10-Q of CME Group Inc.;</w:t>
      </w:r>
    </w:p>
    <w:p>
      <w:pPr>
        <w:spacing w:after="0" w:line="90" w:lineRule="exact"/>
        <w:rPr>
          <w:rFonts w:ascii="Times New Roman" w:cs="Times New Roman" w:eastAsia="Times New Roman" w:hAnsi="Times New Roman"/>
          <w:sz w:val="18"/>
          <w:szCs w:val="18"/>
          <w:color w:val="auto"/>
        </w:rPr>
      </w:pPr>
    </w:p>
    <w:p>
      <w:pPr>
        <w:ind w:right="260" w:firstLine="188"/>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40" w:lineRule="exact"/>
        <w:rPr>
          <w:rFonts w:ascii="Times New Roman" w:cs="Times New Roman" w:eastAsia="Times New Roman" w:hAnsi="Times New Roman"/>
          <w:sz w:val="18"/>
          <w:szCs w:val="18"/>
          <w:color w:val="auto"/>
        </w:rPr>
      </w:pPr>
    </w:p>
    <w:p>
      <w:pPr>
        <w:ind w:right="360" w:firstLine="188"/>
        <w:spacing w:after="0" w:line="282"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ind w:right="80" w:firstLine="188"/>
        <w:spacing w:after="0" w:line="266" w:lineRule="auto"/>
        <w:tabs>
          <w:tab w:leader="none" w:pos="3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1" w:lineRule="exact"/>
        <w:rPr>
          <w:sz w:val="20"/>
          <w:szCs w:val="20"/>
          <w:color w:val="auto"/>
        </w:rPr>
      </w:pPr>
    </w:p>
    <w:p>
      <w:pPr>
        <w:jc w:val="both"/>
        <w:ind w:right="140" w:firstLine="188"/>
        <w:spacing w:after="0" w:line="266" w:lineRule="auto"/>
        <w:tabs>
          <w:tab w:leader="none" w:pos="3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ind w:right="120" w:firstLine="188"/>
        <w:spacing w:after="0" w:line="266"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right="180" w:firstLine="188"/>
        <w:spacing w:after="0" w:line="282" w:lineRule="auto"/>
        <w:tabs>
          <w:tab w:leader="none" w:pos="36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ind w:right="200" w:firstLine="188"/>
        <w:spacing w:after="0" w:line="266" w:lineRule="auto"/>
        <w:tabs>
          <w:tab w:leader="none" w:pos="37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sz w:val="20"/>
          <w:szCs w:val="20"/>
          <w:color w:val="auto"/>
        </w:rPr>
      </w:pPr>
    </w:p>
    <w:p>
      <w:pPr>
        <w:ind w:right="300" w:firstLine="188"/>
        <w:spacing w:after="0" w:line="282" w:lineRule="auto"/>
        <w:tabs>
          <w:tab w:leader="none" w:pos="3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sz w:val="20"/>
          <w:szCs w:val="20"/>
          <w:color w:val="auto"/>
        </w:rPr>
      </w:pPr>
    </w:p>
    <w:p>
      <w:pPr>
        <w:ind w:right="100" w:firstLine="188"/>
        <w:spacing w:after="0" w:line="282" w:lineRule="auto"/>
        <w:tabs>
          <w:tab w:leader="none" w:pos="36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right="140" w:firstLine="188"/>
        <w:spacing w:after="0" w:line="282" w:lineRule="auto"/>
        <w:tabs>
          <w:tab w:leader="none" w:pos="37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5700" w:type="dxa"/>
            <w:vAlign w:val="bottom"/>
          </w:tcPr>
          <w:p>
            <w:pPr>
              <w:spacing w:after="0"/>
              <w:rPr>
                <w:sz w:val="20"/>
                <w:szCs w:val="20"/>
                <w:color w:val="auto"/>
              </w:rPr>
            </w:pPr>
            <w:r>
              <w:rPr>
                <w:rFonts w:ascii="Times New Roman" w:cs="Times New Roman" w:eastAsia="Times New Roman" w:hAnsi="Times New Roman"/>
                <w:sz w:val="18"/>
                <w:szCs w:val="18"/>
                <w:color w:val="auto"/>
              </w:rPr>
              <w:t>Dated: November 8, 2024</w:t>
            </w:r>
          </w:p>
        </w:tc>
        <w:tc>
          <w:tcPr>
            <w:tcW w:w="5480" w:type="dxa"/>
            <w:vAlign w:val="bottom"/>
            <w:tcBorders>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 Lynne Fitzpatrick</w:t>
            </w:r>
          </w:p>
        </w:tc>
      </w:tr>
      <w:tr>
        <w:trPr>
          <w:trHeight w:val="218"/>
        </w:trPr>
        <w:tc>
          <w:tcPr>
            <w:tcW w:w="5700" w:type="dxa"/>
            <w:vAlign w:val="bottom"/>
          </w:tcPr>
          <w:p>
            <w:pPr>
              <w:spacing w:after="0"/>
              <w:rPr>
                <w:sz w:val="18"/>
                <w:szCs w:val="18"/>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Name: Lynne Fitzpatrick</w:t>
            </w:r>
          </w:p>
        </w:tc>
      </w:tr>
      <w:tr>
        <w:trPr>
          <w:trHeight w:val="234"/>
        </w:trPr>
        <w:tc>
          <w:tcPr>
            <w:tcW w:w="5700" w:type="dxa"/>
            <w:vAlign w:val="bottom"/>
          </w:tcPr>
          <w:p>
            <w:pPr>
              <w:spacing w:after="0"/>
              <w:rPr>
                <w:sz w:val="20"/>
                <w:szCs w:val="20"/>
                <w:color w:val="auto"/>
              </w:rPr>
            </w:pPr>
          </w:p>
        </w:tc>
        <w:tc>
          <w:tcPr>
            <w:tcW w:w="5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 Chief Financial Officer</w:t>
            </w:r>
          </w:p>
        </w:tc>
      </w:tr>
    </w:tbl>
    <w:p>
      <w:pPr>
        <w:sectPr>
          <w:pgSz w:w="11900" w:h="16838" w:orient="portrait"/>
          <w:cols w:equalWidth="0" w:num="1">
            <w:col w:w="11240"/>
          </w:cols>
          <w:pgMar w:left="320" w:top="981" w:right="339" w:bottom="1440" w:gutter="0" w:footer="0" w:header="0"/>
        </w:sectPr>
      </w:pPr>
    </w:p>
    <w:bookmarkStart w:id="36" w:name="page37"/>
    <w:bookmarkEnd w:id="36"/>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of CEO and CFO Pursuant to</w:t>
      </w:r>
    </w:p>
    <w:p>
      <w:pPr>
        <w:spacing w:after="0" w:line="31" w:lineRule="exact"/>
        <w:rPr>
          <w:sz w:val="20"/>
          <w:szCs w:val="20"/>
          <w:color w:val="auto"/>
        </w:rPr>
      </w:pPr>
    </w:p>
    <w:p>
      <w:pPr>
        <w:ind w:left="4740"/>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ind w:left="4720"/>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85" w:lineRule="exact"/>
        <w:rPr>
          <w:sz w:val="20"/>
          <w:szCs w:val="20"/>
          <w:color w:val="auto"/>
        </w:rPr>
      </w:pPr>
    </w:p>
    <w:p>
      <w:pPr>
        <w:ind w:right="120" w:firstLine="180"/>
        <w:spacing w:after="0" w:line="261" w:lineRule="auto"/>
        <w:rPr>
          <w:sz w:val="20"/>
          <w:szCs w:val="20"/>
          <w:color w:val="auto"/>
        </w:rPr>
      </w:pPr>
      <w:r>
        <w:rPr>
          <w:rFonts w:ascii="Times New Roman" w:cs="Times New Roman" w:eastAsia="Times New Roman" w:hAnsi="Times New Roman"/>
          <w:sz w:val="18"/>
          <w:szCs w:val="18"/>
          <w:color w:val="auto"/>
        </w:rPr>
        <w:t>In connection with the Quarterly Report on Form 10-Q of CME Group Inc. (the “Company”) for the quarter ended September 30, 2024 as filed with the Securities and Exchange Commission on the date hereof (the “Report”), Terrence A. Duffy, as Chief Executive Officer of the Company, and Lynne Fitzpatrick, as Chief Financial Officer of the Company, each hereby certifies, pursuant to 18 U.S.C. § 1350, as adopted pursuant to § 906 of the Sarbanes-Oxley Act of 2002, that, to the best of his knowledge:</w:t>
      </w:r>
    </w:p>
    <w:p>
      <w:pPr>
        <w:spacing w:after="0" w:line="58" w:lineRule="exact"/>
        <w:rPr>
          <w:sz w:val="20"/>
          <w:szCs w:val="20"/>
          <w:color w:val="auto"/>
        </w:rPr>
      </w:pPr>
    </w:p>
    <w:p>
      <w:pPr>
        <w:ind w:left="1100" w:hanging="264"/>
        <w:spacing w:after="0"/>
        <w:tabs>
          <w:tab w:leader="none" w:pos="110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90" w:lineRule="exact"/>
        <w:rPr>
          <w:rFonts w:ascii="Times New Roman" w:cs="Times New Roman" w:eastAsia="Times New Roman" w:hAnsi="Times New Roman"/>
          <w:sz w:val="18"/>
          <w:szCs w:val="18"/>
          <w:color w:val="auto"/>
        </w:rPr>
      </w:pPr>
    </w:p>
    <w:p>
      <w:pPr>
        <w:ind w:left="660" w:right="480" w:firstLine="176"/>
        <w:spacing w:after="0" w:line="282" w:lineRule="auto"/>
        <w:tabs>
          <w:tab w:leader="none" w:pos="1095"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 Terrence A. Duffy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Name: Terrence A. Duffy</w:t>
      </w:r>
    </w:p>
    <w:p>
      <w:pPr>
        <w:spacing w:after="0" w:line="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Title: Chief Executive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8, 2024</w:t>
      </w:r>
    </w:p>
    <w:p>
      <w:pPr>
        <w:spacing w:after="0" w:line="200" w:lineRule="exact"/>
        <w:rPr>
          <w:sz w:val="20"/>
          <w:szCs w:val="20"/>
          <w:color w:val="auto"/>
        </w:rPr>
      </w:pPr>
    </w:p>
    <w:p>
      <w:pPr>
        <w:spacing w:after="0" w:line="3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/s/ Lynne Fitzpatrick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17145</wp:posOffset>
            </wp:positionV>
            <wp:extent cx="354901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49015" cy="8255"/>
                    </a:xfrm>
                    <a:prstGeom prst="rect">
                      <a:avLst/>
                    </a:prstGeom>
                    <a:noFill/>
                  </pic:spPr>
                </pic:pic>
              </a:graphicData>
            </a:graphic>
          </wp:anchor>
        </w:drawing>
      </w:r>
    </w:p>
    <w:p>
      <w:pPr>
        <w:spacing w:after="0" w:line="1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Name: Lynne Fitzpatrick</w:t>
      </w:r>
    </w:p>
    <w:p>
      <w:pPr>
        <w:spacing w:after="0" w:line="2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Title: Chief Financial Officer</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November 8, 2024</w:t>
      </w:r>
    </w:p>
    <w:p>
      <w:pPr>
        <w:spacing w:after="0" w:line="90" w:lineRule="exact"/>
        <w:rPr>
          <w:sz w:val="20"/>
          <w:szCs w:val="20"/>
          <w:color w:val="auto"/>
        </w:rPr>
      </w:pPr>
    </w:p>
    <w:p>
      <w:pPr>
        <w:ind w:right="600" w:firstLine="177"/>
        <w:spacing w:after="0" w:line="282" w:lineRule="auto"/>
        <w:rPr>
          <w:sz w:val="20"/>
          <w:szCs w:val="20"/>
          <w:color w:val="auto"/>
        </w:rPr>
      </w:pPr>
      <w:r>
        <w:rPr>
          <w:rFonts w:ascii="Times New Roman" w:cs="Times New Roman" w:eastAsia="Times New Roman" w:hAnsi="Times New Roman"/>
          <w:sz w:val="18"/>
          <w:szCs w:val="18"/>
          <w:color w:val="auto"/>
        </w:rPr>
        <w:t>This certification accompanies the Report pursuant to § 906 of the Sarbanes-Oxley Act of 2002 and shall not, except to the extent required by the Sarbanes-Oxley Act of 2002, be deemed filed by the Company for purposes of §18 of the Securities Exchange Act of 1934, as amended.</w:t>
      </w:r>
    </w:p>
    <w:p>
      <w:pPr>
        <w:spacing w:after="0" w:line="40" w:lineRule="exact"/>
        <w:rPr>
          <w:sz w:val="20"/>
          <w:szCs w:val="20"/>
          <w:color w:val="auto"/>
        </w:rPr>
      </w:pPr>
    </w:p>
    <w:p>
      <w:pPr>
        <w:ind w:right="120" w:firstLine="170"/>
        <w:spacing w:after="0" w:line="282" w:lineRule="auto"/>
        <w:rPr>
          <w:sz w:val="20"/>
          <w:szCs w:val="20"/>
          <w:color w:val="auto"/>
        </w:rPr>
      </w:pPr>
      <w:r>
        <w:rPr>
          <w:rFonts w:ascii="Times New Roman" w:cs="Times New Roman" w:eastAsia="Times New Roman" w:hAnsi="Times New Roman"/>
          <w:sz w:val="18"/>
          <w:szCs w:val="18"/>
          <w:color w:val="auto"/>
        </w:rPr>
        <w:t>A signed original of this written statement required by § 906 of the Sarbanes-Oxley Act of 2002 has been provided to the Company and will be retained by the Company and furnished to the Securities and Exchange Commission or its staff upon request.</w:t>
      </w:r>
    </w:p>
    <w:sectPr>
      <w:pgSz w:w="11900" w:h="16838" w:orient="portrait"/>
      <w:cols w:equalWidth="0" w:num="1">
        <w:col w:w="11240"/>
      </w:cols>
      <w:pgMar w:left="320" w:top="98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
      <w:numFmt w:val="bullet"/>
      <w:start w:val="1"/>
    </w:lvl>
  </w:abstractNum>
  <w:abstractNum w:abstractNumId="1">
    <w:nsid w:val="3352255A"/>
    <w:multiLevelType w:val="hybridMultilevel"/>
    <w:lvl w:ilvl="0">
      <w:lvlJc w:val="left"/>
      <w:lvlText w:val="☐"/>
      <w:numFmt w:val="bullet"/>
      <w:start w:val="1"/>
    </w:lvl>
  </w:abstractNum>
  <w:abstractNum w:abstractNumId="2">
    <w:nsid w:val="109CF92E"/>
    <w:multiLevelType w:val="hybridMultilevel"/>
    <w:lvl w:ilvl="0">
      <w:lvlJc w:val="left"/>
      <w:lvlText w:val="•"/>
      <w:numFmt w:val="bullet"/>
      <w:start w:val="1"/>
    </w:lvl>
  </w:abstractNum>
  <w:abstractNum w:abstractNumId="3">
    <w:nsid w:val="DED7263"/>
    <w:multiLevelType w:val="hybridMultilevel"/>
    <w:lvl w:ilvl="0">
      <w:lvlJc w:val="left"/>
      <w:lvlText w:val="•"/>
      <w:numFmt w:val="bullet"/>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1)"/>
      <w:numFmt w:val="decimal"/>
      <w:start w:val="1"/>
    </w:lvl>
  </w:abstractNum>
  <w:abstractNum w:abstractNumId="7">
    <w:nsid w:val="6B68079A"/>
    <w:multiLevelType w:val="hybridMultilevel"/>
    <w:lvl w:ilvl="0">
      <w:lvlJc w:val="left"/>
      <w:lvlText w:val="•"/>
      <w:numFmt w:val="bullet"/>
      <w:start w:val="1"/>
    </w:lvl>
  </w:abstractNum>
  <w:abstractNum w:abstractNumId="8">
    <w:nsid w:val="4E6AFB66"/>
    <w:multiLevelType w:val="hybridMultilevel"/>
    <w:lvl w:ilvl="0">
      <w:lvlJc w:val="left"/>
      <w:lvlText w:val="•"/>
      <w:numFmt w:val="bullet"/>
      <w:start w:val="1"/>
    </w:lvl>
  </w:abstractNum>
  <w:abstractNum w:abstractNumId="9">
    <w:nsid w:val="25E45D32"/>
    <w:multiLevelType w:val="hybridMultilevel"/>
    <w:lvl w:ilvl="0">
      <w:lvlJc w:val="left"/>
      <w:lvlText w:val="•"/>
      <w:numFmt w:val="bullet"/>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1)"/>
      <w:numFmt w:val="lowerLetter"/>
      <w:start w:val="1"/>
    </w:lvl>
  </w:abstractNum>
  <w:abstractNum w:abstractNumId="12">
    <w:nsid w:val="3F2DBA31"/>
    <w:multiLevelType w:val="hybridMultilevel"/>
    <w:lvl w:ilvl="0">
      <w:lvlJc w:val="left"/>
      <w:lvlText w:val="(%1)"/>
      <w:numFmt w:val="lowerLetter"/>
      <w:start w:val="2"/>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01"/>
    </w:lvl>
  </w:abstractNum>
  <w:abstractNum w:abstractNumId="15">
    <w:nsid w:val="62BBD95A"/>
    <w:multiLevelType w:val="hybridMultilevel"/>
    <w:lvl w:ilvl="0">
      <w:lvlJc w:val="left"/>
      <w:lvlText w:val="%1."/>
      <w:numFmt w:val="decimal"/>
      <w:start w:val="1"/>
    </w:lvl>
  </w:abstractNum>
  <w:abstractNum w:abstractNumId="16">
    <w:nsid w:val="436C6125"/>
    <w:multiLevelType w:val="hybridMultilevel"/>
    <w:lvl w:ilvl="0">
      <w:lvlJc w:val="left"/>
      <w:lvlText w:val="%1)"/>
      <w:numFmt w:val="lowerLetter"/>
      <w:start w:val="1"/>
    </w:lvl>
  </w:abstractNum>
  <w:abstractNum w:abstractNumId="17">
    <w:nsid w:val="628C895D"/>
    <w:multiLevelType w:val="hybridMultilevel"/>
    <w:lvl w:ilvl="0">
      <w:lvlJc w:val="left"/>
      <w:lvlText w:val="%1."/>
      <w:numFmt w:val="decimal"/>
      <w:start w:val="5"/>
    </w:lvl>
  </w:abstractNum>
  <w:abstractNum w:abstractNumId="18">
    <w:nsid w:val="333AB105"/>
    <w:multiLevelType w:val="hybridMultilevel"/>
    <w:lvl w:ilvl="0">
      <w:lvlJc w:val="left"/>
      <w:lvlText w:val="%1)"/>
      <w:numFmt w:val="lowerLetter"/>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lowerLetter"/>
      <w:start w:val="1"/>
    </w:lvl>
  </w:abstractNum>
  <w:abstractNum w:abstractNumId="21">
    <w:nsid w:val="2D1D5AE9"/>
    <w:multiLevelType w:val="hybridMultilevel"/>
    <w:lvl w:ilvl="0">
      <w:lvlJc w:val="left"/>
      <w:lvlText w:val="%1."/>
      <w:numFmt w:val="decimal"/>
      <w:start w:val="5"/>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2024-11-08T14:34:12Z</dcterms:created>
  <dcterms:modified xsi:type="dcterms:W3CDTF">2024-11-08T14:34:12Z</dcterms:modified>
</cp:coreProperties>
</file>