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June 30, 2016</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6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July 13, 2016 was as follows: 338,851,977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June 30, 2016 and December 31, 2015</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Six Months Ended June 30, 2016 and 2015</w:t>
              </w:r>
            </w:hyperlink>
          </w:p>
        </w:tc>
        <w:tc>
          <w:tcPr>
            <w:tcW w:w="33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and Six Months Ended June 30, 2016 and 2015</w:t>
              </w:r>
            </w:hyperlink>
          </w:p>
        </w:tc>
        <w:tc>
          <w:tcPr>
            <w:tcW w:w="224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Six Months Ended June 30, 2016 and 2015</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10">
              <w:r>
                <w:rPr>
                  <w:rFonts w:ascii="Arial" w:cs="Arial" w:eastAsia="Arial" w:hAnsi="Arial"/>
                  <w:sz w:val="16"/>
                  <w:szCs w:val="16"/>
                  <w:color w:val="0000EE"/>
                  <w:w w:val="90"/>
                </w:rPr>
                <w:t>Consolidated Statements of Cash Flows for the Six Months Ended June 30, 2016 and 2015</w:t>
              </w:r>
            </w:hyperlink>
          </w:p>
        </w:tc>
        <w:tc>
          <w:tcPr>
            <w:tcW w:w="3900" w:type="dxa"/>
            <w:vAlign w:val="bottom"/>
            <w:gridSpan w:val="4"/>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7">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4"/>
          </w:tcPr>
          <w:p>
            <w:pPr>
              <w:spacing w:after="0"/>
              <w:rPr>
                <w:sz w:val="24"/>
                <w:szCs w:val="24"/>
                <w:color w:val="auto"/>
              </w:rPr>
            </w:pPr>
          </w:p>
        </w:tc>
        <w:tc>
          <w:tcPr>
            <w:tcW w:w="364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7">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8">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8">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0">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54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2016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1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$3.7 and $1.9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$30.0 and $32.0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228.6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38,027.2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37,904.5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$655.3 and $788.6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2,537.9</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$65.7 and $70.5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1,681.0</w:t>
            </w: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67,625.6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67,359.4</w:t>
            </w:r>
          </w:p>
        </w:tc>
      </w:tr>
      <w:tr>
        <w:trPr>
          <w:trHeight w:val="67"/>
        </w:trPr>
        <w:tc>
          <w:tcPr>
            <w:tcW w:w="128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35,553.0</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36,824.5</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9"/>
              </w:rPr>
              <w:t>Long-term debt</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2,229.3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7,358.3</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395.5</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46,807.6</w:t>
            </w:r>
          </w:p>
        </w:tc>
      </w:tr>
      <w:tr>
        <w:trPr>
          <w:trHeight w:val="223"/>
        </w:trPr>
        <w:tc>
          <w:tcPr>
            <w:tcW w:w="128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June 30, 2016 and December 31, 2015;</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ind w:left="380"/>
              <w:spacing w:after="0"/>
              <w:rPr>
                <w:sz w:val="20"/>
                <w:szCs w:val="20"/>
                <w:color w:val="auto"/>
              </w:rPr>
            </w:pPr>
            <w:r>
              <w:rPr>
                <w:rFonts w:ascii="Arial" w:cs="Arial" w:eastAsia="Arial" w:hAnsi="Arial"/>
                <w:sz w:val="18"/>
                <w:szCs w:val="18"/>
                <w:color w:val="auto"/>
                <w:w w:val="90"/>
              </w:rPr>
              <w:t>none issued</w:t>
            </w: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A common stock, $0.01 par value, 1,000,000 shares authorized at June 30, 2016 and December 31,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2015; 337,448 and 336,938 shares issued and outstanding as of June 30, 2016 and December 31, 2015,</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respectively</w:t>
            </w:r>
          </w:p>
        </w:tc>
        <w:tc>
          <w:tcPr>
            <w:tcW w:w="6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June 30, 2016</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December 31, 2015</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17,721.6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2,907.6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21,073.9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20,551.8</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67,625.6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67,359.4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1,390.0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282.8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1,002.4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376.5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595.4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336,036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335,859</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338,706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337,796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338,599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337,574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Ineffectiveness on cash flow hedges included in (gains) losses 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594.3</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336,938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$1.20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337,448</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3,189.3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21,073.9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$1.00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336,186</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17,678.2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21,258.8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prepayment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677.7</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1,151.0</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97"/>
        </w:trPr>
        <w:tc>
          <w:tcPr>
            <w:tcW w:w="8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6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46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2016 and December 31, 2015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2015, filed with the Securities and Exchange Commission (SEC) on February 26,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June 30, 2016,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as well as U.S. Treasury securities and U.S. government agency securities with maturity dates of 90 days or less. U.S. Treasury securities and U.S. government agency securities are purchased by CME, at its discretion, using cash collateral. The benefits, including interest earned, and risks of ownership accrue to CME. Interest earned is included in investment income on the consolidated statements of income. These securities are classified as available-for-sale. At June 30, 2016, the amortized cost and fair value of the U.S. Treasury securities were $6,952.0 million and $6,952.3 million, respectively. At June 30, 2016, the amortized cost and fair value of the U.S. government securities were both $1,708.4 million. The U.S. Treasury securities and U.S. government agency securities will mature in the third quarter of 2016. Performance bonds and guaranty fund contribution assets also include overnight reverse repurchase agreements that were purchased by CME, at its discretion, using cash collateral. The fair value of the overnight securities under the reverse repurchase agreements was $200.9 million at June 30, 2016.</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is authorized to establish and maintain a cash account at the Federal Reserve Bank of Chicago. CME has received approval to establish this account at the Federal Reserve Bank of Chicago for clearing members proprietary cash balances; however, the account is not live yet and CME continues to work through the operational details to begin utilizing the account.</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Clearing House Contract Settlement. </w:t>
      </w:r>
      <w:r>
        <w:rPr>
          <w:rFonts w:ascii="Arial" w:cs="Arial" w:eastAsia="Arial" w:hAnsi="Arial"/>
          <w:sz w:val="17"/>
          <w:szCs w:val="17"/>
          <w:color w:val="auto"/>
        </w:rPr>
        <w:t>CME Clearing and CMECE mark-to-market open positions for all futures and options contracts twice a day (once a day</w:t>
      </w:r>
      <w:r>
        <w:rPr>
          <w:rFonts w:ascii="Arial" w:cs="Arial" w:eastAsia="Arial" w:hAnsi="Arial"/>
          <w:sz w:val="17"/>
          <w:szCs w:val="17"/>
          <w:i w:val="1"/>
          <w:iCs w:val="1"/>
          <w:color w:val="auto"/>
        </w:rPr>
        <w:t xml:space="preserve"> </w:t>
      </w:r>
      <w:r>
        <w:rPr>
          <w:rFonts w:ascii="Arial" w:cs="Arial" w:eastAsia="Arial" w:hAnsi="Arial"/>
          <w:sz w:val="17"/>
          <w:szCs w:val="17"/>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six months of 2016, CME Clearing and CMECE transferred an average of approximately $3.6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June 30, 2016.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w:t>
      </w:r>
    </w:p>
    <w:p>
      <w:pPr>
        <w:spacing w:after="0" w:line="22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In March 2016, the company sold its datacenter in the Chicago area for $130.0 million. At the time of the sale, the company leased back a portion of the property. The sale-leaseback transaction was recognized under the financing method and not as a sale-leaseback arrangement under generally accepted accounting principles due to the company's participation in future revenues and development work, which constitutes continuing involvement in the datacenter. Under the financing method, the assets remain on the consolidated balance sheet throughout the term of the lease and the proceeds of $130.0 million from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4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net cost basis of the property and equipment legally sold was $153.1 million at the date of the sale. At March 31, 2016, the company wrote down the property and equipment to a fair value of $130.0 million based on qualitative indications of impairment and a quantitative analysis based on undiscounted cash flows. The company recognized a net loss on the transaction of $27.1 million through other expenses, which includes the write down to fair value and certain other transaction-related costs. The company recognized a total net loss and expenses of $28.6 million, which also includes $1.5 million of legal and other fees incurred. The property and equipment legally sold will continue to be recognized on the consolidated balance sheets and will continue to be depreciated on the consolidated statements of income over the term of the lease.</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lease has an initial lease term ending in March 2031 and contains two consecutive renewal options for five years. Future minimum lease payments under this non-cancellable lease will be payable as follows as of June 30, 2016 (in millions):</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9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2016</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181.6</w:t>
            </w:r>
          </w:p>
        </w:tc>
      </w:tr>
      <w:tr>
        <w:trPr>
          <w:trHeight w:val="27"/>
        </w:trPr>
        <w:tc>
          <w:tcPr>
            <w:tcW w:w="9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2016 and December 31, 2015:</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2,037.0</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2,039.9</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amortization expense for intangible assets was $24.0 million and $25.0 million for the quarters ended June 30, 2016 and 2015, respectively. Total amortization expense for intangible assets was $48.0 million and $49.9 million for the six months ended June 30, 2016 and 2015, respectively. As of June 30, 2016, the future estimated amortization expense related to amortizable intangible assets is expected to be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2016</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95.5</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1,517.5</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first quarter of 2016, the company adopted the Financial Accounting Standards Board's (FASB) standards update on changes to the presentation of debt issuance costs. The update requires debt issuance costs related to a recognized debt liability to be presented as a deduction from the carrying value of the debt liability. Previously, debt issuance costs were recognized as deferred charges within other assets in the consolidated balance sheets. The standards update was applied on a retrospective basis, adjusting all prior periods presented, as if the new accounting methodology was in effect during those periods. At December 31, 2015, $12.1 million of debt issuance costs were reclassified in the consolidated balance sheet from other assets to long-term debt compared with what was previously reported. At June 30, 2016, $11.6 million of debt issuance costs were deducted from long-term debt. The change in accounting policy has been reflected in the table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2016 and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744.4</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743.4</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2,230.2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2,229.3</w:t>
            </w: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June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first quarter of 2016, the company adopted the FASB's standards update that simplifies the classification of deferred tax assets and liabilities. The update eliminates the current requirement to present deferred tax assets and liabilities as current and</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non-current in a classified balance sheet. Instead, all deferred tax assets, along with valuation allowances, and deferred tax liabilities are required to be classified as non-current. Companies are still required to offset deferred tax assets and liabilities for each taxpaying component within a tax jurisdiction. Beginning in the first quarter of 2016, the company adopted this standards update on a prospective basis and classified all deferred tax assets and liabilities as non-current. Prior period deferred tax assets and liabilities were not retrospectively adjusted.</w:t>
      </w:r>
    </w:p>
    <w:p>
      <w:pPr>
        <w:spacing w:after="0" w:line="1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net current deferred tax asset of $27.9 million was included in other current assets at December 31, 2015. During the first quarter of 2016, net current deferred tax assets of $27.9 million were reclassified to net long-term liabilities. Total net current deferred tax assets are primarily attributable to stock-based compensation and accrued expenses.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long-term deferred tax liabilities were $7.4 billion at June 30, 2016 and December 31, 2015. Net deferred tax liabilities are principally the result of purchase accounting for intangible assets in our various mergers, including CBOT Holdings, Inc. and NYMEX Holdings, Inc.</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Valuation allowances of $49.4 million and $122.3 million have been provided on deferred tax assets at June 30, 2016 and December 31, 2015, respectively. At June 30, 2016 and December 31, 2015, valuation allowances were related to certain domestic net operating losses, foreign net operating losses as well as built in capital losses for which we do not believe that we currently meet the more-likely-than-not-threshold for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2015, the company had accrued $3.5 million for legal and regulatory matters that were probable and estimable. No accrual was required for legal and regulatory matters that were probable and estimable as of June 30, 2016.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2016.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June 30, 2016, CME was contingently liable to SGX on letters of credit totaling $760.0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June 30, 2016.</w:t>
      </w:r>
    </w:p>
    <w:p>
      <w:pPr>
        <w:spacing w:after="0" w:line="1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rated. Clearing members and customers must register with the company in advance and provide certain documentation in order to substantiate their eligibility.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its guarantee liability is immaterial and therefore has not recorded any liability at June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2015</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1 assets generally include U.S. Treasury securities, U.S. government agency securities,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assets recorded in the consolidated balance sheet as of June 30, 2016 were classified in their entirety based on the lowest level of input that was significant to each asset's fair value measurement. There were no liabilities that were measured at fair value as of June 30, 2016.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r>
      <w:tr>
        <w:trPr>
          <w:trHeight w:val="449"/>
        </w:trPr>
        <w:tc>
          <w:tcPr>
            <w:tcW w:w="5160" w:type="dxa"/>
            <w:vAlign w:val="bottom"/>
          </w:tcPr>
          <w:p>
            <w:pPr>
              <w:ind w:left="180"/>
              <w:spacing w:after="0"/>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6,952.3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agencies securities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1,708.4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1,708.4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9,148.7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9,149.0</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right="8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June 30, 2016 include U.S. Treasury securities and U.S. government agency securities purchased with cash collateral.</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six months of 2016. There were no level 3 assets valued at fair value on a recurring basis during the first six months of 2016. The following is a reconciliation of level 3 liabilities valued at fair value on a recurring basis during the first six months of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2015</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June 30, 2016</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2016, we sold a datacenter and leased back a portion of the property. Under generally accepted accounting principles, the transaction has been recognized under the financing method instead of recognized as a sale-leaseback arrangement. As a result, the property and equipment legally sold will continue to be recognized on the consolidated balance sheets and was written down to a fair value of $130.0 million at March 31, 2016. In the second quarter of 2016, we wrote down one of our strategic investments to a fair value of $1.7 million and recognized an impairment loss of $3.8 million. Both assessments were based on qualitative indications of impairment and a quantitative analysis of undiscounted cash flows. The fair values of the datacenter and strategic investment are considered level 3 and nonrecurring. There were no other level 3 assets or liabilities valued at fair value on a nonrecurring basis during the first six months of 2016.</w:t>
      </w:r>
    </w:p>
    <w:p>
      <w:pPr>
        <w:spacing w:after="0" w:line="24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June 30, 2016,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$750.0 million fixed rate notes due September 2022, stated rate of 3.00%</w:t>
            </w:r>
          </w:p>
        </w:tc>
        <w:tc>
          <w:tcPr>
            <w:tcW w:w="4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9"/>
              </w:rPr>
              <w:t>$750.0 million fixed rate notes due March 2025, stated rate of 3.00%</w:t>
            </w:r>
          </w:p>
        </w:tc>
        <w:tc>
          <w:tcPr>
            <w:tcW w:w="47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789.7</w:t>
            </w:r>
          </w:p>
        </w:tc>
      </w:tr>
      <w:tr>
        <w:trPr>
          <w:trHeight w:val="27"/>
        </w:trPr>
        <w:tc>
          <w:tcPr>
            <w:tcW w:w="55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$750.0 million fixed rates notes due September 2043, stated rate of 5.30%</w:t>
            </w:r>
          </w:p>
        </w:tc>
        <w:tc>
          <w:tcPr>
            <w:tcW w:w="4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961.5</w:t>
            </w:r>
          </w:p>
        </w:tc>
      </w:tr>
      <w:tr>
        <w:trPr>
          <w:trHeight w:val="459"/>
        </w:trPr>
        <w:tc>
          <w:tcPr>
            <w:tcW w:w="5500" w:type="dxa"/>
            <w:vAlign w:val="bottom"/>
          </w:tcPr>
          <w:p>
            <w:pPr>
              <w:spacing w:after="0"/>
              <w:rPr>
                <w:sz w:val="24"/>
                <w:szCs w:val="24"/>
                <w:color w:val="auto"/>
              </w:rPr>
            </w:pPr>
          </w:p>
        </w:tc>
        <w:tc>
          <w:tcPr>
            <w:tcW w:w="4760" w:type="dxa"/>
            <w:vAlign w:val="bottom"/>
          </w:tcPr>
          <w:p>
            <w:pPr>
              <w:jc w:val="right"/>
              <w:ind w:right="437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337,289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336,036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335,859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338,706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337,796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338,599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2015.</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2015</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906.4</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820.0</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324.9</w:t>
            </w:r>
          </w:p>
        </w:tc>
        <w:tc>
          <w:tcPr>
            <w:tcW w:w="1380" w:type="dxa"/>
            <w:vAlign w:val="bottom"/>
          </w:tcPr>
          <w:p>
            <w:pPr>
              <w:jc w:val="right"/>
              <w:ind w:right="213"/>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703.4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660.3</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2.8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(47.0)</w:t>
            </w:r>
          </w:p>
        </w:tc>
        <w:tc>
          <w:tcPr>
            <w:tcW w:w="1380" w:type="dxa"/>
            <w:vAlign w:val="bottom"/>
          </w:tcPr>
          <w:p>
            <w:pPr>
              <w:jc w:val="right"/>
              <w:ind w:right="213"/>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320.1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265.0</w:t>
            </w:r>
          </w:p>
        </w:tc>
        <w:tc>
          <w:tcPr>
            <w:tcW w:w="1380" w:type="dxa"/>
            <w:vAlign w:val="bottom"/>
          </w:tcPr>
          <w:p>
            <w:pPr>
              <w:jc w:val="right"/>
              <w:ind w:right="213"/>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687.9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595.4</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16</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0.78</w:t>
            </w:r>
          </w:p>
        </w:tc>
        <w:tc>
          <w:tcPr>
            <w:tcW w:w="13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677.7</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351"/>
        </w:trPr>
        <w:tc>
          <w:tcPr>
            <w:tcW w:w="3740" w:type="dxa"/>
            <w:vAlign w:val="bottom"/>
          </w:tcPr>
          <w:p>
            <w:pPr>
              <w:spacing w:after="0"/>
              <w:rPr>
                <w:sz w:val="20"/>
                <w:szCs w:val="20"/>
                <w:color w:val="auto"/>
              </w:rPr>
            </w:pPr>
            <w:r>
              <w:rPr>
                <w:rFonts w:ascii="Arial" w:cs="Arial" w:eastAsia="Arial" w:hAnsi="Arial"/>
                <w:sz w:val="18"/>
                <w:szCs w:val="18"/>
                <w:color w:val="auto"/>
              </w:rPr>
              <w:t>n.m. not meaningful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3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767.6</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102.8</w:t>
            </w:r>
          </w:p>
        </w:tc>
        <w:tc>
          <w:tcPr>
            <w:tcW w:w="13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1"/>
                <w:szCs w:val="21"/>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906.4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820.0</w:t>
            </w:r>
          </w:p>
        </w:tc>
        <w:tc>
          <w:tcPr>
            <w:tcW w:w="1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1,662.7</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 The interest rate swaps and credit default swaps are discussed in a later section.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965.2</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854.2</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1,998.8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1,768.5</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13%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754.6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663.7</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1,535.7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1,352.2</w:t>
            </w:r>
          </w:p>
        </w:tc>
        <w:tc>
          <w:tcPr>
            <w:tcW w:w="1320" w:type="dxa"/>
            <w:vAlign w:val="bottom"/>
          </w:tcPr>
          <w:p>
            <w:pPr>
              <w:ind w:left="960"/>
              <w:spacing w:after="0"/>
              <w:rPr>
                <w:sz w:val="20"/>
                <w:szCs w:val="20"/>
                <w:color w:val="auto"/>
              </w:rPr>
            </w:pPr>
            <w:r>
              <w:rPr>
                <w:rFonts w:ascii="Arial" w:cs="Arial" w:eastAsia="Arial" w:hAnsi="Arial"/>
                <w:sz w:val="18"/>
                <w:szCs w:val="18"/>
                <w:color w:val="auto"/>
              </w:rPr>
              <w:t>14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0.782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0.777</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0.768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0.765</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estimate the following increases in clearing and transaction fees based on changes in total contract volumes and changes in average rate per contract for futures and options during the second quarter and first six months of 2016 when compared with the same periods in 2015.</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Increases due to changes in average rate per contract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in clearing and transaction fees</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2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2015</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6,599</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3 %</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7,070</w:t>
            </w: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2,364</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2,563</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903</w:t>
            </w:r>
          </w:p>
        </w:tc>
        <w:tc>
          <w:tcPr>
            <w:tcW w:w="1340" w:type="dxa"/>
            <w:vAlign w:val="bottom"/>
          </w:tcPr>
          <w:p>
            <w:pPr>
              <w:jc w:val="right"/>
              <w:ind w:right="191"/>
              <w:spacing w:after="0"/>
              <w:rPr>
                <w:sz w:val="20"/>
                <w:szCs w:val="20"/>
                <w:color w:val="auto"/>
              </w:rPr>
            </w:pPr>
            <w:r>
              <w:rPr>
                <w:rFonts w:ascii="Arial" w:cs="Arial" w:eastAsia="Arial" w:hAnsi="Arial"/>
                <w:sz w:val="18"/>
                <w:szCs w:val="18"/>
                <w:color w:val="auto"/>
              </w:rPr>
              <w:t>(7)</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928</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1,401</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1,297</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1,749</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33</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1,941</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331</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41</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8"/>
              </w:rPr>
              <w:t>13,347</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13</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14,148</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13,355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w w:val="98"/>
              </w:rPr>
              <w:t>11,705</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14,018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12,353</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1,108</w:t>
            </w:r>
          </w:p>
        </w:tc>
        <w:tc>
          <w:tcPr>
            <w:tcW w:w="1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1,197</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534</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598</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7"/>
        </w:trPr>
        <w:tc>
          <w:tcPr>
            <w:tcW w:w="3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13,347</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14,148</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Volume</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20"/>
                <w:szCs w:val="20"/>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Overall futures and options contract volumes increased in the second quarter and first six months of 2016 when compared with the same periods in 2015 largely due to increases in equity, energy, agricultural commodity and interest rate contract volumes. We believe global market concerns and considerable uncertainty regarding the Federal Reserve's interest rate policy have resulted in increased volatility in the equity and interest rate markets, leading to increases in volumes. These markets also experienced higher volatility towards the end of the second quarter of 2016 due to anticipation of the United Kingdom European Union membership referendum. Additionally, the deceleration of the Chinese economy beginning in the second half of 2015 resulted in higher volatility within the equity markets.</w:t>
      </w:r>
    </w:p>
    <w:p>
      <w:pPr>
        <w:spacing w:after="0" w:line="13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increases in crude oil volumes are a reflection of crude oil markets continuing to show considerable uncertainty regarding the direction of future oil prices. The oversupply of crude oil that began in 2014 continues to weigh on oil prices, resulting in additional volatility and an increase in overall energy contract volume.</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Volatility within the agricultural commodities markets increased during the second quarter of 2016 due to uncertainty regarding the 2016 growing season because of weather events. The increase in volatility contributed to increases in agricultural commodity volumes.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1,630</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11 %</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1,828</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1,689</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594</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660</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1,043</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814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28</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1,276</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1,616</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1,727</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1,780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842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3</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889</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318</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351</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312</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328</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Overall interest rate contract volumes increased in the second quarter and first six months of 2016 when compared with the same periods in 2015 largely due to the uncertainty around the Federal Reserve's interest rate policy. As a result, contract volumes increased for short-term interest rate contracts, including the Eurodollar Front 8 futures and Eurodollar options. Back 32 Eurodollar futures volumes declined as participants became more focused on short-term interest rate uncertainty. In addition, electronic Eurodollar options volumes increased in the second quarter and first six months of 2016 due to our continued investment in system enhancements and client education.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3"/>
              </w:rPr>
              <w:t>2015</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rPr>
              <w:t>2,360</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1,857</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27%</w:t>
            </w:r>
          </w:p>
        </w:tc>
        <w:tc>
          <w:tcPr>
            <w:tcW w:w="15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2,566</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2,011</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28%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tcPr>
          <w:p>
            <w:pPr>
              <w:jc w:val="right"/>
              <w:ind w:right="561"/>
              <w:spacing w:after="0"/>
              <w:rPr>
                <w:sz w:val="20"/>
                <w:szCs w:val="20"/>
                <w:color w:val="auto"/>
              </w:rPr>
            </w:pPr>
            <w:r>
              <w:rPr>
                <w:rFonts w:ascii="Arial" w:cs="Arial" w:eastAsia="Arial" w:hAnsi="Arial"/>
                <w:sz w:val="18"/>
                <w:szCs w:val="18"/>
                <w:color w:val="auto"/>
              </w:rPr>
              <w:t>258</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224</w:t>
            </w:r>
          </w:p>
        </w:tc>
        <w:tc>
          <w:tcPr>
            <w:tcW w:w="1440" w:type="dxa"/>
            <w:vAlign w:val="bottom"/>
          </w:tcPr>
          <w:p>
            <w:pPr>
              <w:ind w:left="960"/>
              <w:spacing w:after="0"/>
              <w:rPr>
                <w:sz w:val="20"/>
                <w:szCs w:val="20"/>
                <w:color w:val="auto"/>
              </w:rPr>
            </w:pPr>
            <w:r>
              <w:rPr>
                <w:rFonts w:ascii="Arial" w:cs="Arial" w:eastAsia="Arial" w:hAnsi="Arial"/>
                <w:sz w:val="18"/>
                <w:szCs w:val="18"/>
                <w:color w:val="auto"/>
              </w:rPr>
              <w:t>15</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305</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253</w:t>
            </w:r>
          </w:p>
        </w:tc>
        <w:tc>
          <w:tcPr>
            <w:tcW w:w="1320" w:type="dxa"/>
            <w:vAlign w:val="bottom"/>
          </w:tcPr>
          <w:p>
            <w:pPr>
              <w:ind w:left="96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Overall equity contract volumes increased in the second quarter and first six months of 2016 when compared with the same periods in 2015 due to overall higher market volatility, as measured by the CBOE Volatility Index. We believe overall volatility resulted from continued uncertainty surrounding the Federal Reserve's interest rate policy, the uncertainty surrounding the United Kingdom European Union membership referendum, the deceleration of the Chinese economy as well as declining global crude oil prices.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219</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246</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147</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169</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134</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18</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126</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112</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14</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113</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Foreign exchange contract volumes decreased slightly in the second quarter and first six months of 2016 when compared with the same periods in 2015. Euro contract volumes decreased due to overall low volatility in early 2016, which we believe resulted from a lack of global macroeconomic drivers affecting the Euro. Euro contract volumes were high in the first half of</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2015 due to volatility caused by quantitative easing programs initiated by central banks throughout Europe in early 2015. The overall decrease in overall foreign exchange contract volume in the second quarter of 2016 when compared with the same period in 2015 was partially offset by an increase in British pound contract volume, which we believe was caused by volatility resulting from uncertainty surrounding the United Kingdom European Union membership referendum.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587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492</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454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374</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28</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208</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Agricultural commodity contract volumes increased in the second quarter and first six months of 2016 when compared with the same periods in 2015 due to higher price volatility, which we believe was caused by greater uncertainty related to weather conditions and crop production for the 2016 growing season.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1,231</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872</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41%</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1,312</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454</w:t>
            </w:r>
          </w:p>
        </w:tc>
        <w:tc>
          <w:tcPr>
            <w:tcW w:w="9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79"/>
              </w:rPr>
              <w:t>17</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527</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469</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12</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312</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18</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371</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9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104</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w:t>
            </w:r>
          </w:p>
        </w:tc>
      </w:tr>
    </w:tbl>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Overall energy contract volumes increased in the second quarter and first six months of 2016 when compared with the same periods in 2015 largely due to increases in crude oil trading, which we believe resulted from a continuing shift in supply that began in the fourth quarter of 2014. In the first half of 2016, the overall market shifted more focus on WTI crude oil instead of Brent crude oil because of the marketplaces' increased weighting of WTI pricing as a global benchmark price for crude oil. Additionally, refined products and natural gas contract volumes increased largely due to higher price volatility in the underlying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273</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52%</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278</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39%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89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440" w:type="dxa"/>
            <w:vAlign w:val="bottom"/>
          </w:tcPr>
          <w:p>
            <w:pPr>
              <w:ind w:left="960"/>
              <w:spacing w:after="0"/>
              <w:rPr>
                <w:sz w:val="20"/>
                <w:szCs w:val="20"/>
                <w:color w:val="auto"/>
              </w:rPr>
            </w:pPr>
            <w:r>
              <w:rPr>
                <w:rFonts w:ascii="Arial" w:cs="Arial" w:eastAsia="Arial" w:hAnsi="Arial"/>
                <w:sz w:val="18"/>
                <w:szCs w:val="18"/>
                <w:color w:val="auto"/>
              </w:rPr>
              <w:t>33</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83</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320" w:type="dxa"/>
            <w:vAlign w:val="bottom"/>
          </w:tcPr>
          <w:p>
            <w:pPr>
              <w:ind w:left="960"/>
              <w:spacing w:after="0"/>
              <w:rPr>
                <w:sz w:val="20"/>
                <w:szCs w:val="20"/>
                <w:color w:val="auto"/>
              </w:rPr>
            </w:pPr>
            <w:r>
              <w:rPr>
                <w:rFonts w:ascii="Arial" w:cs="Arial" w:eastAsia="Arial" w:hAnsi="Arial"/>
                <w:sz w:val="18"/>
                <w:szCs w:val="18"/>
                <w:color w:val="auto"/>
              </w:rPr>
              <w:t>22</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29</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26</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believe the increases in metals contract volumes in the second quarter and first six months of 2016 when compared with the same periods in 2015 were due to investors turning to gold and other precious metals as a safe haven investment alternative to the volatile equity markets.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average rate per contract remained relatively flat in the second quarter and first six months of 2016 when compared with the same periods in 2015. The impact from a rate increase in early 2016 was offset by higher volume-based incentives and discounts on our contracts as well as an increase in trades executed by members, as a percentage of total trading volume.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Clearing and transaction fees as presented on the consolidated statements of income include revenues for our cleared-only interest rate swap and credit default swap contracts. In the second quarter of 2016 and 2015, clearing and transaction fees generated from these contracts were $12.9 million and $18.0 million, respectively. In the first six months of 2016 and 2015, clearing and transaction fees generated from these contracts were $28.0 million and $37.5 million, respectively. The decreases in revenues were largely attributable to a reduction in client activity after the first quarter of 2015, as we believe some customers chose alternative products and venues to manage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one firm represented 10% of our clearing and transaction fees in the first six months of 2016.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Beginning in 2016, the partial fee waivers that existed in 2015 ended, which contributed to an increase in market data and information services revenue in the first six months of 2016 when compared with the same period in 2015. The increase was partially offset by some rationalization as customer firms transitioned into full-priced offerings, as well as reductions in overall screen counts at member banks.</w:t>
      </w:r>
    </w:p>
    <w:p>
      <w:pPr>
        <w:spacing w:after="0" w:line="18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40% of our market data and information services revenue in the first six months of 2016.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24</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21</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324.9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351"/>
              <w:spacing w:after="0"/>
              <w:rPr>
                <w:sz w:val="20"/>
                <w:szCs w:val="20"/>
                <w:color w:val="auto"/>
              </w:rPr>
            </w:pPr>
            <w:r>
              <w:rPr>
                <w:rFonts w:ascii="Arial" w:cs="Arial" w:eastAsia="Arial" w:hAnsi="Arial"/>
                <w:sz w:val="18"/>
                <w:szCs w:val="18"/>
                <w:color w:val="auto"/>
              </w:rPr>
              <w:t>22</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expenses increased by $18.2 million in the second quarter of 2016 when compared with the same period in 2015. Operating expenses increased by $43.1 million in the first six months of 2016 when compared with the same period in 2015. The following table shows the estimated impacts of key factors resulting in the changes in operating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Reorganization costs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 and fees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Increases in overall operating expenses in the second quarter and first six months of 2016 when compared with the same periods in 2015 were as follows:</w:t>
      </w:r>
    </w:p>
    <w:p>
      <w:pPr>
        <w:spacing w:after="0" w:line="221" w:lineRule="exact"/>
        <w:rPr>
          <w:sz w:val="20"/>
          <w:szCs w:val="20"/>
          <w:color w:val="auto"/>
        </w:rPr>
      </w:pPr>
    </w:p>
    <w:p>
      <w:pPr>
        <w:jc w:val="both"/>
        <w:ind w:left="660" w:right="1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pacing w:after="0" w:line="146" w:lineRule="exact"/>
        <w:rPr>
          <w:rFonts w:ascii="Arial" w:cs="Arial" w:eastAsia="Arial" w:hAnsi="Arial"/>
          <w:sz w:val="16"/>
          <w:szCs w:val="16"/>
          <w:color w:val="auto"/>
        </w:rPr>
      </w:pPr>
    </w:p>
    <w:p>
      <w:pPr>
        <w:ind w:left="660" w:right="8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quarter of 2016, we recognized a net loss of $11.6 million due to an unfavorable change in exchange rates on foreign cash balances, compared with a net gain of $11.1 million in the second quarter of 2015. In the first six months of 2016, we recognized a net loss of $15.5 million due to an unfavorable change in exchange rates on foreign cash balances, compared with a net gain of $1.1 million in the first six months of 2015. Gains and losses from exchange rate fluctuations result when subsidiaries with a U.S. dollar functional currency hold cash as well as certain other monetary assets and liabilities denominated in foreign currencies. We expect to continue to incur gains and losses from exchange rate fluctuations as long as this is the case.</w:t>
      </w:r>
    </w:p>
    <w:p>
      <w:pPr>
        <w:spacing w:after="0" w:line="193"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Professional fees and outside services expenses increased largely due to an increase in legal efforts related to our business activities and product offerings as well as an increase in professional fees related to a greater reliance on consultants for security and systems enhancement work.</w:t>
      </w:r>
    </w:p>
    <w:p>
      <w:pPr>
        <w:spacing w:after="0" w:line="123" w:lineRule="exact"/>
        <w:rPr>
          <w:rFonts w:ascii="Arial" w:cs="Arial" w:eastAsia="Arial" w:hAnsi="Arial"/>
          <w:sz w:val="16"/>
          <w:szCs w:val="16"/>
          <w:color w:val="auto"/>
        </w:rPr>
      </w:pPr>
    </w:p>
    <w:p>
      <w:pPr>
        <w:ind w:left="660" w:right="3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licensing and other fee sharing agreements expenses resulted from higher expenses related to revenue sharing agreements for certain equity and energy contracts due to both higher volumes and increases in the license rates for certain equity and energy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overall increases in operating expenses in the second quarter and first six months of 2016 were partially offset by the following decreases:</w:t>
      </w:r>
    </w:p>
    <w:p>
      <w:pPr>
        <w:spacing w:after="0" w:line="225" w:lineRule="exact"/>
        <w:rPr>
          <w:sz w:val="20"/>
          <w:szCs w:val="20"/>
          <w:color w:val="auto"/>
        </w:rPr>
      </w:pPr>
    </w:p>
    <w:p>
      <w:pPr>
        <w:ind w:left="660" w:right="1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second quarter of 2015, we recognized higher stock-based compensation expense due to additional performance awards issued as part of our stock-based compensation program, which resulted in decreases in compensation and benefits expenses in the second quarter and first six months of 2016 when compared with the same periods in 2015.</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Severance and other costs related to the reorganization announced in October 2014 and the reduction of our trading floors in mid-2015 were recognized in the first quarter of 2015, resulting in a decrease in compensation and benefits expense in the first six months of 2016 when compared with the same period in 2015.</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2015, we recognized additional real estate taxes and fees related to the transfer of the ownership of the NYMEX building.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4"/>
                <w:szCs w:val="14"/>
                <w:color w:val="auto"/>
              </w:rPr>
            </w:pPr>
          </w:p>
        </w:tc>
      </w:t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3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Investment income remained relatively flat in the second quarter of 2016 and increased in the first six months of 2016 when compared with the same periods in 2015. Investment income increased largely due to increases in the rate of interest earned from cash performance bond and guaranty fund contributions that are reinvested. The increases in investment income were offset by decreases in dividend income and gains (losses) on investments in the second quarter and first six months of 2016 when compared with the same periods in 2015. In the second quarter of 2016, we recognized a $3.8 million impairment loss on one of our strategic investments within investment income while in the second quarter of 2015, we recognized a $5.9 million gain on the sale of of 14.3 million shares of BM&amp;FBOVESPA S.A. (BM&amp;FBOVESPA).</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overall increase in interest and other borrowing costs in the second quarter of 2016 when compared with the same period in 2015 was due to an increase in commitment fees on line of credit agreements and additional interest expense related to our finance lease obligation related to one of our datacenters. In the first six months of 2016 when compared with the same period in 2015, the increase in interest and borrowing costs due to higher commitment fees and additional interest expense on our finance lease obligation was offset by a decrease in interest and borrowing costs on our outstanding borrowings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28"/>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2,250.0</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2,304.4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(54.4)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2,300.1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(50.1)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3.71%</w:t>
            </w: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21"/>
                <w:szCs w:val="21"/>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8"/>
                <w:szCs w:val="18"/>
                <w:color w:val="auto"/>
              </w:rPr>
              <w:t>3.71%</w:t>
            </w: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21"/>
                <w:szCs w:val="21"/>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w w:val="95"/>
              </w:rPr>
              <w:t>(0.19)%</w:t>
            </w: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(0.22)</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70" w:lineRule="exact"/>
        <w:rPr>
          <w:sz w:val="20"/>
          <w:szCs w:val="20"/>
          <w:color w:val="auto"/>
        </w:rPr>
      </w:pPr>
    </w:p>
    <w:p>
      <w:pPr>
        <w:ind w:left="60" w:right="360"/>
        <w:spacing w:after="0" w:line="264" w:lineRule="auto"/>
        <w:rPr>
          <w:sz w:val="20"/>
          <w:szCs w:val="20"/>
          <w:color w:val="auto"/>
        </w:rPr>
      </w:pPr>
      <w:r>
        <w:rPr>
          <w:rFonts w:ascii="Arial" w:cs="Arial" w:eastAsia="Arial" w:hAnsi="Arial"/>
          <w:sz w:val="18"/>
          <w:szCs w:val="18"/>
          <w:color w:val="auto"/>
        </w:rPr>
        <w:t>In March 2015, we issued $750.0 million 3.0% notes due March 2025. In April 2015, we repurchased the $612.5 million 4.40% notes due March 2018. These transactions decreased weighted average borrowings outstanding, weighted average effective yield and average cost of borrowings for the first six months of 2016 when compared with the same period in 2015.</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increases in equity in net earnings (losses) of unconsolidated subsidiaries in the second quarter and first six months of 2016 when compared with the same periods in 2015.</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April 2015, we repurchased the $612.5 million fixed rate notes due 2018 and paid a call premium of $60.5 million. As a result of the transaction, we recognized debt prepayment costs of $61.8 million in the second quarter of 2015, which included the call premium and was included in other non-operating income (expense). In the first quarter of 2015, we received a termination fee of $22.5 million, net of the portion paid to outside advisers, related to our proposed acquisition of GFI Group Inc. (GFI Group), which was classified as income within other non-operating income (expense). In the second quarter and first six months of 2016 when compared with the same periods in 2015, we recognized higher expenses related to the distribution of interest earned on performance bond collateral reinvestment to the clearing firms. This expense is included in other non-operating income (expense).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43.5%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39.9%</w:t>
            </w: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r>
    </w:tbl>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the second quarter and first six months of 2016 when compared with the same periods in 2015, the effective tax rates were higher due to additional tax expense recognized from the remeasurement of tax positions resulting from a state and local income tax law change in the second quarter of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increased in the first six months of 2016 when compared with the same period of 2015.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net cash provided by operating activities was largely attributable to higher clearing and transaction fees resulting from an increase in volume. Net cash used in investing activities increased in the first six months of 2016 when compared with the same period of 2015 due to proceeds received in the second quarter of 2015 from our sale of BM&amp;FBOVESPA shares. Cash used in financing activities was higher in the first six months of 2016 when compared with the same period in 2015. The increase was attributable to higher cash dividends paid in the first six months of 2016 when compared with the same period in 2015. The increase was partially offset by proceeds from a finance lease obligation related to the sale-leaseback of the datacenter in the first quarter of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June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we sold our datacenter in the Chicago area for $130.0 million. At the time of the sale, we leased back a portion of the property. Under generally accepted accounting principles, the transaction has been accounted for under the financing method instead of a sale-leaseback arrangement because our participation in future revenues and development work constitute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2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June 30, 2016, guaranty funds available to collateralize the facility totaled $6.8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June 30, 2016,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June 30, 2016, the letters of credit totaled $760.0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June 30,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$1.2 billion and $1.7 billion at June 30, 2016 and December 31, 2015,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August 3, 2016, CME Group’s board of directors declared a regular quarterly dividend of $0.60 per share payable on September 26, 2016 to the shareholders of record as of September 9, 2016.</w:t>
      </w:r>
    </w:p>
    <w:p>
      <w:pPr>
        <w:spacing w:after="0" w:line="14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August 2015, FASB extended the deadline by one year. This guidance may be adopted using one of two transition methods, which we are still evaluating along with the impact of the new standard on our consolidated financial statements.</w:t>
      </w:r>
    </w:p>
    <w:p>
      <w:pPr>
        <w:spacing w:after="0" w:line="1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2016, the FASB issued a standards update that will change certain aspects of accounting for share-based payments to employees. The guidance will require that all income tax effects of awards to be recognized in the income statement when the awards vest or are settled. It will also allow an employer to repurchase more of an employee’s shares for tax withholding purposes without triggering liability accounting and to make a policy election to account for forfeitures as they occur. The update is effective for reporting periods beginning after December 15, 2016. Early adoption is permitted. If this guidance is early adopted during an interim period, any adjustments must be reflected as of the beginning of the fiscal year that includes the interim period. We are in the process of evaluating the impact of this update on our consolidated financial statements.</w:t>
      </w:r>
    </w:p>
    <w:p>
      <w:pPr>
        <w:spacing w:after="0" w:line="1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2015. Refer to Item 7A. of CME Group’s Annual Report on Form 10-K for the year ended December 31, 2015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64"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period covered by this report. Based on such evaluation, our Chief Executive Officer and Chief Financial Officer have concluded that, as of the end of such period, our disclosure controls and procedures are effective.</w:t>
      </w:r>
    </w:p>
    <w:p>
      <w:pPr>
        <w:spacing w:after="0" w:line="170" w:lineRule="exact"/>
        <w:rPr>
          <w:sz w:val="20"/>
          <w:szCs w:val="20"/>
          <w:color w:val="auto"/>
        </w:rPr>
      </w:pPr>
    </w:p>
    <w:p>
      <w:pPr>
        <w:ind w:right="60" w:firstLine="8"/>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26, 2016.</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26, 2016.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96.95</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93.62</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1,412</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94.50</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94.49</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2,071 shares of Class A common stock surrendered in the second quarter of 2016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3620" w:type="dxa"/>
            <w:vAlign w:val="bottom"/>
          </w:tcPr>
          <w:p>
            <w:pPr>
              <w:spacing w:after="0"/>
              <w:rPr>
                <w:sz w:val="24"/>
                <w:szCs w:val="24"/>
                <w:color w:val="auto"/>
              </w:rPr>
            </w:pPr>
          </w:p>
        </w:tc>
      </w:tr>
      <w:tr>
        <w:trPr>
          <w:trHeight w:val="581"/>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08"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August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5"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August 4, 2016</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August 4, 2016</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2016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2019-12-29T10:29:50Z</dcterms:created>
  <dcterms:modified xsi:type="dcterms:W3CDTF">2019-12-29T10:29:50Z</dcterms:modified>
</cp:coreProperties>
</file>