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000" w:right="2400" w:hanging="3992"/>
        <w:spacing w:after="0" w:line="355" w:lineRule="auto"/>
        <w:tabs>
          <w:tab w:leader="none" w:pos="45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2009</w:t>
      </w:r>
    </w:p>
    <w:p>
      <w:pPr>
        <w:spacing w:after="0" w:line="267" w:lineRule="exact"/>
        <w:rPr>
          <w:sz w:val="24"/>
          <w:szCs w:val="24"/>
          <w:color w:val="auto"/>
        </w:rPr>
      </w:pPr>
    </w:p>
    <w:p>
      <w:pPr>
        <w:ind w:left="4360" w:right="2040" w:hanging="4352"/>
        <w:spacing w:after="0" w:line="369" w:lineRule="auto"/>
        <w:tabs>
          <w:tab w:leader="none" w:pos="463"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001-31553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33655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4"/>
          <w:szCs w:val="24"/>
          <w:color w:val="auto"/>
        </w:rPr>
      </w:pPr>
    </w:p>
    <w:tbl>
      <w:tblPr>
        <w:tblLayout w:type="fixed"/>
        <w:tblInd w:w="1340" w:type="dxa"/>
        <w:tblCellMar>
          <w:top w:w="0" w:type="dxa"/>
          <w:left w:w="0" w:type="dxa"/>
          <w:bottom w:w="0" w:type="dxa"/>
          <w:right w:w="0" w:type="dxa"/>
        </w:tblCellMar>
      </w:tblPr>
      <w:tr>
        <w:trPr>
          <w:trHeight w:val="218"/>
        </w:trPr>
        <w:tc>
          <w:tcPr>
            <w:tcW w:w="4940" w:type="dxa"/>
            <w:vAlign w:val="bottom"/>
          </w:tcPr>
          <w:p>
            <w:pPr>
              <w:jc w:val="center"/>
              <w:ind w:right="1804"/>
              <w:spacing w:after="0"/>
              <w:rPr>
                <w:sz w:val="20"/>
                <w:szCs w:val="20"/>
                <w:color w:val="auto"/>
              </w:rPr>
            </w:pPr>
            <w:r>
              <w:rPr>
                <w:rFonts w:ascii="Arial" w:cs="Arial" w:eastAsia="Arial" w:hAnsi="Arial"/>
                <w:sz w:val="18"/>
                <w:szCs w:val="18"/>
                <w:b w:val="1"/>
                <w:bCs w:val="1"/>
                <w:color w:val="auto"/>
                <w:w w:val="88"/>
              </w:rPr>
              <w:t>Delaware</w:t>
            </w:r>
          </w:p>
        </w:tc>
        <w:tc>
          <w:tcPr>
            <w:tcW w:w="2940" w:type="dxa"/>
            <w:vAlign w:val="bottom"/>
          </w:tcPr>
          <w:p>
            <w:pPr>
              <w:jc w:val="right"/>
              <w:ind w:right="44"/>
              <w:spacing w:after="0"/>
              <w:rPr>
                <w:sz w:val="20"/>
                <w:szCs w:val="20"/>
                <w:color w:val="auto"/>
              </w:rPr>
            </w:pPr>
            <w:r>
              <w:rPr>
                <w:rFonts w:ascii="Arial" w:cs="Arial" w:eastAsia="Arial" w:hAnsi="Arial"/>
                <w:sz w:val="18"/>
                <w:szCs w:val="18"/>
                <w:b w:val="1"/>
                <w:bCs w:val="1"/>
                <w:color w:val="auto"/>
              </w:rPr>
              <w:t>36-4459170</w:t>
            </w:r>
          </w:p>
        </w:tc>
      </w:tr>
      <w:tr>
        <w:trPr>
          <w:trHeight w:val="149"/>
        </w:trPr>
        <w:tc>
          <w:tcPr>
            <w:tcW w:w="4940" w:type="dxa"/>
            <w:vAlign w:val="bottom"/>
          </w:tcPr>
          <w:p>
            <w:pPr>
              <w:jc w:val="center"/>
              <w:ind w:right="1804"/>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940" w:type="dxa"/>
            <w:vAlign w:val="bottom"/>
          </w:tcPr>
          <w:p>
            <w:pPr>
              <w:jc w:val="center"/>
              <w:ind w:left="17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940" w:type="dxa"/>
            <w:vAlign w:val="bottom"/>
          </w:tcPr>
          <w:p>
            <w:pPr>
              <w:jc w:val="center"/>
              <w:ind w:right="1804"/>
              <w:spacing w:after="0"/>
              <w:rPr>
                <w:sz w:val="20"/>
                <w:szCs w:val="20"/>
                <w:color w:val="auto"/>
              </w:rPr>
            </w:pPr>
            <w:r>
              <w:rPr>
                <w:rFonts w:ascii="Arial" w:cs="Arial" w:eastAsia="Arial" w:hAnsi="Arial"/>
                <w:sz w:val="14"/>
                <w:szCs w:val="14"/>
                <w:b w:val="1"/>
                <w:bCs w:val="1"/>
                <w:color w:val="auto"/>
                <w:w w:val="89"/>
              </w:rPr>
              <w:t>Incorporation or Organization)</w:t>
            </w:r>
          </w:p>
        </w:tc>
        <w:tc>
          <w:tcPr>
            <w:tcW w:w="2940" w:type="dxa"/>
            <w:vAlign w:val="bottom"/>
          </w:tcPr>
          <w:p>
            <w:pPr>
              <w:jc w:val="center"/>
              <w:ind w:left="18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940" w:type="dxa"/>
            <w:vAlign w:val="bottom"/>
          </w:tcPr>
          <w:p>
            <w:pPr>
              <w:jc w:val="center"/>
              <w:ind w:right="1804"/>
              <w:spacing w:after="0"/>
              <w:rPr>
                <w:sz w:val="20"/>
                <w:szCs w:val="20"/>
                <w:color w:val="auto"/>
              </w:rPr>
            </w:pPr>
            <w:r>
              <w:rPr>
                <w:rFonts w:ascii="Arial" w:cs="Arial" w:eastAsia="Arial" w:hAnsi="Arial"/>
                <w:sz w:val="18"/>
                <w:szCs w:val="18"/>
                <w:b w:val="1"/>
                <w:bCs w:val="1"/>
                <w:color w:val="auto"/>
                <w:w w:val="89"/>
              </w:rPr>
              <w:t>20 South Wacker Drive, Chicago, Illinois</w:t>
            </w:r>
          </w:p>
        </w:tc>
        <w:tc>
          <w:tcPr>
            <w:tcW w:w="2940" w:type="dxa"/>
            <w:vAlign w:val="bottom"/>
          </w:tcPr>
          <w:p>
            <w:pPr>
              <w:jc w:val="right"/>
              <w:ind w:right="244"/>
              <w:spacing w:after="0"/>
              <w:rPr>
                <w:sz w:val="20"/>
                <w:szCs w:val="20"/>
                <w:color w:val="auto"/>
              </w:rPr>
            </w:pPr>
            <w:r>
              <w:rPr>
                <w:rFonts w:ascii="Arial" w:cs="Arial" w:eastAsia="Arial" w:hAnsi="Arial"/>
                <w:sz w:val="18"/>
                <w:szCs w:val="18"/>
                <w:b w:val="1"/>
                <w:bCs w:val="1"/>
                <w:color w:val="auto"/>
              </w:rPr>
              <w:t>60606</w:t>
            </w:r>
          </w:p>
        </w:tc>
      </w:tr>
      <w:tr>
        <w:trPr>
          <w:trHeight w:val="174"/>
        </w:trPr>
        <w:tc>
          <w:tcPr>
            <w:tcW w:w="4940" w:type="dxa"/>
            <w:vAlign w:val="bottom"/>
          </w:tcPr>
          <w:p>
            <w:pPr>
              <w:jc w:val="center"/>
              <w:ind w:right="180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940" w:type="dxa"/>
            <w:vAlign w:val="bottom"/>
          </w:tcPr>
          <w:p>
            <w:pPr>
              <w:jc w:val="center"/>
              <w:ind w:left="1804"/>
              <w:spacing w:after="0"/>
              <w:rPr>
                <w:sz w:val="20"/>
                <w:szCs w:val="20"/>
                <w:color w:val="auto"/>
              </w:rPr>
            </w:pPr>
            <w:r>
              <w:rPr>
                <w:rFonts w:ascii="Arial" w:cs="Arial" w:eastAsia="Arial" w:hAnsi="Arial"/>
                <w:sz w:val="14"/>
                <w:szCs w:val="14"/>
                <w:b w:val="1"/>
                <w:bCs w:val="1"/>
                <w:color w:val="auto"/>
                <w:w w:val="89"/>
              </w:rPr>
              <w:t>(Zip Code)</w:t>
            </w:r>
          </w:p>
        </w:tc>
      </w:tr>
    </w:tbl>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(312) 930-1000</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Title Of Each Class</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130"/>
        </w:trPr>
        <w:tc>
          <w:tcPr>
            <w:tcW w:w="57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86"/>
              </w:rPr>
              <w:t>Class A Common Stock $0.01 par value</w:t>
            </w:r>
          </w:p>
        </w:tc>
        <w:tc>
          <w:tcPr>
            <w:tcW w:w="240" w:type="dxa"/>
            <w:vAlign w:val="bottom"/>
          </w:tcPr>
          <w:p>
            <w:pPr>
              <w:spacing w:after="0"/>
              <w:rPr>
                <w:sz w:val="11"/>
                <w:szCs w:val="11"/>
                <w:color w:val="auto"/>
              </w:rPr>
            </w:pPr>
          </w:p>
        </w:tc>
        <w:tc>
          <w:tcPr>
            <w:tcW w:w="546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6"/>
              </w:rPr>
              <w:t>NASDAQ GLOBAL SELECT MARKET</w:t>
            </w:r>
          </w:p>
        </w:tc>
      </w:tr>
      <w:tr>
        <w:trPr>
          <w:trHeight w:val="149"/>
        </w:trPr>
        <w:tc>
          <w:tcPr>
            <w:tcW w:w="5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(including rights to acquire Series A Junior Participating</w:t>
            </w:r>
          </w:p>
        </w:tc>
        <w:tc>
          <w:tcPr>
            <w:tcW w:w="240" w:type="dxa"/>
            <w:vAlign w:val="bottom"/>
          </w:tcPr>
          <w:p>
            <w:pPr>
              <w:spacing w:after="0"/>
              <w:rPr>
                <w:sz w:val="12"/>
                <w:szCs w:val="12"/>
                <w:color w:val="auto"/>
              </w:rPr>
            </w:pPr>
          </w:p>
        </w:tc>
        <w:tc>
          <w:tcPr>
            <w:tcW w:w="5460" w:type="dxa"/>
            <w:vAlign w:val="bottom"/>
          </w:tcPr>
          <w:p>
            <w:pPr>
              <w:spacing w:after="0"/>
              <w:rPr>
                <w:sz w:val="12"/>
                <w:szCs w:val="12"/>
                <w:color w:val="auto"/>
              </w:rPr>
            </w:pPr>
          </w:p>
        </w:tc>
      </w:tr>
      <w:tr>
        <w:trPr>
          <w:trHeight w:val="174"/>
        </w:trPr>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87"/>
              </w:rPr>
              <w:t>Preferred Stock pursuant to our rights plan)</w:t>
            </w:r>
          </w:p>
        </w:tc>
        <w:tc>
          <w:tcPr>
            <w:tcW w:w="240" w:type="dxa"/>
            <w:vAlign w:val="bottom"/>
          </w:tcPr>
          <w:p>
            <w:pPr>
              <w:spacing w:after="0"/>
              <w:rPr>
                <w:sz w:val="15"/>
                <w:szCs w:val="15"/>
                <w:color w:val="auto"/>
              </w:rPr>
            </w:pPr>
          </w:p>
        </w:tc>
        <w:tc>
          <w:tcPr>
            <w:tcW w:w="54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Securities registered pursuant to Section 12(g) of the Act: Class B common stock, Class B-1, $0.01 par value; Class B common stock, Class B-2, $0.01 par value; Class B common stock, Class B-3, $0.01 par value; and Class B common stock, Class B-4, $0.01 par value (in each case, including rights to acquire Series A Junior Participating Preferred Stock pursuant to our rights plan).</w:t>
      </w:r>
    </w:p>
    <w:p>
      <w:pPr>
        <w:sectPr>
          <w:pgSz w:w="11900" w:h="16838" w:orient="portrait"/>
          <w:cols w:equalWidth="0" w:num="1">
            <w:col w:w="11420"/>
          </w:cols>
          <w:pgMar w:left="240" w:top="314" w:right="239" w:bottom="1440" w:gutter="0" w:footer="0" w:header="0"/>
        </w:sectPr>
      </w:pPr>
    </w:p>
    <w:p>
      <w:pPr>
        <w:spacing w:after="0" w:line="59"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260" w:space="160"/>
            <w:col w:w="260" w:space="80"/>
            <w:col w:w="160" w:space="180"/>
            <w:col w:w="220" w:space="80"/>
            <w:col w:w="2020"/>
          </w:cols>
          <w:pgMar w:left="240" w:top="314"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8400" w:space="180"/>
            <w:col w:w="260" w:space="80"/>
            <w:col w:w="160" w:space="180"/>
            <w:col w:w="220" w:space="80"/>
            <w:col w:w="1860"/>
          </w:cols>
          <w:pgMar w:left="240" w:top="314" w:right="239" w:bottom="1440" w:gutter="0" w:footer="0" w:header="0"/>
          <w:type w:val="continuous"/>
        </w:sect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highlight w:val="black"/>
        </w:rPr>
        <w:t>☐</w:t>
      </w:r>
    </w:p>
    <w:p>
      <w:pPr>
        <w:spacing w:after="0" w:line="57"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right="68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620" w:type="dxa"/>
            <w:vAlign w:val="bottom"/>
          </w:tcPr>
          <w:p>
            <w:pPr>
              <w:spacing w:after="0"/>
              <w:rPr>
                <w:sz w:val="20"/>
                <w:szCs w:val="20"/>
                <w:color w:val="auto"/>
              </w:rPr>
            </w:pPr>
            <w:r>
              <w:rPr>
                <w:rFonts w:ascii="Arial" w:cs="Arial" w:eastAsia="Arial" w:hAnsi="Arial"/>
                <w:sz w:val="18"/>
                <w:szCs w:val="18"/>
                <w:color w:val="auto"/>
                <w:w w:val="89"/>
              </w:rPr>
              <w:t>Large accelerated filer</w:t>
            </w:r>
          </w:p>
        </w:tc>
        <w:tc>
          <w:tcPr>
            <w:tcW w:w="4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spacing w:after="0"/>
              <w:rPr>
                <w:sz w:val="23"/>
                <w:szCs w:val="23"/>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20" w:type="dxa"/>
            <w:vAlign w:val="bottom"/>
          </w:tcPr>
          <w:p>
            <w:pPr>
              <w:spacing w:after="0"/>
              <w:rPr>
                <w:sz w:val="20"/>
                <w:szCs w:val="20"/>
                <w:color w:val="auto"/>
              </w:rPr>
            </w:pPr>
            <w:r>
              <w:rPr>
                <w:rFonts w:ascii="Arial" w:cs="Arial" w:eastAsia="Arial" w:hAnsi="Arial"/>
                <w:sz w:val="18"/>
                <w:szCs w:val="18"/>
                <w:color w:val="auto"/>
                <w:w w:val="96"/>
              </w:rPr>
              <w:t>Non-accelerated filer</w:t>
            </w:r>
          </w:p>
        </w:tc>
        <w:tc>
          <w:tcPr>
            <w:tcW w:w="44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6660" w:type="dxa"/>
            <w:vAlign w:val="bottom"/>
          </w:tcPr>
          <w:p>
            <w:pPr>
              <w:ind w:left="240"/>
              <w:spacing w:after="0"/>
              <w:rPr>
                <w:sz w:val="20"/>
                <w:szCs w:val="20"/>
                <w:color w:val="auto"/>
              </w:rPr>
            </w:pPr>
            <w:r>
              <w:rPr>
                <w:rFonts w:ascii="Arial" w:cs="Arial" w:eastAsia="Arial" w:hAnsi="Arial"/>
                <w:sz w:val="18"/>
                <w:szCs w:val="18"/>
                <w:b w:val="1"/>
                <w:bCs w:val="1"/>
                <w:color w:val="auto"/>
              </w:rPr>
              <w:t>(do not check if a smaller reporting company)</w:t>
            </w:r>
          </w:p>
        </w:tc>
        <w:tc>
          <w:tcPr>
            <w:tcW w:w="2040" w:type="dxa"/>
            <w:vAlign w:val="bottom"/>
          </w:tcPr>
          <w:p>
            <w:pPr>
              <w:ind w:left="80"/>
              <w:spacing w:after="0"/>
              <w:rPr>
                <w:sz w:val="20"/>
                <w:szCs w:val="20"/>
                <w:color w:val="auto"/>
              </w:rPr>
            </w:pPr>
            <w:r>
              <w:rPr>
                <w:rFonts w:ascii="Arial" w:cs="Arial" w:eastAsia="Arial" w:hAnsi="Arial"/>
                <w:sz w:val="18"/>
                <w:szCs w:val="18"/>
                <w:color w:val="auto"/>
                <w:w w:val="90"/>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8720" w:type="dxa"/>
            <w:vAlign w:val="bottom"/>
            <w:gridSpan w:val="3"/>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040" w:type="dxa"/>
            <w:vAlign w:val="bottom"/>
          </w:tcPr>
          <w:p>
            <w:pPr>
              <w:ind w:left="1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200" w:type="dxa"/>
            <w:vAlign w:val="bottom"/>
          </w:tcPr>
          <w:p>
            <w:pPr>
              <w:spacing w:after="0"/>
              <w:rPr>
                <w:sz w:val="24"/>
                <w:szCs w:val="24"/>
                <w:color w:val="auto"/>
              </w:rPr>
            </w:pPr>
          </w:p>
        </w:tc>
      </w:tr>
    </w:tbl>
    <w:p>
      <w:pPr>
        <w:spacing w:after="0" w:line="55" w:lineRule="exact"/>
        <w:rPr>
          <w:sz w:val="24"/>
          <w:szCs w:val="24"/>
          <w:color w:val="auto"/>
        </w:rPr>
      </w:pPr>
    </w:p>
    <w:p>
      <w:pPr>
        <w:ind w:right="100"/>
        <w:spacing w:after="0" w:line="294" w:lineRule="auto"/>
        <w:rPr>
          <w:sz w:val="20"/>
          <w:szCs w:val="20"/>
          <w:color w:val="auto"/>
        </w:rPr>
      </w:pPr>
      <w:r>
        <w:rPr>
          <w:rFonts w:ascii="Arial" w:cs="Arial" w:eastAsia="Arial" w:hAnsi="Arial"/>
          <w:sz w:val="16"/>
          <w:szCs w:val="16"/>
          <w:color w:val="auto"/>
        </w:rPr>
        <w:t>The aggregate market value of the voting stock held by non-affiliates of the registrant as of June 30, 2009, was approximately $20.6 billion (based on the closing price per share of CME Group Inc. Class A common stock on the NASDAQ Global Select Market (NASDAQ) on such date). The number of shares outstanding of each of the registrant’s classes of common stock as of February 17, 2010 was as follows: 66,643,583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700" w:type="dxa"/>
            <w:vAlign w:val="bottom"/>
            <w:tcBorders>
              <w:bottom w:val="single" w:sz="8" w:color="auto"/>
            </w:tcBorders>
          </w:tcPr>
          <w:p>
            <w:pPr>
              <w:ind w:left="2520"/>
              <w:spacing w:after="0"/>
              <w:rPr>
                <w:sz w:val="20"/>
                <w:szCs w:val="20"/>
                <w:color w:val="auto"/>
              </w:rPr>
            </w:pPr>
            <w:r>
              <w:rPr>
                <w:rFonts w:ascii="Arial" w:cs="Arial" w:eastAsia="Arial" w:hAnsi="Arial"/>
                <w:sz w:val="14"/>
                <w:szCs w:val="14"/>
                <w:b w:val="1"/>
                <w:bCs w:val="1"/>
                <w:color w:val="auto"/>
              </w:rPr>
              <w:t>Documents</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Form 10-K Reference</w:t>
            </w:r>
          </w:p>
        </w:tc>
      </w:tr>
      <w:tr>
        <w:trPr>
          <w:trHeight w:val="201"/>
        </w:trPr>
        <w:tc>
          <w:tcPr>
            <w:tcW w:w="20" w:type="dxa"/>
            <w:vAlign w:val="bottom"/>
          </w:tcPr>
          <w:p>
            <w:pPr>
              <w:spacing w:after="0"/>
              <w:rPr>
                <w:sz w:val="17"/>
                <w:szCs w:val="17"/>
                <w:color w:val="auto"/>
              </w:rPr>
            </w:pPr>
          </w:p>
        </w:tc>
        <w:tc>
          <w:tcPr>
            <w:tcW w:w="5700" w:type="dxa"/>
            <w:vAlign w:val="bottom"/>
          </w:tcPr>
          <w:p>
            <w:pPr>
              <w:spacing w:after="0" w:line="201" w:lineRule="exact"/>
              <w:rPr>
                <w:sz w:val="20"/>
                <w:szCs w:val="20"/>
                <w:color w:val="auto"/>
              </w:rPr>
            </w:pPr>
            <w:r>
              <w:rPr>
                <w:rFonts w:ascii="Arial" w:cs="Arial" w:eastAsia="Arial" w:hAnsi="Arial"/>
                <w:sz w:val="18"/>
                <w:szCs w:val="18"/>
                <w:color w:val="auto"/>
                <w:w w:val="94"/>
              </w:rPr>
              <w:t>Portions of the Company’s Proxy Statement for the 2010 Annual Meeting of</w:t>
            </w:r>
          </w:p>
        </w:tc>
        <w:tc>
          <w:tcPr>
            <w:tcW w:w="240" w:type="dxa"/>
            <w:vAlign w:val="bottom"/>
          </w:tcPr>
          <w:p>
            <w:pPr>
              <w:spacing w:after="0"/>
              <w:rPr>
                <w:sz w:val="17"/>
                <w:szCs w:val="17"/>
                <w:color w:val="auto"/>
              </w:rPr>
            </w:pPr>
          </w:p>
        </w:tc>
        <w:tc>
          <w:tcPr>
            <w:tcW w:w="5460" w:type="dxa"/>
            <w:vAlign w:val="bottom"/>
          </w:tcPr>
          <w:p>
            <w:pPr>
              <w:jc w:val="center"/>
              <w:spacing w:after="0" w:line="201" w:lineRule="exact"/>
              <w:rPr>
                <w:sz w:val="20"/>
                <w:szCs w:val="20"/>
                <w:color w:val="auto"/>
              </w:rPr>
            </w:pPr>
            <w:r>
              <w:rPr>
                <w:rFonts w:ascii="Arial" w:cs="Arial" w:eastAsia="Arial" w:hAnsi="Arial"/>
                <w:sz w:val="18"/>
                <w:szCs w:val="18"/>
                <w:color w:val="auto"/>
                <w:w w:val="94"/>
              </w:rPr>
              <w:t>Part III</w:t>
            </w:r>
          </w:p>
        </w:tc>
      </w:tr>
      <w:tr>
        <w:trPr>
          <w:trHeight w:val="222"/>
        </w:trPr>
        <w:tc>
          <w:tcPr>
            <w:tcW w:w="20" w:type="dxa"/>
            <w:vAlign w:val="bottom"/>
          </w:tcPr>
          <w:p>
            <w:pPr>
              <w:spacing w:after="0"/>
              <w:rPr>
                <w:sz w:val="19"/>
                <w:szCs w:val="19"/>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240" w:type="dxa"/>
            <w:vAlign w:val="bottom"/>
          </w:tcPr>
          <w:p>
            <w:pPr>
              <w:spacing w:after="0"/>
              <w:rPr>
                <w:sz w:val="19"/>
                <w:szCs w:val="19"/>
                <w:color w:val="auto"/>
              </w:rPr>
            </w:pPr>
          </w:p>
        </w:tc>
        <w:tc>
          <w:tcPr>
            <w:tcW w:w="5460" w:type="dxa"/>
            <w:vAlign w:val="bottom"/>
          </w:tcPr>
          <w:p>
            <w:pPr>
              <w:spacing w:after="0"/>
              <w:rPr>
                <w:sz w:val="19"/>
                <w:szCs w:val="19"/>
                <w:color w:val="auto"/>
              </w:rPr>
            </w:pPr>
          </w:p>
        </w:tc>
      </w:tr>
      <w:tr>
        <w:trPr>
          <w:trHeight w:val="70"/>
        </w:trPr>
        <w:tc>
          <w:tcPr>
            <w:tcW w:w="20" w:type="dxa"/>
            <w:vAlign w:val="bottom"/>
          </w:tcPr>
          <w:p>
            <w:pPr>
              <w:spacing w:after="0"/>
              <w:rPr>
                <w:sz w:val="6"/>
                <w:szCs w:val="6"/>
                <w:color w:val="auto"/>
              </w:rPr>
            </w:pPr>
          </w:p>
        </w:tc>
        <w:tc>
          <w:tcPr>
            <w:tcW w:w="57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5460" w:type="dxa"/>
            <w:vAlign w:val="bottom"/>
            <w:tcBorders>
              <w:bottom w:val="single" w:sz="8" w:color="auto"/>
            </w:tcBorders>
          </w:tcPr>
          <w:p>
            <w:pPr>
              <w:spacing w:after="0"/>
              <w:rPr>
                <w:sz w:val="6"/>
                <w:szCs w:val="6"/>
                <w:color w:val="auto"/>
              </w:rPr>
            </w:pPr>
          </w:p>
        </w:tc>
      </w:tr>
      <w:tr>
        <w:trPr>
          <w:trHeight w:val="21"/>
        </w:trPr>
        <w:tc>
          <w:tcPr>
            <w:tcW w:w="20" w:type="dxa"/>
            <w:vAlign w:val="bottom"/>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314" w:right="239" w:bottom="1440" w:gutter="0" w:footer="0" w:header="0"/>
          <w:type w:val="continuous"/>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160" w:type="dxa"/>
            <w:vAlign w:val="bottom"/>
            <w:gridSpan w:val="8"/>
          </w:tcPr>
          <w:p>
            <w:pPr>
              <w:jc w:val="center"/>
              <w:ind w:right="4540"/>
              <w:spacing w:after="0"/>
              <w:rPr>
                <w:sz w:val="20"/>
                <w:szCs w:val="20"/>
                <w:color w:val="auto"/>
              </w:rPr>
            </w:pPr>
            <w:r>
              <w:rPr>
                <w:rFonts w:ascii="Arial" w:cs="Arial" w:eastAsia="Arial" w:hAnsi="Arial"/>
                <w:sz w:val="18"/>
                <w:szCs w:val="18"/>
                <w:b w:val="1"/>
                <w:bCs w:val="1"/>
                <w:color w:val="auto"/>
                <w:w w:val="98"/>
              </w:rPr>
              <w:t>CME GROUP INC.</w:t>
            </w:r>
          </w:p>
        </w:tc>
        <w:tc>
          <w:tcPr>
            <w:tcW w:w="360" w:type="dxa"/>
            <w:vAlign w:val="bottom"/>
          </w:tcPr>
          <w:p>
            <w:pPr>
              <w:spacing w:after="0"/>
              <w:rPr>
                <w:sz w:val="19"/>
                <w:szCs w:val="19"/>
                <w:color w:val="auto"/>
              </w:rPr>
            </w:pPr>
          </w:p>
        </w:tc>
      </w:tr>
      <w:tr>
        <w:trPr>
          <w:trHeight w:val="297"/>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80" w:type="dxa"/>
            <w:vAlign w:val="bottom"/>
            <w:gridSpan w:val="11"/>
          </w:tcPr>
          <w:p>
            <w:pPr>
              <w:jc w:val="center"/>
              <w:ind w:right="3620"/>
              <w:spacing w:after="0"/>
              <w:rPr>
                <w:sz w:val="20"/>
                <w:szCs w:val="20"/>
                <w:color w:val="auto"/>
              </w:rPr>
            </w:pPr>
            <w:r>
              <w:rPr>
                <w:rFonts w:ascii="Arial" w:cs="Arial" w:eastAsia="Arial" w:hAnsi="Arial"/>
                <w:sz w:val="18"/>
                <w:szCs w:val="18"/>
                <w:b w:val="1"/>
                <w:bCs w:val="1"/>
                <w:color w:val="auto"/>
                <w:w w:val="97"/>
              </w:rPr>
              <w:t>ANNUAL REPORT ON FORM 10-K</w:t>
            </w:r>
          </w:p>
        </w:tc>
        <w:tc>
          <w:tcPr>
            <w:tcW w:w="360" w:type="dxa"/>
            <w:vAlign w:val="bottom"/>
          </w:tcPr>
          <w:p>
            <w:pPr>
              <w:spacing w:after="0"/>
              <w:rPr>
                <w:sz w:val="24"/>
                <w:szCs w:val="24"/>
                <w:color w:val="auto"/>
              </w:rPr>
            </w:pPr>
          </w:p>
        </w:tc>
      </w:tr>
      <w:tr>
        <w:trPr>
          <w:trHeight w:val="297"/>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780" w:type="dxa"/>
            <w:vAlign w:val="bottom"/>
            <w:gridSpan w:val="7"/>
          </w:tcPr>
          <w:p>
            <w:pPr>
              <w:jc w:val="center"/>
              <w:ind w:right="4900"/>
              <w:spacing w:after="0"/>
              <w:rPr>
                <w:sz w:val="20"/>
                <w:szCs w:val="20"/>
                <w:color w:val="auto"/>
              </w:rPr>
            </w:pPr>
            <w:r>
              <w:rPr>
                <w:rFonts w:ascii="Arial" w:cs="Arial" w:eastAsia="Arial" w:hAnsi="Arial"/>
                <w:sz w:val="18"/>
                <w:szCs w:val="18"/>
                <w:b w:val="1"/>
                <w:bCs w:val="1"/>
                <w:color w:val="auto"/>
              </w:rPr>
              <w:t>INDEX</w:t>
            </w:r>
          </w:p>
        </w:tc>
        <w:tc>
          <w:tcPr>
            <w:tcW w:w="360" w:type="dxa"/>
            <w:vAlign w:val="bottom"/>
          </w:tcPr>
          <w:p>
            <w:pPr>
              <w:spacing w:after="0"/>
              <w:rPr>
                <w:sz w:val="24"/>
                <w:szCs w:val="24"/>
                <w:color w:val="auto"/>
              </w:rPr>
            </w:pPr>
          </w:p>
        </w:tc>
      </w:tr>
      <w:tr>
        <w:trPr>
          <w:trHeight w:val="353"/>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77"/>
        </w:trPr>
        <w:tc>
          <w:tcPr>
            <w:tcW w:w="620" w:type="dxa"/>
            <w:vAlign w:val="bottom"/>
            <w:tcBorders>
              <w:bottom w:val="single" w:sz="8" w:color="0000EE"/>
            </w:tcBorders>
          </w:tcPr>
          <w:p>
            <w:pPr>
              <w:spacing w:after="0"/>
              <w:rPr>
                <w:rFonts w:ascii="Arial" w:cs="Arial" w:eastAsia="Arial" w:hAnsi="Arial"/>
                <w:sz w:val="18"/>
                <w:szCs w:val="18"/>
                <w:b w:val="1"/>
                <w:bCs w:val="1"/>
                <w:color w:val="0000EE"/>
                <w:w w:val="93"/>
              </w:rPr>
            </w:pPr>
            <w:hyperlink w:anchor="page3">
              <w:r>
                <w:rPr>
                  <w:rFonts w:ascii="Arial" w:cs="Arial" w:eastAsia="Arial" w:hAnsi="Arial"/>
                  <w:sz w:val="18"/>
                  <w:szCs w:val="18"/>
                  <w:b w:val="1"/>
                  <w:bCs w:val="1"/>
                  <w:color w:val="0000EE"/>
                  <w:w w:val="93"/>
                </w:rPr>
                <w:t>PART I.</w:t>
              </w:r>
            </w:hyperlink>
          </w:p>
        </w:tc>
        <w:tc>
          <w:tcPr>
            <w:tcW w:w="40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1.</w:t>
            </w:r>
          </w:p>
        </w:tc>
        <w:tc>
          <w:tcPr>
            <w:tcW w:w="10040" w:type="dxa"/>
            <w:vAlign w:val="bottom"/>
            <w:gridSpan w:val="21"/>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Business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1A.</w:t>
            </w:r>
          </w:p>
        </w:tc>
        <w:tc>
          <w:tcPr>
            <w:tcW w:w="960" w:type="dxa"/>
            <w:vAlign w:val="bottom"/>
            <w:tcBorders>
              <w:bottom w:val="single" w:sz="8" w:color="0000EE"/>
            </w:tcBorders>
            <w:gridSpan w:val="3"/>
          </w:tcPr>
          <w:p>
            <w:pPr>
              <w:spacing w:after="0"/>
              <w:rPr>
                <w:rFonts w:ascii="Arial" w:cs="Arial" w:eastAsia="Arial" w:hAnsi="Arial"/>
                <w:sz w:val="18"/>
                <w:szCs w:val="18"/>
                <w:b w:val="1"/>
                <w:bCs w:val="1"/>
                <w:color w:val="0000EE"/>
                <w:w w:val="86"/>
              </w:rPr>
            </w:pPr>
            <w:hyperlink w:anchor="page32">
              <w:r>
                <w:rPr>
                  <w:rFonts w:ascii="Arial" w:cs="Arial" w:eastAsia="Arial" w:hAnsi="Arial"/>
                  <w:sz w:val="18"/>
                  <w:szCs w:val="18"/>
                  <w:b w:val="1"/>
                  <w:bCs w:val="1"/>
                  <w:color w:val="0000EE"/>
                  <w:w w:val="86"/>
                </w:rPr>
                <w:t>Risk Factors</w:t>
              </w:r>
            </w:hyperlink>
          </w:p>
        </w:tc>
        <w:tc>
          <w:tcPr>
            <w:tcW w:w="9080" w:type="dxa"/>
            <w:vAlign w:val="bottom"/>
            <w:gridSpan w:val="18"/>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1B.</w:t>
            </w:r>
          </w:p>
        </w:tc>
        <w:tc>
          <w:tcPr>
            <w:tcW w:w="10040" w:type="dxa"/>
            <w:vAlign w:val="bottom"/>
            <w:gridSpan w:val="21"/>
          </w:tcPr>
          <w:p>
            <w:pPr>
              <w:spacing w:after="0"/>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Unresolved Staff Comments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2.</w:t>
            </w:r>
          </w:p>
        </w:tc>
        <w:tc>
          <w:tcPr>
            <w:tcW w:w="78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85"/>
              </w:rPr>
            </w:pPr>
            <w:hyperlink w:anchor="page47">
              <w:r>
                <w:rPr>
                  <w:rFonts w:ascii="Arial" w:cs="Arial" w:eastAsia="Arial" w:hAnsi="Arial"/>
                  <w:sz w:val="18"/>
                  <w:szCs w:val="18"/>
                  <w:b w:val="1"/>
                  <w:bCs w:val="1"/>
                  <w:color w:val="0000EE"/>
                  <w:w w:val="85"/>
                </w:rPr>
                <w:t>Properties</w:t>
              </w:r>
            </w:hyperlink>
          </w:p>
        </w:tc>
        <w:tc>
          <w:tcPr>
            <w:tcW w:w="1320" w:type="dxa"/>
            <w:vAlign w:val="bottom"/>
            <w:tcBorders>
              <w:top w:val="single" w:sz="8" w:color="0000EE"/>
            </w:tcBorders>
            <w:gridSpan w:val="7"/>
          </w:tcPr>
          <w:p>
            <w:pPr>
              <w:spacing w:after="0"/>
              <w:rPr>
                <w:sz w:val="24"/>
                <w:szCs w:val="24"/>
                <w:color w:val="auto"/>
              </w:rPr>
            </w:pPr>
          </w:p>
        </w:tc>
        <w:tc>
          <w:tcPr>
            <w:tcW w:w="7940" w:type="dxa"/>
            <w:vAlign w:val="bottom"/>
            <w:gridSpan w:val="1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3.</w:t>
            </w:r>
          </w:p>
        </w:tc>
        <w:tc>
          <w:tcPr>
            <w:tcW w:w="10040" w:type="dxa"/>
            <w:vAlign w:val="bottom"/>
            <w:gridSpan w:val="21"/>
          </w:tcPr>
          <w:p>
            <w:pPr>
              <w:spacing w:after="0"/>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Legal Proceedings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6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4.</w:t>
            </w:r>
          </w:p>
        </w:tc>
        <w:tc>
          <w:tcPr>
            <w:tcW w:w="10040" w:type="dxa"/>
            <w:vAlign w:val="bottom"/>
            <w:gridSpan w:val="21"/>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Submission of Matters to a Vote of Security Holders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1020" w:type="dxa"/>
            <w:vAlign w:val="bottom"/>
            <w:gridSpan w:val="6"/>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68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Item 5.</w:t>
            </w:r>
          </w:p>
        </w:tc>
        <w:tc>
          <w:tcPr>
            <w:tcW w:w="340" w:type="dxa"/>
            <w:vAlign w:val="bottom"/>
            <w:gridSpan w:val="4"/>
          </w:tcPr>
          <w:p>
            <w:pPr>
              <w:spacing w:after="0"/>
              <w:rPr>
                <w:sz w:val="24"/>
                <w:szCs w:val="24"/>
                <w:color w:val="auto"/>
              </w:rPr>
            </w:pPr>
          </w:p>
        </w:tc>
        <w:tc>
          <w:tcPr>
            <w:tcW w:w="10040" w:type="dxa"/>
            <w:vAlign w:val="bottom"/>
            <w:gridSpan w:val="21"/>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Market for Registrant’s Common Equity, Related Stockholder Matters and Issuer Purchases of Equity Securities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6.</w:t>
            </w:r>
          </w:p>
        </w:tc>
        <w:tc>
          <w:tcPr>
            <w:tcW w:w="8460" w:type="dxa"/>
            <w:vAlign w:val="bottom"/>
            <w:tcBorders>
              <w:top w:val="single" w:sz="8" w:color="0000EE"/>
            </w:tcBorders>
            <w:gridSpan w:val="20"/>
          </w:tcPr>
          <w:p>
            <w:pPr>
              <w:spacing w:after="0"/>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Selected Financial Data</w:t>
              </w:r>
            </w:hyperlink>
          </w:p>
        </w:tc>
        <w:tc>
          <w:tcPr>
            <w:tcW w:w="15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7.</w:t>
            </w:r>
          </w:p>
        </w:tc>
        <w:tc>
          <w:tcPr>
            <w:tcW w:w="10040" w:type="dxa"/>
            <w:vAlign w:val="bottom"/>
            <w:gridSpan w:val="21"/>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7A.</w:t>
            </w:r>
          </w:p>
        </w:tc>
        <w:tc>
          <w:tcPr>
            <w:tcW w:w="4520" w:type="dxa"/>
            <w:vAlign w:val="bottom"/>
            <w:tcBorders>
              <w:top w:val="single" w:sz="8" w:color="0000EE"/>
              <w:bottom w:val="single" w:sz="8" w:color="0000EE"/>
            </w:tcBorders>
            <w:gridSpan w:val="15"/>
          </w:tcPr>
          <w:p>
            <w:pPr>
              <w:spacing w:after="0"/>
              <w:rPr>
                <w:rFonts w:ascii="Arial" w:cs="Arial" w:eastAsia="Arial" w:hAnsi="Arial"/>
                <w:sz w:val="18"/>
                <w:szCs w:val="18"/>
                <w:b w:val="1"/>
                <w:bCs w:val="1"/>
                <w:color w:val="0000EE"/>
                <w:w w:val="89"/>
              </w:rPr>
            </w:pPr>
            <w:hyperlink w:anchor="page83">
              <w:r>
                <w:rPr>
                  <w:rFonts w:ascii="Arial" w:cs="Arial" w:eastAsia="Arial" w:hAnsi="Arial"/>
                  <w:sz w:val="18"/>
                  <w:szCs w:val="18"/>
                  <w:b w:val="1"/>
                  <w:bCs w:val="1"/>
                  <w:color w:val="0000EE"/>
                  <w:w w:val="89"/>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380" w:type="dxa"/>
            <w:vAlign w:val="bottom"/>
            <w:gridSpan w:val="4"/>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8.</w:t>
            </w:r>
          </w:p>
        </w:tc>
        <w:tc>
          <w:tcPr>
            <w:tcW w:w="10040" w:type="dxa"/>
            <w:vAlign w:val="bottom"/>
            <w:gridSpan w:val="21"/>
          </w:tcPr>
          <w:p>
            <w:pPr>
              <w:spacing w:after="0"/>
              <w:rPr>
                <w:rFonts w:ascii="Arial" w:cs="Arial" w:eastAsia="Arial" w:hAnsi="Arial"/>
                <w:sz w:val="18"/>
                <w:szCs w:val="18"/>
                <w:b w:val="1"/>
                <w:bCs w:val="1"/>
                <w:color w:val="0000EE"/>
              </w:rPr>
            </w:pPr>
            <w:hyperlink w:anchor="page86">
              <w:r>
                <w:rPr>
                  <w:rFonts w:ascii="Arial" w:cs="Arial" w:eastAsia="Arial" w:hAnsi="Arial"/>
                  <w:sz w:val="18"/>
                  <w:szCs w:val="18"/>
                  <w:b w:val="1"/>
                  <w:bCs w:val="1"/>
                  <w:color w:val="0000EE"/>
                </w:rPr>
                <w:t>Financial Statements and Supplementary Data</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9.</w:t>
            </w:r>
          </w:p>
        </w:tc>
        <w:tc>
          <w:tcPr>
            <w:tcW w:w="10040" w:type="dxa"/>
            <w:vAlign w:val="bottom"/>
            <w:gridSpan w:val="21"/>
          </w:tcPr>
          <w:p>
            <w:pPr>
              <w:spacing w:after="0"/>
              <w:rPr>
                <w:rFonts w:ascii="Arial" w:cs="Arial" w:eastAsia="Arial" w:hAnsi="Arial"/>
                <w:sz w:val="18"/>
                <w:szCs w:val="18"/>
                <w:b w:val="1"/>
                <w:bCs w:val="1"/>
                <w:color w:val="0000EE"/>
              </w:rPr>
            </w:pPr>
            <w:hyperlink w:anchor="page131">
              <w:r>
                <w:rPr>
                  <w:rFonts w:ascii="Arial" w:cs="Arial" w:eastAsia="Arial" w:hAnsi="Arial"/>
                  <w:sz w:val="18"/>
                  <w:szCs w:val="18"/>
                  <w:b w:val="1"/>
                  <w:bCs w:val="1"/>
                  <w:color w:val="0000EE"/>
                </w:rPr>
                <w:t>Changes in and Disagreements with Accountants on Accounting and Financial Disclosure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9A.</w:t>
            </w:r>
          </w:p>
        </w:tc>
        <w:tc>
          <w:tcPr>
            <w:tcW w:w="188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6"/>
              </w:rPr>
            </w:pPr>
            <w:hyperlink w:anchor="page131">
              <w:r>
                <w:rPr>
                  <w:rFonts w:ascii="Arial" w:cs="Arial" w:eastAsia="Arial" w:hAnsi="Arial"/>
                  <w:sz w:val="18"/>
                  <w:szCs w:val="18"/>
                  <w:b w:val="1"/>
                  <w:bCs w:val="1"/>
                  <w:color w:val="0000EE"/>
                  <w:w w:val="86"/>
                </w:rPr>
                <w:t>Controls and Procedures</w:t>
              </w:r>
            </w:hyperlink>
          </w:p>
        </w:tc>
        <w:tc>
          <w:tcPr>
            <w:tcW w:w="4800" w:type="dxa"/>
            <w:vAlign w:val="bottom"/>
            <w:tcBorders>
              <w:top w:val="single" w:sz="8" w:color="0000EE"/>
            </w:tcBorders>
            <w:gridSpan w:val="10"/>
          </w:tcPr>
          <w:p>
            <w:pPr>
              <w:spacing w:after="0"/>
              <w:rPr>
                <w:sz w:val="24"/>
                <w:szCs w:val="24"/>
                <w:color w:val="auto"/>
              </w:rPr>
            </w:pPr>
          </w:p>
        </w:tc>
        <w:tc>
          <w:tcPr>
            <w:tcW w:w="336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9B.</w:t>
            </w:r>
          </w:p>
        </w:tc>
        <w:tc>
          <w:tcPr>
            <w:tcW w:w="10040" w:type="dxa"/>
            <w:vAlign w:val="bottom"/>
            <w:gridSpan w:val="21"/>
          </w:tcPr>
          <w:p>
            <w:pPr>
              <w:spacing w:after="0"/>
              <w:rPr>
                <w:rFonts w:ascii="Arial" w:cs="Arial" w:eastAsia="Arial" w:hAnsi="Arial"/>
                <w:sz w:val="18"/>
                <w:szCs w:val="18"/>
                <w:b w:val="1"/>
                <w:bCs w:val="1"/>
                <w:color w:val="0000EE"/>
              </w:rPr>
            </w:pPr>
            <w:hyperlink w:anchor="page134">
              <w:r>
                <w:rPr>
                  <w:rFonts w:ascii="Arial" w:cs="Arial" w:eastAsia="Arial" w:hAnsi="Arial"/>
                  <w:sz w:val="18"/>
                  <w:szCs w:val="18"/>
                  <w:b w:val="1"/>
                  <w:bCs w:val="1"/>
                  <w:color w:val="0000EE"/>
                </w:rPr>
                <w:t>Other Information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b w:val="1"/>
                <w:bCs w:val="1"/>
                <w:color w:val="0000EE"/>
                <w:w w:val="99"/>
              </w:rPr>
            </w:pPr>
            <w:hyperlink w:anchor="page135">
              <w:r>
                <w:rPr>
                  <w:rFonts w:ascii="Arial" w:cs="Arial" w:eastAsia="Arial" w:hAnsi="Arial"/>
                  <w:sz w:val="18"/>
                  <w:szCs w:val="18"/>
                  <w:b w:val="1"/>
                  <w:bCs w:val="1"/>
                  <w:color w:val="0000EE"/>
                  <w:w w:val="99"/>
                </w:rPr>
                <w:t>PART III.</w:t>
              </w:r>
            </w:hyperlink>
          </w:p>
        </w:tc>
        <w:tc>
          <w:tcPr>
            <w:tcW w:w="2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10.</w:t>
            </w:r>
          </w:p>
        </w:tc>
        <w:tc>
          <w:tcPr>
            <w:tcW w:w="10040" w:type="dxa"/>
            <w:vAlign w:val="bottom"/>
            <w:gridSpan w:val="21"/>
          </w:tcPr>
          <w:p>
            <w:pPr>
              <w:spacing w:after="0"/>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Directors, Executive Officers and Corporate Governance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11.</w:t>
            </w:r>
          </w:p>
        </w:tc>
        <w:tc>
          <w:tcPr>
            <w:tcW w:w="186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5"/>
              </w:rPr>
            </w:pPr>
            <w:hyperlink w:anchor="page135">
              <w:r>
                <w:rPr>
                  <w:rFonts w:ascii="Arial" w:cs="Arial" w:eastAsia="Arial" w:hAnsi="Arial"/>
                  <w:sz w:val="18"/>
                  <w:szCs w:val="18"/>
                  <w:b w:val="1"/>
                  <w:bCs w:val="1"/>
                  <w:color w:val="0000EE"/>
                  <w:w w:val="85"/>
                </w:rPr>
                <w:t>Executive Compensation</w:t>
              </w:r>
            </w:hyperlink>
          </w:p>
        </w:tc>
        <w:tc>
          <w:tcPr>
            <w:tcW w:w="2400" w:type="dxa"/>
            <w:vAlign w:val="bottom"/>
            <w:tcBorders>
              <w:top w:val="single" w:sz="8" w:color="0000EE"/>
            </w:tcBorders>
            <w:gridSpan w:val="7"/>
          </w:tcPr>
          <w:p>
            <w:pPr>
              <w:spacing w:after="0"/>
              <w:rPr>
                <w:sz w:val="24"/>
                <w:szCs w:val="24"/>
                <w:color w:val="auto"/>
              </w:rPr>
            </w:pPr>
          </w:p>
        </w:tc>
        <w:tc>
          <w:tcPr>
            <w:tcW w:w="578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12.</w:t>
            </w:r>
          </w:p>
        </w:tc>
        <w:tc>
          <w:tcPr>
            <w:tcW w:w="10040" w:type="dxa"/>
            <w:vAlign w:val="bottom"/>
            <w:gridSpan w:val="21"/>
          </w:tcPr>
          <w:p>
            <w:pPr>
              <w:spacing w:after="0"/>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Security Ownership of Certain Beneficial Owners and Management and Related Shareholder Matters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13.</w:t>
            </w:r>
          </w:p>
        </w:tc>
        <w:tc>
          <w:tcPr>
            <w:tcW w:w="5400" w:type="dxa"/>
            <w:vAlign w:val="bottom"/>
            <w:tcBorders>
              <w:top w:val="single" w:sz="8" w:color="0000EE"/>
              <w:bottom w:val="single" w:sz="8" w:color="0000EE"/>
            </w:tcBorders>
            <w:gridSpan w:val="16"/>
          </w:tcPr>
          <w:p>
            <w:pPr>
              <w:spacing w:after="0"/>
              <w:rPr>
                <w:rFonts w:ascii="Arial" w:cs="Arial" w:eastAsia="Arial" w:hAnsi="Arial"/>
                <w:sz w:val="18"/>
                <w:szCs w:val="18"/>
                <w:b w:val="1"/>
                <w:bCs w:val="1"/>
                <w:color w:val="0000EE"/>
                <w:w w:val="87"/>
              </w:rPr>
            </w:pPr>
            <w:hyperlink w:anchor="page136">
              <w:r>
                <w:rPr>
                  <w:rFonts w:ascii="Arial" w:cs="Arial" w:eastAsia="Arial" w:hAnsi="Arial"/>
                  <w:sz w:val="18"/>
                  <w:szCs w:val="18"/>
                  <w:b w:val="1"/>
                  <w:bCs w:val="1"/>
                  <w:color w:val="0000EE"/>
                  <w:w w:val="87"/>
                </w:rPr>
                <w:t>Certain Relationships, Related Transactions and Director Independence</w:t>
              </w:r>
            </w:hyperlink>
          </w:p>
        </w:tc>
        <w:tc>
          <w:tcPr>
            <w:tcW w:w="2220" w:type="dxa"/>
            <w:vAlign w:val="bottom"/>
            <w:tcBorders>
              <w:top w:val="single" w:sz="8" w:color="0000EE"/>
            </w:tcBorders>
            <w:gridSpan w:val="3"/>
          </w:tcPr>
          <w:p>
            <w:pPr>
              <w:spacing w:after="0"/>
              <w:rPr>
                <w:sz w:val="24"/>
                <w:szCs w:val="24"/>
                <w:color w:val="auto"/>
              </w:rPr>
            </w:pPr>
          </w:p>
        </w:tc>
        <w:tc>
          <w:tcPr>
            <w:tcW w:w="242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04"/>
        </w:trPr>
        <w:tc>
          <w:tcPr>
            <w:tcW w:w="1020" w:type="dxa"/>
            <w:vAlign w:val="bottom"/>
            <w:gridSpan w:val="6"/>
          </w:tcPr>
          <w:p>
            <w:pPr>
              <w:spacing w:after="0"/>
              <w:rPr>
                <w:sz w:val="20"/>
                <w:szCs w:val="20"/>
                <w:color w:val="auto"/>
              </w:rPr>
            </w:pPr>
            <w:r>
              <w:rPr>
                <w:rFonts w:ascii="Arial" w:cs="Arial" w:eastAsia="Arial" w:hAnsi="Arial"/>
                <w:sz w:val="18"/>
                <w:szCs w:val="18"/>
                <w:b w:val="1"/>
                <w:bCs w:val="1"/>
                <w:color w:val="auto"/>
              </w:rPr>
              <w:t>Item 14.</w:t>
            </w:r>
          </w:p>
        </w:tc>
        <w:tc>
          <w:tcPr>
            <w:tcW w:w="10040" w:type="dxa"/>
            <w:vAlign w:val="bottom"/>
            <w:gridSpan w:val="21"/>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Principal Accountant Fees and Services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412"/>
        </w:trPr>
        <w:tc>
          <w:tcPr>
            <w:tcW w:w="1020" w:type="dxa"/>
            <w:vAlign w:val="bottom"/>
            <w:gridSpan w:val="6"/>
          </w:tcPr>
          <w:p>
            <w:pPr>
              <w:spacing w:after="0"/>
              <w:rPr>
                <w:rFonts w:ascii="Arial" w:cs="Arial" w:eastAsia="Arial" w:hAnsi="Arial"/>
                <w:sz w:val="18"/>
                <w:szCs w:val="18"/>
                <w:b w:val="1"/>
                <w:bCs w:val="1"/>
                <w:color w:val="0000EE"/>
              </w:rPr>
            </w:pPr>
            <w:hyperlink w:anchor="page137">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04"/>
        </w:trPr>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b w:val="1"/>
                <w:bCs w:val="1"/>
                <w:color w:val="auto"/>
              </w:rPr>
              <w:t>Item 15.</w:t>
            </w:r>
          </w:p>
        </w:tc>
        <w:tc>
          <w:tcPr>
            <w:tcW w:w="300" w:type="dxa"/>
            <w:vAlign w:val="bottom"/>
            <w:gridSpan w:val="3"/>
          </w:tcPr>
          <w:p>
            <w:pPr>
              <w:spacing w:after="0"/>
              <w:rPr>
                <w:sz w:val="24"/>
                <w:szCs w:val="24"/>
                <w:color w:val="auto"/>
              </w:rPr>
            </w:pPr>
          </w:p>
        </w:tc>
        <w:tc>
          <w:tcPr>
            <w:tcW w:w="10040" w:type="dxa"/>
            <w:vAlign w:val="bottom"/>
            <w:gridSpan w:val="21"/>
          </w:tcPr>
          <w:p>
            <w:pPr>
              <w:spacing w:after="0"/>
              <w:rPr>
                <w:rFonts w:ascii="Arial" w:cs="Arial" w:eastAsia="Arial" w:hAnsi="Arial"/>
                <w:sz w:val="18"/>
                <w:szCs w:val="18"/>
                <w:b w:val="1"/>
                <w:bCs w:val="1"/>
                <w:color w:val="0000EE"/>
              </w:rPr>
            </w:pPr>
            <w:hyperlink w:anchor="page137">
              <w:r>
                <w:rPr>
                  <w:rFonts w:ascii="Arial" w:cs="Arial" w:eastAsia="Arial" w:hAnsi="Arial"/>
                  <w:sz w:val="18"/>
                  <w:szCs w:val="18"/>
                  <w:b w:val="1"/>
                  <w:bCs w:val="1"/>
                  <w:color w:val="0000EE"/>
                </w:rPr>
                <w:t>Exhibits and Financial Statement Schedules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304"/>
        </w:trPr>
        <w:tc>
          <w:tcPr>
            <w:tcW w:w="1020" w:type="dxa"/>
            <w:vAlign w:val="bottom"/>
            <w:gridSpan w:val="6"/>
          </w:tcPr>
          <w:p>
            <w:pPr>
              <w:spacing w:after="0"/>
              <w:rPr>
                <w:rFonts w:ascii="Arial" w:cs="Arial" w:eastAsia="Arial" w:hAnsi="Arial"/>
                <w:sz w:val="18"/>
                <w:szCs w:val="18"/>
                <w:b w:val="1"/>
                <w:bCs w:val="1"/>
                <w:color w:val="0000EE"/>
              </w:rPr>
            </w:pPr>
            <w:hyperlink w:anchor="page144">
              <w:r>
                <w:rPr>
                  <w:rFonts w:ascii="Arial" w:cs="Arial" w:eastAsia="Arial" w:hAnsi="Arial"/>
                  <w:sz w:val="18"/>
                  <w:szCs w:val="18"/>
                  <w:b w:val="1"/>
                  <w:bCs w:val="1"/>
                  <w:color w:val="0000EE"/>
                </w:rPr>
                <w:t>Signatures</w:t>
              </w:r>
            </w:hyperlink>
          </w:p>
        </w:tc>
        <w:tc>
          <w:tcPr>
            <w:tcW w:w="6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383"/>
        </w:trPr>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5400" w:type="dxa"/>
            <w:vAlign w:val="bottom"/>
            <w:gridSpan w:val="16"/>
          </w:tcPr>
          <w:p>
            <w:pPr>
              <w:jc w:val="center"/>
              <w:ind w:left="3912"/>
              <w:spacing w:after="0"/>
              <w:rPr>
                <w:sz w:val="20"/>
                <w:szCs w:val="20"/>
                <w:color w:val="auto"/>
              </w:rPr>
            </w:pPr>
            <w:r>
              <w:rPr>
                <w:rFonts w:ascii="Arial" w:cs="Arial" w:eastAsia="Arial" w:hAnsi="Arial"/>
                <w:sz w:val="18"/>
                <w:szCs w:val="18"/>
                <w:color w:val="auto"/>
                <w:w w:val="79"/>
              </w:rPr>
              <w:t>2</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1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July 12, 2007, CBOT Holdings, Inc. (CBOT Holdings) merged with and into Chicago Mercantile Exchange Holdings Inc. (CME Holdings), which in connection with the merger was renamed CME Group Inc. (CME Group). On August 22, 2008, NYMEX Holdings, Inc. (NYMEX Holdings) merged into CMEG NY Inc., a wholly-owned subsidiary of CME Group. Unless otherwise noted, disclosures of trading volume, revenue and other statistical information include the results of the former CBOT Holdings beginning on July 13, 2007 and the results of the former NYMEX Holdings beginning on August 23,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document, unless otherwise specified or the context otherwise requires:</w:t>
      </w:r>
    </w:p>
    <w:p>
      <w:pPr>
        <w:spacing w:after="0" w:line="90" w:lineRule="exact"/>
        <w:rPr>
          <w:sz w:val="20"/>
          <w:szCs w:val="20"/>
          <w:color w:val="auto"/>
        </w:rPr>
      </w:pPr>
    </w:p>
    <w:p>
      <w:pPr>
        <w:ind w:left="900" w:right="14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Group” refers to (1) CME Holdings and its subsidiaries prior to the completion of the merger between CME Holdings and CBOT Holdings, which occurred on July 12, 2007, (2) the combined company of CME Holdings and CBOT Holdings and their respective subsidiaries after July 12, 2007 and (3) the combined company of CME Holdings, CBOT Holdings and NYMEX Holdings as well as their respective subsidiaries after August 22, 2008;</w:t>
      </w:r>
    </w:p>
    <w:p>
      <w:pPr>
        <w:spacing w:after="0" w:line="62"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Holdings” refers to Chicago Mercantile Exchange Holdings Inc., which was the surviving corporation in its merger with CBOT Holdings and which was renamed CME Group Inc. in connection with the merger;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“CME” refers to Chicago Mercantile Exchange Inc., a wholly-owned subsidiary of CME Group;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“CBOT Holdings” refers to CBOT Holdings, Inc.;</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“CBOT” refers to Board of Trade of the City of Chicago, Inc., which was a wholly-owned subsidiary of CBOT Holdings and became a wholly-owned subsidiary of CME Group on July 12, 2007;</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“NYMEX Holdings” refers to NYMEX Holdings, Inc.;</w:t>
      </w:r>
    </w:p>
    <w:p>
      <w:pPr>
        <w:spacing w:after="0" w:line="90" w:lineRule="exact"/>
        <w:rPr>
          <w:rFonts w:ascii="Arial" w:cs="Arial" w:eastAsia="Arial" w:hAnsi="Arial"/>
          <w:sz w:val="18"/>
          <w:szCs w:val="18"/>
          <w:color w:val="auto"/>
        </w:rPr>
      </w:pPr>
    </w:p>
    <w:p>
      <w:pPr>
        <w:ind w:left="900" w:right="220" w:hanging="325"/>
        <w:spacing w:after="0" w:line="306"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“NYMEX” refers to New York Mercantile Exchange, Inc. and, unless otherwise indicated also refers to its subsidiary, Commodity Exchange, Inc. (COMEX), which were wholly-owned subsidiaries of NYMEX Holdings and became subsidiaries of CME Group on August 22, 2008 when NYMEX Holdings merged into CMEG NY Inc., a wholly-owned subsidiary of CME Group, which was renamed CMEG NYMEX Holdings Inc.;</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“Exchange” refers to CME, CBOT and NYMEX, collectively;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and “our” refer to CME Group and its consolidated subsidiaries, collectively.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Unless otherwise indicated, references to CME Group products include references to exchange-traded products on one of its regulated exchanges (CME, CBOT, NYMEX and COMEX). Products listed in these exchanges are subject to the rules and regulations of the particular exchange and the applicable rulebook should be consulted.</w:t>
      </w:r>
    </w:p>
    <w:p>
      <w:pPr>
        <w:spacing w:after="0" w:line="14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 xml:space="preserve">Further information about CME Group and its products can be found at </w:t>
      </w:r>
      <w:r>
        <w:rPr>
          <w:rFonts w:ascii="Arial" w:cs="Arial" w:eastAsia="Arial" w:hAnsi="Arial"/>
          <w:sz w:val="18"/>
          <w:szCs w:val="18"/>
          <w:u w:val="single" w:color="auto"/>
          <w:color w:val="auto"/>
        </w:rPr>
        <w:t>http://www.cmegroup.com</w:t>
      </w:r>
      <w:r>
        <w:rPr>
          <w:rFonts w:ascii="Arial" w:cs="Arial" w:eastAsia="Arial" w:hAnsi="Arial"/>
          <w:sz w:val="18"/>
          <w:szCs w:val="18"/>
          <w:color w:val="auto"/>
        </w:rPr>
        <w:t>. Information made available on our Web site does not constitute a part of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Trading Volume and Average Rate per Contract</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Beginning in December 2009, we began providing clearing services for credit default swaps. Unless otherwise noted, disclosures of trading volume and average rate per contract exclude these products.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 w:name="page4"/>
    <w:bookmarkEnd w:id="3"/>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TRAKRS, total return asset contracts, are exchange-traded non-traditional futures contracts designed to provide market exposure to various market-based indexes which trade electronically on the CME Globex electronic platform. Clearing and transaction fees on these products are minimal relative to other products. Unless otherwise noted, disclosures of trading volume and average rate per contract exclude our TRAKRS products.</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Hurricane Risk Landfall Options (HuRLOs) are European style call options on whether, and where, a hurricane first makes landfall on the U.S. Coast. Unless otherwise noted, disclosures of trading volume and average rate per contract exclude our HuRLO products.</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August 2006, we acquired Swapstream, a London-based electronic trading platform for interest rate swaps. Disclosures of trading volume and average rate per contract exclude these products. As of September 2008, our Swapstream products ceased trading.</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CME Economic Derivatives were options and forwards geared to seven key U.S. and European economic indicators that were traded in an auction format. In July 2007, we discontinued trading in these products. Clearing and transaction fees on CME Economic Derivative products were based on notional values rather than volume and were minimal relative to other products. Disclosures of trading volume and average rate per contract exclude these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Globe logo, CME, Chicago Mercantile Exchange, CME Group, Globex and E-mini, are trademarks of Chicago Mercantile Exchange Inc. CBOT and Chicago Board of Trade are trademarks of Board of Trade of the City of Chicago, Inc. NYMEX, New York Mercantile Exchange and ClearPort are trademarks of New York Mercantile Exchange, Inc. All other trademarks are the property of their respective owners.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From time to time, in this Annual Report on Form 10-K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37" w:lineRule="exact"/>
        <w:rPr>
          <w:sz w:val="20"/>
          <w:szCs w:val="20"/>
          <w:color w:val="auto"/>
        </w:rPr>
      </w:pPr>
    </w:p>
    <w:p>
      <w:pPr>
        <w:ind w:left="900" w:right="2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competition by foreign and domestic entities, including increased competition from new entrants into our markets and consolidation of existing entities;</w:t>
      </w:r>
    </w:p>
    <w:p>
      <w:pPr>
        <w:spacing w:after="0" w:line="5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pace with rapid technological developments, including our ability to complete the development and implementation of the enhanced functionality required by our customers;</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adjust our fixed costs and expenses if our revenues decline;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generate revenues from our processing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existing customers, develop strategic relationships and attract new customers;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80" w:right="279" w:bottom="1440" w:gutter="0" w:footer="0" w:header="0"/>
        </w:sectPr>
      </w:pPr>
    </w:p>
    <w:bookmarkStart w:id="4" w:name="page5"/>
    <w:bookmarkEnd w:id="4"/>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ability to expand and offer our products in foreign jurisdictions;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domestic and foreign regulations;</w:t>
      </w:r>
    </w:p>
    <w:p>
      <w:pPr>
        <w:spacing w:after="0" w:line="9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government policy, including policies relating to common or directed clearing and changes as a result of legislation stemming from the recent financial crisis, including the proposed regulatory reform of the over-the-counter derivatives and futures markets and any changes in the regulation of our industry with respect to speculative trading in commodity interests and derivative contracts;</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associated with protecting our intellectual property rights and our ability to operate our business without violating the intellectual property rights of others;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revenue from our market data that may be reduced or eliminated by the growth of electronic trading, the state of the overall economy or declines in subscriptions;</w:t>
      </w:r>
    </w:p>
    <w:p>
      <w:pPr>
        <w:spacing w:after="0" w:line="50" w:lineRule="exact"/>
        <w:rPr>
          <w:rFonts w:ascii="Arial" w:cs="Arial" w:eastAsia="Arial" w:hAnsi="Arial"/>
          <w:sz w:val="18"/>
          <w:szCs w:val="18"/>
          <w:color w:val="auto"/>
        </w:rPr>
      </w:pPr>
    </w:p>
    <w:p>
      <w:pPr>
        <w:ind w:left="900" w:right="200" w:hanging="325"/>
        <w:spacing w:after="0" w:line="357"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financial safeguards package to adequately protect us from the credit risks of clearing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our compliance and risk management methods to effectively monitor and manage our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changes in price levels and volatility in the derivatives markets and in underlying fixed income, equity, foreign exchange and commodities markets;</w:t>
      </w:r>
    </w:p>
    <w:p>
      <w:pPr>
        <w:spacing w:after="0" w:line="113" w:lineRule="exact"/>
        <w:rPr>
          <w:rFonts w:ascii="Arial" w:cs="Arial" w:eastAsia="Arial" w:hAnsi="Arial"/>
          <w:sz w:val="16"/>
          <w:szCs w:val="16"/>
          <w:color w:val="auto"/>
        </w:rPr>
      </w:pPr>
    </w:p>
    <w:p>
      <w:pPr>
        <w:ind w:left="900" w:right="5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political and market conditions, including the recent volatility of the capital and credit markets and the impact of recent economic conditions on the trading activity of our current and potential customers;</w:t>
      </w:r>
    </w:p>
    <w:p>
      <w:pPr>
        <w:spacing w:after="0" w:line="5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accommodate increases in trading volume and order transaction traffic without failure or degradation of the performance of our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execute our growth strategy and maintain our growth effectively;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the risks and control the costs associated with our acquisition, investment and alliance strategy;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continue to generate funds and/or manage our indebtedness to allow us to continue to invest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industry and customer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trading and clearing activity;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imposition of a transaction tax on futures and options on futures transactions and/or repeal of the 60/40 tax treatment of such transactions;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unfavorable resolution of material legal proceedings;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seasonality of the futures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a detailed discussion of these and other factors that might affect our performance, see Item 1A. of this Report.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80" w:right="379" w:bottom="1440" w:gutter="0" w:footer="0" w:header="0"/>
        </w:sectPr>
      </w:pPr>
    </w:p>
    <w:bookmarkStart w:id="5" w:name="page6"/>
    <w:bookmarkEnd w:id="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w:t>
      </w:r>
      <w:r>
        <w:rPr>
          <w:sz w:val="20"/>
          <w:szCs w:val="20"/>
          <w:color w:val="auto"/>
        </w:rPr>
        <w:tab/>
      </w:r>
      <w:r>
        <w:rPr>
          <w:rFonts w:ascii="Arial" w:cs="Arial" w:eastAsia="Arial" w:hAnsi="Arial"/>
          <w:sz w:val="16"/>
          <w:szCs w:val="16"/>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Building on the heritage of its futures exchanges (CME, CBOT, NYMEX and COMEX), CME Group serves the risk management and investment needs of customers around the globe. CME Group, formerly known as Chicago Mercantile Exchange Holdings Inc., became publicly traded in December 2002. We completed our acquisition of CBOT in July 2007 and NYMEX in August 2008.</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customer base includes professional traders, financial institutions, institutional and individual investors, major corporations, manufacturers, producers and governments. We break our member customers into four segments based on trading activity: proprietary trading firms (primarily algorithmic); banks and investment banks; top hedge funds; and “other,” which includes smaller member firms and individual traders. We also have a fifth segment of customers, which is comprised of our non-member customers who pay higher fees than the member category. As of December 31, 2009, we had approximately 140 clearing firms. One firm represented 11% and one firm represented 10% of our clearing and transaction fees revenue in 2009. Should a clearing firm withdraw, we believe that the customer portion of the firm’s trading activity would likely transfer to another clearing firm of the exchange. Therefore, we do not believe we are exposed to significant risk from the loss of revenue received from a particular clearing firm. Our trading volume can be seasonal, and historically, we have experienced higher sequential volume during the first and second quarters followed by decreases in the third and fourth quarters of the calendar year.</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2009, our industry, and the financial services area in particular, faced many challenges. However, we sought opportunities amongst the challenges, and we were steadfast in pursuing and executing on these opportunities as described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Highly Liquid Markets</w:t>
      </w:r>
    </w:p>
    <w:p>
      <w:pPr>
        <w:spacing w:after="0" w:line="9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CME Group is the only exchange to offer access to all major asset classes for futures products from a single electronic trading platform and on trading floors in Chicago and New York City. Specifically, we offer futures and options on futures based on interest rates, equity indexes, foreign exchange, energy, agricultural commodities, metal and alternative investment products such as weather and real estate. We provide the facilities to conduct open outcry and electronic trading and we match, clear and guarantee trades executed on our exchanges and certain bilateral trades that we clear. Our markets provide an effective and transparent forum for our customers to manage their risk and meet their investment needs relating to our markets. We believe that our customers choose to trade on our centralized markets due to their liquidity and transparency and our central counterparty clearing guarantee. More than 80% of our trading volume comes from trades made electronically on our CME Globex electronic trading platform. Our aggregate volume in 2009 was approximately 2.6 billion contracts. As of December 31, 2009, our open interest stood at 78.0 million contracts. Open interest is the number of outstanding contracts at the close of the trading day. Open interest can also be defined as the total number of futures contracts or options on futures contracts that have not yet been exercised, expired or fulfilled by delivery. Open interest serves as an indicator of market liquidity. Market liquidity, or the ability of a market to absorb the execution of large purchases or sales quickly and efficiently, is key to attracting customers and contributing to a market’s success. In spite of the difficult economic climate, we experienced an improvement in our open interest during 2009, which grew by 24% from the beginning of the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Most Diverse Product Line</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serve the risk-management needs of customers around the globe, offering the widest range of benchmark products available on any exchange and covering all major asset classes. Our products provide a means for hedging, speculation and asset allocation relating to the risks associated with, among other things, interest rate sensitive instruments, equity ownership, changes in the value of foreign currency and changes in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6" w:name="page7"/>
    <w:bookmarkEnd w:id="6"/>
    <w:p>
      <w:pPr>
        <w:ind w:right="4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prices of commodities. These include products based on the entire U.S. interest rate yield curve, equity indexes, foreign exchange, agricultural commodities, energy, metals and alternative investment products.</w:t>
      </w:r>
    </w:p>
    <w:p>
      <w:pPr>
        <w:spacing w:after="0" w:line="132"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Futures and options provide a way to protect against—and potentially profit from—price changes in financial instruments and physical commodities. Futures contracts are legally binding agreements to buy or sell something in the future, such as livestock or foreign currency. The buyer and seller of a futures contract agree on a price today for a product to be delivered and paid for in the future. Each contract specifies the quantity of the item and the time of delivery or payment. An option on a futures contract is a right, but not an obligation, to buy or sell a futures contract at a specified price on or before a certain expiration date.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Superior Trading Technology</w:t>
      </w:r>
    </w:p>
    <w:p>
      <w:pPr>
        <w:spacing w:after="0" w:line="9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strive to provide the most flexible architecture in terms of bringing new technology, innovations and solutions to the market. Our CME Globex electronic trading platform is accessible virtually 24 hours a day throughout the trading week. Our platform offers:</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speed trade execution;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vast capabilities to facilitate the most complex and demanding trading;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market access;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fairness, transparency and anonymity;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global distribution and international telecommunications hubs in key financial centers in Europe, Asia and Latin America.</w:t>
      </w:r>
    </w:p>
    <w:p>
      <w:pPr>
        <w:spacing w:after="0" w:line="17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 xml:space="preserve">Customers benefit from direct connectivity, ongoing development efforts, a single source for customer support and highly efficient access to real-time market data. The platform is continuously enhanced to serve our customers’ needs for high-speed, high-volume capacity, improved options trading capabilities and a range of new products. In 2009, we were named the number one technology innovator by </w:t>
      </w:r>
      <w:r>
        <w:rPr>
          <w:rFonts w:ascii="Arial" w:cs="Arial" w:eastAsia="Arial" w:hAnsi="Arial"/>
          <w:sz w:val="16"/>
          <w:szCs w:val="16"/>
          <w:i w:val="1"/>
          <w:iCs w:val="1"/>
          <w:color w:val="auto"/>
        </w:rPr>
        <w:t>InformationWeek</w:t>
      </w:r>
      <w:r>
        <w:rPr>
          <w:rFonts w:ascii="Arial" w:cs="Arial" w:eastAsia="Arial" w:hAnsi="Arial"/>
          <w:sz w:val="16"/>
          <w:szCs w:val="16"/>
          <w:color w:val="auto"/>
        </w:rPr>
        <w:t>. It was also the sixth consecutive year we were named to this prestigious list of technology innovators. CME Globex handled an average daily volume of 8.3 million contracts in 2009. Our all-time record of</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20.5 million contracts was on January 22, 2008 (representing volume of 13.2 million CME products, 6.1 million CBOT products and 1.2 million NYMEX products). To ensure that we can meet the heavy demands placed on our systems, we have rigorous requirements for the performance, scalability, reliability, ease of use and costs of our infrastructure.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Reach</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offer a number of programs and products designed specifically to appeal to a global audience. Customers from all over the world trade our products, primarily electronically. As described below under “Growth Strategy—Globalizing the Business,” we continue to expand our business globally by educating non-U.S. customers on the benefits of our product suite and by entering into strategic alliances, such as our relationships with BM&amp;FBOVESPA S.A. and the Korea Exchange Inc. and our most recently completed partnership with Bursa Malaysia Derivatives Berhad.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Safeguards</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own our own clearing house—CME Clearing. Our integrated clearing function is designed to ensure the safety and soundness of our markets. CME Clearing protects the financial integrity of our markets by serving as the counterparty to every trade—becoming the buyer to each seller and the seller to each buyer—and limiting credit risk. It is responsible for settling trading accounts, clearing trades, collecting and maintaining performance bond funds, regulating delivery and reporting trading data. CME Clearing limits the accumulation of debt from trading losses with twice daily mark-to-market settlement.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 w:name="page8"/>
    <w:bookmarkEnd w:id="7"/>
    <w:p>
      <w:pPr>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2009, our industry was subjected to increased concerns about counterparty credit risk stemming from the financial crisis that began in 2008. During such times, our financial safeguards continued to provide our customers with transparency and liquidity in all asset classes. Importantly, none of our customers incurred a financial loss due to a counterparty failure. Following our merger with NYMEX, we extended the benefits of our clearing model to the over-the-counter market through CME ClearPort, which is a comprehensive set of flexible solutions for mitigating counterparty risk in over-the-counter trading. In December 2009, we also began providing clearing services for credit default swaps. Basically, a credit default swap contract provides the buyer with protection against specific credit risks. We believe that providing clearing services to the credit default swap market will provide greater transparency, security and stability to that marketplace.</w:t>
      </w:r>
    </w:p>
    <w:p>
      <w:pPr>
        <w:spacing w:after="0" w:line="10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 of December 31, 2009, we maintained approximately $83.7 billion in cash, investments and letters of credit related to performance bonds, security deposits and other collateral of which $11.4 billion was in excess of the clearing house requirements we set for our customers. Performance bonds are deposits required from our clearing firms to ensure that they can cover potential losses in connection with their trading positions. We require these deposits as part of our financial safeguards to help ensure that clearing firms can meet their obligations to their customers and to CME Clearing.</w:t>
      </w:r>
    </w:p>
    <w:p>
      <w:pPr>
        <w:spacing w:after="0" w:line="11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Ownership of our clearing house also enables us to more quickly and efficiently bring new products to market through coordination of our clearing functions with our product development, technology, market regulation and other risk management activities.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History</w:t>
      </w:r>
    </w:p>
    <w:p>
      <w:pPr>
        <w:spacing w:after="0" w:line="9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CME was founded in 1898 as a not-for-profit corporation. In November 2000, CME demutualized and became a shareholder-owned corporation. As a consequence, we adopted a for-profit approach to our business, including strategic initiatives aimed at optimizing trading volume, efficiency and liquidity. In December 2002, CME Holdings completed its initial public offering of its Class A common stock. In July 2007, CME Holdings completed its merger with CBOT Holdings. As a result, we acquired CBOT. CBOT is a leading marketplace for trading agricultural and U.S. Treasury futures as well as options on futures. In August 2008, we merged with NYMEX Holdings and acquired NYMEX and COMEX, its wholly-owned subsidiaries. On NYMEX, customers primarily trade energy futures and options contracts, including contracts for crude oil, natural gas, heating oil and gasoline. On COMEX, customers trade metals futures and options contracts, including contracts for gold, silver, copper and aluminum.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20 South Wacker Drive, Chicago, Illinois 60606, and our telephone number is 312-930-1000.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Strategy</w:t>
      </w:r>
    </w:p>
    <w:p>
      <w:pPr>
        <w:spacing w:after="0" w:line="96"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Increased market awareness and acceptance of derivatives, increased price volatility, technological advances and the increasing need for counterparty risk mitigation and clearing services create significant opportunities for growth. We believe that we can capitalize on these trends and build on our competitive strengths by implementing the following strategies:</w:t>
      </w:r>
    </w:p>
    <w:p>
      <w:pPr>
        <w:spacing w:after="0" w:line="59"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growing the core business, including expanding into complementary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globalizing the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serving the over-the-counter markets.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Growing the Core Business. </w:t>
      </w:r>
      <w:r>
        <w:rPr>
          <w:rFonts w:ascii="Arial" w:cs="Arial" w:eastAsia="Arial" w:hAnsi="Arial"/>
          <w:sz w:val="18"/>
          <w:szCs w:val="18"/>
          <w:color w:val="auto"/>
        </w:rPr>
        <w:t>We intend to advance our position as a leader in the futures industry by growing our core business. As part of this initiative, we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continue to generate organic growth through the launch of new products, expanding on the strength of our existing benchmark products and by enhancing our customer relations to allow us to cross-sell our products.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8" w:name="page9"/>
    <w:bookmarkEnd w:id="8"/>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plan to continue to work with existing and potential customers to develop new futures and options products that provide an array of relevant risk management tools. We are also enhancing our marketing capabilities with a focus on customer education, advertising and public relations to cross-sell our existing products to our current customer base. We continue to communicate our unique benefits—a secure, effective and cost-efficient place for customers to come and manage their risk through our diverse products, liquidity, anonymity and central counterparty clearing. We continue to look for ways to build upon our success as we continue to grow our business in areas such as emerging markets and the over-the-counter market.</w:t>
      </w:r>
    </w:p>
    <w:p>
      <w:pPr>
        <w:spacing w:after="0" w:line="1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10, 2010, we announced that we had entered into a definitive agreement with Dow Jones in which we would take a 90% ownership interest and Dow Jones would own the remaining 10% in a new joint venture that will own the Dow Jones Indexes, which include the Dow Jones Industrial Average and approximately 130,000 index properties. Pending regulatory approval and completion of customary closing conditions, the transaction is expected to close during the first quarter of 2010. This venture creates a new opportunity for us to grow our index business and to further diversify our revenue streams by building on our existing brands and expanding the global reach of Dow Jones’ index creation and calculation services businesses across complementary asset classes, including cash, derivatives and customized over-the-counter markets.</w:t>
      </w:r>
    </w:p>
    <w:p>
      <w:pPr>
        <w:spacing w:after="0" w:line="1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 xml:space="preserve">Globalizing the Business. </w:t>
      </w:r>
      <w:r>
        <w:rPr>
          <w:rFonts w:ascii="Arial" w:cs="Arial" w:eastAsia="Arial" w:hAnsi="Arial"/>
          <w:sz w:val="16"/>
          <w:szCs w:val="16"/>
          <w:color w:val="auto"/>
        </w:rPr>
        <w:t>Our goal is to expand and diversify our customer base worldwide and offer customers around the world the most broadly diversified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of benchmark products. In 2009, we continued our initiative to enhance our global marketing efforts in order to broaden the understanding of the benefits of our products, targeting in particular Asia and Europe and implementing global sales and marketing plans to reach new customers and cross-sell our products to existing customers as well as extending our international incentive programs to apply to our energy and metal customers. During 2009, we extended our global reach with several key partnerships. We launched the first phase of our program with the Korea Exchange to provide customers with after-hours access to the KOSPI 200 futures hosted on our CME Globex platform by providing order routing services. We are awaiting approval from the Korean regulators to expand access beyond our Seoul telecommunications hub to allow us to reach a broader group of market participants. During the year, we acquired an equity stake in Bursa Malaysia Derivatives Berhad and entered into an agreement to provide Globex order routing and matching services for its derivatives segment, which will also provide us with a license to use its crude palm oil settlement prices for future product development. On February 11, 2010, we announced a non-binding letter of intent with BM&amp;FBOVESPA to expand our existing strategic partnership to develop a new multi-asset class electronic trading platform that will be deployed by BM&amp;FBOVESPA for use in its own cash equities and derivatives markets, and both of us will have the ability to license the platform to other exchanges internationally. These partnerships are expected to expand our transaction processing opportunities and increase our global presence.</w:t>
      </w:r>
    </w:p>
    <w:p>
      <w:pPr>
        <w:spacing w:after="0" w:line="12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will continue to explore opportunities to position CME Group to benefit from growth in key geographies by targeting global customers, making strategic investments and leveraging our diverse product offerings.</w:t>
      </w:r>
    </w:p>
    <w:p>
      <w:pPr>
        <w:spacing w:after="0" w:line="13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 xml:space="preserve">Serving the Over-the-Counter Markets. </w:t>
      </w:r>
      <w:r>
        <w:rPr>
          <w:rFonts w:ascii="Arial" w:cs="Arial" w:eastAsia="Arial" w:hAnsi="Arial"/>
          <w:sz w:val="18"/>
          <w:szCs w:val="18"/>
          <w:color w:val="auto"/>
        </w:rPr>
        <w:t>We continue to expand our business serving the over-the-counter markets by developing over-the-counter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along with new capabilities and functionalities and entering these markets through acquisitions, strategic partnerships and commercial arrangements. As a result of our merger with NYMEX Holdings in 2008, we now own ClearPort. Launched in 2002 to provide centralized clearing services and mitigate risk in the energy marketplace, CME ClearPort now clears transactions across a broad array of products around the world with tailored offerings for the needs of each market with the benefit of central counterparty clearing. During 2009, we launched more than 330 products on CME ClearPort and cleared an average of more than 494,000 contracts daily.</w:t>
      </w:r>
    </w:p>
    <w:p>
      <w:pPr>
        <w:spacing w:after="0" w:line="14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2009, we restructured our joint effort with Citadel Investment Group related to credit default swaps to target clearing-only services. Beginning in December 2009, we began providing our clearing solution for the credit default swap market which delivers:</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customer segregation and a portability framework that protects customer positions and margin in the event of a clearing member default;</w:t>
      </w:r>
    </w:p>
    <w:p>
      <w:pPr>
        <w:spacing w:after="0" w:line="180"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9" w:name="page10"/>
    <w:bookmarkEnd w:id="9"/>
    <w:p>
      <w:pPr>
        <w:ind w:left="900" w:right="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clearing of credit default swap trades at the point of execution, which provides immediate cleared trade confirmation and settlement, thereby limiting credit exposure;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migration of legacy non-cleared positions to cleared trades;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leverage existing relationships with our clearing firms;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more than 100 years of experience in clearing, settlement and risk management.</w:t>
      </w:r>
    </w:p>
    <w:p>
      <w:pPr>
        <w:spacing w:after="0" w:line="17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Our cleared credit default swap products comprise the highest volume Markit CDX and Markit iTraxx indices. They are designed to mirror bilateral over-the-counter contracts. We also support trade submission through CME ClearPort, enabling connectivity from any affirmation/confirmation or trading platform.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the range and diversity of our products contribute significantly to our success. We offer markets in futures and options on futures contracts based on the U.S. interest rate yield curve, equity indexes, foreign exchange, agricultural commodities, energy, metals and alternative investment products. Our products are traded through the CME Globex electronic trading platform, our open outcry auction markets in Chicago and New York City or through privately negotiated transactions that we clear. For the year ended December 31, 2009, we derived $2.2 billion, or 83% of our total revenues, from fees associated with trading and clearing our products. These fees include per contract charges for trade execution as well as clearing and CME Globex fees. Fees are charged at various rates based on the product traded, the method of trade and the trading privileges of the customer making the trade. Generally, members are charged lower fees than non-members. Certain of our customers benefit from volume discounts and limits on fees as part of our efforts to encourage increased liquidity in our markets. Our markets also generate valuable data and information regarding pricing and trading activity in our products which provides us with the opportunity to sell our market data. We identify new products by monitoring economic trends and their impact on the risk management and speculative needs of our existing and prospective customers. See “Item 7. Management’s Discussion and Analysis of Financial Condition and Results of Operations,” page 55, for the average daily volume of contracts traded in our principal product lines for the last three years.</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 xml:space="preserve">Interest Rate Products. </w:t>
      </w:r>
      <w:r>
        <w:rPr>
          <w:rFonts w:ascii="Arial" w:cs="Arial" w:eastAsia="Arial" w:hAnsi="Arial"/>
          <w:sz w:val="16"/>
          <w:szCs w:val="16"/>
          <w:color w:val="auto"/>
        </w:rPr>
        <w:t>Our interest rate products enable banks and other financial institutions worldwide to hedge interest rate risks, and in turn help to reduce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overall cost of borrowing and financing. Our interest rate products allow our customers to execute transactions across the entire U.S. dollar-denominated yield curve using some of the world’s most actively traded futures and options products. Customers may manage short-, medium- and long-term interest rate risk using our products based on Eurodollars, U.S. Treasuries, swaps and other dollar-related instruments. In 2009, we extended our relationship with the British Banker’s Association with a long-term agreement for our use of its London Interbank Offered Rate to settle various interest rate products, including our benchmark Eurodollar contract. As a result of our acquisition of CBOT, our interest rate products include CBOT’s thirty-year U.S. Treasury bond futures and options on futures; ten-year, five-year and two-year U.S. Treasury note futures and options; interest rate swap futures and options; and federal funds futures and options. In 2009, we launched three-year Treasury note futures. In January 2010, we launched our Ultra T-bond futures contract. To date, this is the most successful new interest rate product launch in our history in terms of volume and open interest growth since launch.</w:t>
      </w:r>
    </w:p>
    <w:p>
      <w:pPr>
        <w:spacing w:after="0" w:line="12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Forty-two percent of our overall annual trading volume in 2009 and 26% of our clearing and transaction fees was based upon our interest rate products. In 2009, we experienced an overall decline in interest rate volume due largely to the credit crisis and the Federal Reserve Bank’s zero interest rate policy for short-term interest rates. Several macroeconomic factors that drive interest rates have begun to stabilize over the course of the year, including improvements in liquidity and credit spreads, but areas of weakness remain. In 2010, we plan to continue our efforts to expand our customer base and increase international participation through additional marketing efforts and educational programs. We will also look to expand our benchmark products.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 w:name="page11"/>
    <w:bookmarkEnd w:id="10"/>
    <w:p>
      <w:pPr>
        <w:ind w:right="60"/>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Equity Products. </w:t>
      </w:r>
      <w:r>
        <w:rPr>
          <w:rFonts w:ascii="Arial" w:cs="Arial" w:eastAsia="Arial" w:hAnsi="Arial"/>
          <w:sz w:val="18"/>
          <w:szCs w:val="18"/>
          <w:color w:val="auto"/>
        </w:rPr>
        <w:t>Our equity products permit investors to obtain exposure, for hedging or speculative purposes, to changes in the weighting of one or more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sectors more efficiently than by buying or selling the underlying securities. By allowing investors to effectively manage stock market risks, our equity products increase investor confidence and overall participation in these important markets.</w:t>
      </w:r>
    </w:p>
    <w:p>
      <w:pPr>
        <w:spacing w:after="0" w:line="14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a leading equity index marketplace, offering futures and options products (including our E-mini contracts) on key benchmark equity indexes covering small-, medium- and large-cap companies in the U.S., Europe and Asia. These include the Standard &amp; Poor’s, Dow Jones, NASDAQ, Nikkei, MSCI and FTSE/Xinhua indexes, and others. We have exclusive licensing arrangements with Standard &amp; Poor’s Corporation (S&amp;P), NASDAQ OMX Group, Inc. (NASDAQ OMX) and Dow Jones &amp; Company, Inc. (Dow Jones), which allow us to offer futures and options on futures on their indexes, including our contracts based on the S&amp;P 500 Index, the NASDAQ-100 Index and the Dow Jones Industrial Average. As previously discussed, we have also entered into a definitive agreement with Dow Jones to create a joint venture which will create new opportunities for growing our index business. For a detailed description of these licensing arrangements, see the section of this Annual Report on Form 10-K entitled “Item 1. Business—Licensing Agreements.”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Trading in our equity products represented 28% of our total trading volume and 24% of our clearing and transaction fees during 2009.</w:t>
      </w:r>
    </w:p>
    <w:p>
      <w:pPr>
        <w:spacing w:after="0" w:line="171"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We believe our leading market position in equity products is a result of the liquidity of our markets, the status of the S&amp;P 500, the NASDAQ-100 and the Dow Jones Industrial Average indexes as the principal U.S. financial standards for benchmarking stock market returns, and the appeal to investors and traders of our E-mini products and other equity products and our CME Globex platform. These investors include public and private pension funds, investment companies, mutual funds, insurance companies and other financial services companies that benchmark their investment performance to different segments of the equity markets.</w:t>
      </w:r>
    </w:p>
    <w:p>
      <w:pPr>
        <w:spacing w:after="0" w:line="9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believe future growth in our equity products will come from continued counterparty credit concerns, continued education of our customers as to the benefits of our equity product portfolio and our trading platform to serve their risk management needs, and the benefits of futures products over cash equities. We believe that our equity volumes may continue to be impacted by and are in large part influenced by the trading volume levels of the underlying markets as well as the level of market volatility.</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Foreign Exchange Products. </w:t>
      </w:r>
      <w:r>
        <w:rPr>
          <w:rFonts w:ascii="Arial" w:cs="Arial" w:eastAsia="Arial" w:hAnsi="Arial"/>
          <w:sz w:val="16"/>
          <w:szCs w:val="16"/>
          <w:color w:val="auto"/>
        </w:rPr>
        <w:t>We became the first exchange to introduce financial futures when we launched foreign exchange futures in 1972. Our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exchange market serves as an effective and efficient means of risk transfer for the global foreign exchange market, bringing together a broad array of client segments by offering investment as well as risk management opportunities. Our customers benefit from dealing anonymously in a fully transparent market, where large and small customers have equal access to the same prices and deep pool of liquidity. Our foreign exchange products provide the tools and resources to hedge foreign exchange risk, facilitating cross-border trade and commerce while mitigating the risks to profitability due to fluctuations in the foreign exchange market. Our foreign exchange market attracts both buy- and sell-side investors, including commercial and investment banks, hedge funds, commodity trading advisors, proprietary trading firms and individual investors. In 2009, we launched a series of innovative smaller-sized foreign exchange contracts, called Forex E-Micros, designed to enable retail traders and investors to cost-effectively access the security, transparency and liquidity of our products. We also added Turkish Lira futures to our foreign exchange product suite. Approximately 97% of our foreign exchange products are traded electronically on the CME Globex platform, ensuring that business is transacted quickly with maximum operational efficiency.</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Today, we offer approximately 40 foreign exchange futures and approximately 30 foreign exchange options on futures products, covering major as well as a broad array of emerging market currency pairs in more than 20 different currencies.</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 2009, we saw an average daily volume of 624,000 foreign exchange contracts, with a notional value of $79.8 billion a day. Trading in our foreign exchange products represented 6% of our total trading volume in 2009 and 6%</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our clearing and transaction fees. In 2009, while the broader over-the-counter FX market volume declined by roughly 25% based on central bank turnover statistics, CME Group’s average daily volume for foreign exchange products was flat when compared with 2008. We believe this result is largely due to the breadth of our product coverage and diversity of our customer base as the global FX market was marked by extreme market volatility, changes in global interest rates and increased risk aversion by market participants resulting from the credit crisis.</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believe future growth in our foreign exchange product line will come from expanding and diversifying our product suite and customer base. We continue to expand our foreign exchange options product suite to appeal to a broader array of customer segments. As we continue to expand our global footprint in the foreign exchange market, we expect increased trading volume from customers outside of the United States. We also expect an increased demand in the over-the-counter market for cleared products, which we have been targeting to serve.</w:t>
      </w:r>
    </w:p>
    <w:p>
      <w:pPr>
        <w:spacing w:after="0" w:line="14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i w:val="1"/>
          <w:iCs w:val="1"/>
          <w:color w:val="auto"/>
        </w:rPr>
        <w:t xml:space="preserve">Commodity Products. </w:t>
      </w:r>
      <w:r>
        <w:rPr>
          <w:rFonts w:ascii="Arial" w:cs="Arial" w:eastAsia="Arial" w:hAnsi="Arial"/>
          <w:sz w:val="16"/>
          <w:szCs w:val="16"/>
          <w:color w:val="auto"/>
        </w:rPr>
        <w:t>Our commodity products help establish benchmark prices and play an important role in risk management. These products provide hedging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tools for our customers who deal in tangible physical commodities, including agricultural producers of commodities and food processors. Commodity products were our only products when our exchange first opened for business. We have maintained a strong franchise in our commodity products, including futures contracts based on cattle, hogs, pork bellies, lumber, dairy products, soybeans, corn, wheat, oats and rough rice. We also added 11 agricultural swaps on CME ClearPort. Commodity products accounted for 7% of our trading volume and 10% of clearing and transaction fees during 2009.</w:t>
      </w:r>
    </w:p>
    <w:p>
      <w:pPr>
        <w:spacing w:after="0" w:line="1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 xml:space="preserve">Energy Products. </w:t>
      </w:r>
      <w:r>
        <w:rPr>
          <w:rFonts w:ascii="Arial" w:cs="Arial" w:eastAsia="Arial" w:hAnsi="Arial"/>
          <w:sz w:val="16"/>
          <w:szCs w:val="16"/>
          <w:color w:val="auto"/>
        </w:rPr>
        <w:t>Following our acquisition of NYMEX and COMEX, we now offer the most extensive and liquid energy complex in the world, including Light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Sweet Crude Oil (WTI), Natural Gas (Henry Hub), and electricity products. Many of our energy contracts are benchmarks that set the price for these resources worldwide. In 2009, we launched over 300 new energy products on CME ClearPort in response to customer demand stemming from counterparty credit risk concerns. Energy products accounted for 15% of our trading volume and 29% of clearing and transaction fees during 2009.</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Metal Products. </w:t>
      </w:r>
      <w:r>
        <w:rPr>
          <w:rFonts w:ascii="Arial" w:cs="Arial" w:eastAsia="Arial" w:hAnsi="Arial"/>
          <w:sz w:val="18"/>
          <w:szCs w:val="18"/>
          <w:color w:val="auto"/>
        </w:rPr>
        <w:t>Our metals futures markets include full-size contracts on gold, silver, platinum, palladium, copper and steel; as well as E-mini contracts for gold,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silver and copper. We also extended our CME ClearPort clearing services to London gold futures. Metal products accounted for 2% of our trading volume and 5% of clearing and transaction fees during 2009.</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Market Data and Information Products. </w:t>
      </w:r>
      <w:r>
        <w:rPr>
          <w:rFonts w:ascii="Arial" w:cs="Arial" w:eastAsia="Arial" w:hAnsi="Arial"/>
          <w:sz w:val="16"/>
          <w:szCs w:val="16"/>
          <w:color w:val="auto"/>
        </w:rPr>
        <w:t>Our markets generate valuable information regarding prices and trading activity in our products that we believe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enhances the appeal of our products. The dissemination of real-time data generates revenues and supports our customer base with timely market information. We sell our market data, which includes information about bids, offers, trades and trade size in our products, to banks, broker-dealers, pension funds, investment companies, mutual funds, insurance companies, individual investors and other financial services companies or organizations that use our markets or monitor general economic conditions. We distribute our market data over the CME market data platform directly to our electronic trading customers as part of their access to our markets and to quote vendors who consolidate our market data with that from other exchanges, other third-party data providers and news services, and then resell their consolidated data. Revenues from market data products totaled $331.1 million, or 13% of our total revenues, in 2009.</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Sophisticated quantitative approaches to risk management as well as customer time sensitivity have created new needs, uses and demands for trading-related data and analytics. This timely information has become even more important in light of the volatility and uncertainty in today’s markets. We continue to enhance our current market data and information product offerings by creating new value-added services to complement our market data products, including databases, analytical tools and other services to assist end-users. Our market data was significantly enhanced in 2009 with the expansion of futures market depth to include additional order information. Our real-time web-based market data application, CME E-quotes, experienced growth in subscribers in 2009 as we added NYMEX and COMEX data and as subscribers looked for a more cost-effective solution. CME DataMine, our historical market data service, continued to have strong demand from the hedge fund and algorithmic trading community to power their trading models.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2" w:name="page13"/>
    <w:bookmarkEnd w:id="12"/>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part of our market data and information products business, we also supply services to S&amp;P and the Dubai Mercantile Exchange in connection with the usage reporting, contract administration and associated billing and revenue collection for the display and integration of their market data into our standard market data distribution. We are the exclusive distributor of Dow Jones Index data from our market data distribution platform. We also provide access to all prices for products listed on the Minneapolis Grain Exchange and the Kansas City Board of Trade, which are available for electronic trading on CME Globex. In 2009, we began offering real-time market data on our CME market data platform for BM&amp;FBOVESPA as well. We believe that there will be further opportunities to continue leveraging our market data distribution capabilities with new or existing strategic partners.</w:t>
      </w:r>
    </w:p>
    <w:p>
      <w:pPr>
        <w:spacing w:after="0" w:line="120"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We believe that there has been a decline in subscriptions of market data due primarily to the consolidation of many of our customers and related headcount reductions as a result of the recent financial crisis. Based upon historical trends, we believe that real-time market data subscribers will increase again as unemployment numbers begin to improve in the financial services industry.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Execution</w:t>
      </w:r>
    </w:p>
    <w:p>
      <w:pPr>
        <w:spacing w:after="0" w:line="9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primary trade execution facilities consist of our CME Globex electronic trading platform and our open outcry trading floors in Chicago and New York City. These execution facilities offer our customers immediate trade execution and price transparency and are supported by substantial infrastructure and technology for order routing, trade reporting, market data dissemination and market surveillance and regulation. In addition, trades can be executed through privately negotiated transactions that are cleared and settled through our clearing house.</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 xml:space="preserve">Electronic Trading. </w:t>
      </w:r>
      <w:r>
        <w:rPr>
          <w:rFonts w:ascii="Arial" w:cs="Arial" w:eastAsia="Arial" w:hAnsi="Arial"/>
          <w:sz w:val="18"/>
          <w:szCs w:val="18"/>
          <w:color w:val="auto"/>
        </w:rPr>
        <w:t>Our CME Globex electronic trading platform maintains an electronic, centralized order book and trade execution algorithm for futures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and options on futures contracts and allows users to enter orders directly into the order book. In 2009, 81% of our average daily trading volume was executed electronically, compared with 80% in 2008. During 2009, approximately 72% of our clearing and transaction fees revenue was derived from electronic trading.</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 xml:space="preserve">Open Outcry Trading. </w:t>
      </w:r>
      <w:r>
        <w:rPr>
          <w:rFonts w:ascii="Arial" w:cs="Arial" w:eastAsia="Arial" w:hAnsi="Arial"/>
          <w:sz w:val="16"/>
          <w:szCs w:val="16"/>
          <w:color w:val="auto"/>
        </w:rPr>
        <w:t>We also offer our members the ability to execute transactions in an open-auction format on our trading floors—a centralized meeting place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traders and floor brokers to trade our products. Orders by market participants not physically located on the trading floor are communicated to floor brokers. Current market information and news are displayed on wallboards hung above the trading pits. In the second quarter of 2008, we integrated the CME and CBOT trading floors at one location at 141 West Jackson Boulevard in Chicago. As a result of our acquisition of NYMEX, we now operate open outcry trading in New York City at One North End Avenue. We completed the integration of the NYMEX and COMEX trading floors into one floor in the second quarter of 2009. During 2009, approximately 11% of our clearing and transaction fees revenue was derived from open outcry trading.</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 xml:space="preserve">Privately Negotiated and Over-the-Counter Transactions. </w:t>
      </w:r>
      <w:r>
        <w:rPr>
          <w:rFonts w:ascii="Arial" w:cs="Arial" w:eastAsia="Arial" w:hAnsi="Arial"/>
          <w:sz w:val="16"/>
          <w:szCs w:val="16"/>
          <w:color w:val="auto"/>
        </w:rPr>
        <w:t>In addition to offering traditional open outcry and electronic trading through the CME Globex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platform, we permit qualified customers to trade our products by entering into privately negotiated transactions, which are reported and included in the market data we distribute. We also clear, settle and guarantee these transactions through our clearing house and CME ClearPort. These transactions provide our customers with the flexibility to negotiate their own prices, trade a wide array of financial and commodity products, and still take advantage of our financial safeguards. During 2009, approximately 17% of our clearing and transaction fees revenue was derived from this type of trading.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Clearing</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own and operate our clearing house—CME Clearing—that clears, settles and guarantees every futures and options contract traded through our exchange, in addition to over-the-counter products cleared through CME ClearPort and credit default swap contracts. Our integrated clearing function is designed to ensure the safety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soundness of our markets. Ownership and control of our own clearing house also enables us to retain the revenue associated with both the trading and clearing of our products. By owning our clearing house, we control the cost structure and the technology development cycle for our clearing services. It helps us manage our new product initiatives without being dependent on an outside entity. It also benefits our customers by creating operational, risk management and product benefits. Additionally, owning our own clearing house allows us to generate additional revenue by providing clearing services to other exchanges.</w:t>
      </w:r>
    </w:p>
    <w:p>
      <w:pPr>
        <w:spacing w:after="0" w:line="113"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In 2009, our clearing house cleared an average of 10.3 million contracts daily and 2.6 billion contracts overall. As of December 31, 2009, we maintained approximately $83.7 billion in cash, investments and letters of credit related to performance bonds, security deposits and other collateral deposited by our clearing firms and, during 2009, we transferred an average of approximately $3.0 billion a day in settlement funds through our clearing system. In addition, our clearing house guarantees the performance of all our contracts with a financial safeguards package of approximately $9.3 billion (as of December 31, 2009). During 2009, we submitted an application to the Financial Services Authority to become a UK Recognised Clearing House. Based on growing demand for centrally cleared solutions in global financial markets, our efforts to launch CME Clearing Europe are intended to provide greater efficiencies to our European customer base during local market hours. The EMEA region has been a significant source of growth for our business, and we have experienced volume growth during non-U.S. trading hours. As part of our global growth strategy, CME Clearing Europe will help to extend the safety and security of central counterparty clearing to our European clients, both through our initial offering of credit default swaps clearing and additional locally relevant products we plan to offer in the future.</w:t>
      </w:r>
    </w:p>
    <w:p>
      <w:pPr>
        <w:spacing w:after="0" w:line="108"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clearing function provides three primary benefits to our markets: a reliable credit guarantee; efficient, high-volume transaction processing; and cost and capital efficiencies. The services we provide can be broadly categorized as follows: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protection and risk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transaction processing and position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settlement, collateral and delivery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cross-margining and mutual offset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services.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 xml:space="preserve">Market Protection and Risk Management. </w:t>
      </w:r>
      <w:r>
        <w:rPr>
          <w:rFonts w:ascii="Arial" w:cs="Arial" w:eastAsia="Arial" w:hAnsi="Arial"/>
          <w:sz w:val="18"/>
          <w:szCs w:val="18"/>
          <w:color w:val="auto"/>
        </w:rPr>
        <w:t>Our clearing house guarantee of performance is a significant attraction, and an important part of the functioning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exchange.</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 xml:space="preserve">Central counterparty guarantee. </w:t>
      </w:r>
      <w:r>
        <w:rPr>
          <w:rFonts w:ascii="Arial" w:cs="Arial" w:eastAsia="Arial" w:hAnsi="Arial"/>
          <w:sz w:val="18"/>
          <w:szCs w:val="18"/>
          <w:color w:val="auto"/>
        </w:rPr>
        <w:t>Because of this guarantee, our customers do not need to evaluate the credit of each potential counterparty or limit themselves to</w:t>
      </w:r>
      <w:r>
        <w:rPr>
          <w:rFonts w:ascii="Arial" w:cs="Arial" w:eastAsia="Arial" w:hAnsi="Arial"/>
          <w:sz w:val="18"/>
          <w:szCs w:val="18"/>
          <w:i w:val="1"/>
          <w:iCs w:val="1"/>
          <w:color w:val="auto"/>
        </w:rPr>
        <w:t xml:space="preserve"> </w:t>
      </w:r>
      <w:r>
        <w:rPr>
          <w:rFonts w:ascii="Arial" w:cs="Arial" w:eastAsia="Arial" w:hAnsi="Arial"/>
          <w:sz w:val="18"/>
          <w:szCs w:val="18"/>
          <w:color w:val="auto"/>
        </w:rPr>
        <w:t>a selected set of counterparties. The benefits of centralized clearing have been made even more apparent during the recent period of financial uncertainty. Although not a guarantee of future performance, in our more than 100 year history of trading, we have never had a default or a loss of customer funds resulting from the failure of a clearing firm.</w:t>
      </w:r>
    </w:p>
    <w:p>
      <w:pPr>
        <w:spacing w:after="0" w:line="14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i w:val="1"/>
          <w:iCs w:val="1"/>
          <w:color w:val="auto"/>
        </w:rPr>
        <w:t xml:space="preserve">Performance bond requirements. </w:t>
      </w:r>
      <w:r>
        <w:rPr>
          <w:rFonts w:ascii="Arial" w:cs="Arial" w:eastAsia="Arial" w:hAnsi="Arial"/>
          <w:sz w:val="16"/>
          <w:szCs w:val="16"/>
          <w:color w:val="auto"/>
        </w:rPr>
        <w:t>Performance bonds are deposits that must be made by our clearing firms to ensure that they can cover potential losses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their trading positions. Performance bonds are calculated by our Standard Portfolio Analysis of Risk (SPAN) system that is used by approximately 50 exchanges and clearing organizations around the world. SPAN evaluates overall portfolio risk by calculating the worst possible loss that a portfolio of derivative and physical instruments might reasonably incur over a specified time period (typically one trading day). This is done by computing the gains and losses that the portfolio would incur under different market conditions. Additionally, the substitution of our clearing house as the counterparty to every transaction allows our customers to establish a position with one party and then offset the position with another party. This contract offsetting process provides our customers with flexibility in establishing and adjusting positions and provides for performance bond efficiencies.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4" w:name="page15"/>
    <w:bookmarkEnd w:id="14"/>
    <w:p>
      <w:pPr>
        <w:ind w:right="40"/>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Twice daily mark-to-market process. </w:t>
      </w:r>
      <w:r>
        <w:rPr>
          <w:rFonts w:ascii="Arial" w:cs="Arial" w:eastAsia="Arial" w:hAnsi="Arial"/>
          <w:sz w:val="16"/>
          <w:szCs w:val="16"/>
          <w:color w:val="auto"/>
        </w:rPr>
        <w:t>At each settlement cycle, our clearing house values, at the market price prevailing at that time, or marks-to-market, all open</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and requires payments from clearing firms whose positions have lost value and makes payments to clearing firms whose positions have gained value. Our clearing house marks-to-market all open positions at least twice a day, and more often if market volatility warrants. In select circumstances where CME has introduced clearing services to newer markets, positions are market-to-market daily, with the capability to mark-to-market more frequently as market conditions warrant. Marking-to-market provides both participants in a transaction with an accounting of their financial obligations under the contract. Having a mark-to-market cycle of a minimum of two times a day helps protect the financial integrity of our clearing house, our clearing firms and market participants. This allows our clearing house to identify quickly any clearing firms that may not be able to satisfy the financial obligations resulting from changes in the prices of their open contracts before those financial obligations become exceptionally large and jeopardize the ability of our clearing house to ensure performance of their open positions. This transparency makes it difficult for traders to hide losses or disguise unusual profits.</w:t>
      </w:r>
    </w:p>
    <w:p>
      <w:pPr>
        <w:spacing w:after="0" w:line="12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i w:val="1"/>
          <w:iCs w:val="1"/>
          <w:color w:val="auto"/>
        </w:rPr>
        <w:t xml:space="preserve">Segregation of customer funds. </w:t>
      </w:r>
      <w:r>
        <w:rPr>
          <w:rFonts w:ascii="Arial" w:cs="Arial" w:eastAsia="Arial" w:hAnsi="Arial"/>
          <w:sz w:val="16"/>
          <w:szCs w:val="16"/>
          <w:color w:val="auto"/>
        </w:rPr>
        <w:t>Regulations require our clearing firms to separately account for and segregate customers’ positions and monies from their own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that also extend to CME Clearing). If a clearing firm becomes financially unstable or insolvent due to a financial issue, a customer’s funds held in such a segregated account (provided the customer is not involved in the financial issue itself) will not be subject to the clearing firm’s creditor claims. In situations where a clearing firm were to become insolvent, the customer accounts could be transferred to another clearing firm.</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i w:val="1"/>
          <w:iCs w:val="1"/>
          <w:color w:val="auto"/>
        </w:rPr>
        <w:t xml:space="preserve">Twenty-four hour monitoring by risk management team. </w:t>
      </w:r>
      <w:r>
        <w:rPr>
          <w:rFonts w:ascii="Arial" w:cs="Arial" w:eastAsia="Arial" w:hAnsi="Arial"/>
          <w:sz w:val="18"/>
          <w:szCs w:val="18"/>
          <w:color w:val="auto"/>
        </w:rPr>
        <w:t>In order to ensure performance, we establish and monitor financial requirements of our clearing firms.</w:t>
      </w:r>
      <w:r>
        <w:rPr>
          <w:rFonts w:ascii="Arial" w:cs="Arial" w:eastAsia="Arial" w:hAnsi="Arial"/>
          <w:sz w:val="18"/>
          <w:szCs w:val="18"/>
          <w:i w:val="1"/>
          <w:iCs w:val="1"/>
          <w:color w:val="auto"/>
        </w:rPr>
        <w:t xml:space="preserve"> </w:t>
      </w:r>
      <w:r>
        <w:rPr>
          <w:rFonts w:ascii="Arial" w:cs="Arial" w:eastAsia="Arial" w:hAnsi="Arial"/>
          <w:sz w:val="18"/>
          <w:szCs w:val="18"/>
          <w:color w:val="auto"/>
        </w:rPr>
        <w:t>We employ more than 100 employees who use a variety of sophisticated tools to observe risk in our markets 24 hours a day, six days a week. These employees work closely with other teams across the organization in products and services, legal and market regulation as well as with our clearing firms to help our customers manage risk during periods of economic uncertainty.</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i w:val="1"/>
          <w:iCs w:val="1"/>
          <w:color w:val="auto"/>
        </w:rPr>
        <w:t xml:space="preserve">Multi-billion dollar safeguards package. </w:t>
      </w:r>
      <w:r>
        <w:rPr>
          <w:rFonts w:ascii="Arial" w:cs="Arial" w:eastAsia="Arial" w:hAnsi="Arial"/>
          <w:sz w:val="18"/>
          <w:szCs w:val="18"/>
          <w:color w:val="auto"/>
        </w:rPr>
        <w:t>CME Clearing’s approximately $9.3 billion financial safeguard system (as of December 31, 2009) is designed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and protection of both clearing members and their customers and is described in more detail on page 84 of “Item 7A. Quantitative and Qualitative Disclosures about Market Risk.”</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Credit default swaps margining. </w:t>
      </w:r>
      <w:r>
        <w:rPr>
          <w:rFonts w:ascii="Arial" w:cs="Arial" w:eastAsia="Arial" w:hAnsi="Arial"/>
          <w:sz w:val="18"/>
          <w:szCs w:val="18"/>
          <w:color w:val="auto"/>
        </w:rPr>
        <w:t>In connection with our provision of clearing services for the credit default swap market, we modified our framework to address</w:t>
      </w:r>
      <w:r>
        <w:rPr>
          <w:rFonts w:ascii="Arial" w:cs="Arial" w:eastAsia="Arial" w:hAnsi="Arial"/>
          <w:sz w:val="18"/>
          <w:szCs w:val="18"/>
          <w:i w:val="1"/>
          <w:iCs w:val="1"/>
          <w:color w:val="auto"/>
        </w:rPr>
        <w:t xml:space="preserve"> </w:t>
      </w:r>
      <w:r>
        <w:rPr>
          <w:rFonts w:ascii="Arial" w:cs="Arial" w:eastAsia="Arial" w:hAnsi="Arial"/>
          <w:sz w:val="18"/>
          <w:szCs w:val="18"/>
          <w:color w:val="auto"/>
        </w:rPr>
        <w:t>the unique characteristics of these products. In addition to our traditional risk management procedures described above, we use a multi-factor model for margining designed to address the risk factors relating to these products.</w:t>
      </w:r>
    </w:p>
    <w:p>
      <w:pPr>
        <w:spacing w:after="0" w:line="140" w:lineRule="exact"/>
        <w:rPr>
          <w:sz w:val="20"/>
          <w:szCs w:val="20"/>
          <w:color w:val="auto"/>
        </w:rPr>
      </w:pPr>
    </w:p>
    <w:p>
      <w:pPr>
        <w:spacing w:after="0" w:line="314" w:lineRule="auto"/>
        <w:rPr>
          <w:sz w:val="20"/>
          <w:szCs w:val="20"/>
          <w:color w:val="auto"/>
        </w:rPr>
      </w:pPr>
      <w:r>
        <w:rPr>
          <w:rFonts w:ascii="Arial" w:cs="Arial" w:eastAsia="Arial" w:hAnsi="Arial"/>
          <w:sz w:val="15"/>
          <w:szCs w:val="15"/>
          <w:b w:val="1"/>
          <w:bCs w:val="1"/>
          <w:i w:val="1"/>
          <w:iCs w:val="1"/>
          <w:color w:val="auto"/>
        </w:rPr>
        <w:t xml:space="preserve">Transaction Processing and Position Management. </w:t>
      </w:r>
      <w:r>
        <w:rPr>
          <w:rFonts w:ascii="Arial" w:cs="Arial" w:eastAsia="Arial" w:hAnsi="Arial"/>
          <w:sz w:val="15"/>
          <w:szCs w:val="15"/>
          <w:color w:val="auto"/>
        </w:rPr>
        <w:t>Our CLEARING 21 system processes reported trades and positions on a real-time basis, providing users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instantaneous information on trades, positions and risk exposure. CLEARING 21 is able to process trades in futures and options products, securities and cash instruments. CLEARING 21 can also support complex new product types. Through CLEARING 21 user interfaces, our clearing firms can electronically manage their positions, exercise options, enter transactions related to foreign exchange deliveries, manage collateral posted to meet performance bond requirements and access all of our other online applications. Together with our order routing and trade matching services, we offer straight-through electronic processing of transactions in which an order is electronically routed, matched, cleared and made available to the clearing firm’s back-office systems for further processing.</w:t>
      </w:r>
    </w:p>
    <w:p>
      <w:pPr>
        <w:spacing w:after="0" w:line="105"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b w:val="1"/>
          <w:bCs w:val="1"/>
          <w:i w:val="1"/>
          <w:iCs w:val="1"/>
          <w:color w:val="auto"/>
        </w:rPr>
        <w:t xml:space="preserve">Settlement, Collateral and Delivery Services. </w:t>
      </w:r>
      <w:r>
        <w:rPr>
          <w:rFonts w:ascii="Arial" w:cs="Arial" w:eastAsia="Arial" w:hAnsi="Arial"/>
          <w:sz w:val="15"/>
          <w:szCs w:val="15"/>
          <w:color w:val="auto"/>
        </w:rPr>
        <w:t>We manage final settlement in all of our contracts, including cash settlement, physical delivery of selected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commodities, and option exercises and assignments. Because some initial and maintenance performance bonds from clearing firms, as well as mark-to-market obligations on some of our contracts, are denominated in various foreign currencies, we offer multi-currency performance bond and settlement services.</w:t>
      </w:r>
    </w:p>
    <w:p>
      <w:pPr>
        <w:spacing w:after="0" w:line="8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Generally, although most of our futures contracts are liquidated before the expiration of the contract, the underlying financial instruments or commodities for the remainder of the contracts must be delivered or cash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5" w:name="page16"/>
    <w:bookmarkEnd w:id="15"/>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settled. We act as the delivery agent for all contracts, ensuring timely delivery by the seller of the exact quality and quantity specified in a contract and full and timely payment by the buyer.</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To administer its system of financial safeguards efficiently, our clearing house has developed banking relationships with a network of major U.S. banks and banking industry infrastructure providers, such as the Society for Worldwide Interbank Financial Telecommunications. Among the key services provided to our clearing house by these banks and service providers are a variety of custody, credit and payment services that support the substantial financial commitments and processes backing the guarantee of our clearing house to market participants.</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Cross-Margining and Mutual Offset Services. </w:t>
      </w:r>
      <w:r>
        <w:rPr>
          <w:rFonts w:ascii="Arial" w:cs="Arial" w:eastAsia="Arial" w:hAnsi="Arial"/>
          <w:sz w:val="16"/>
          <w:szCs w:val="16"/>
          <w:color w:val="auto"/>
        </w:rPr>
        <w:t>Cross-margining arrangements reduce capital costs for clearing firms and customers. These agreements permit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individual clearing house to recognize a clearing firm’s open positions at other participating clearing houses, and clearing firms are able to offset risks of positions held at one clearing house against those held at other participating clearing houses. This arrangement reduces collateral deposits by the clearing firm. For example, our cross-margining program with the Options Clearing Corporation, which celebrated its 20</w:t>
      </w:r>
      <w:r>
        <w:rPr>
          <w:rFonts w:ascii="Arial" w:cs="Arial" w:eastAsia="Arial" w:hAnsi="Arial"/>
          <w:sz w:val="10"/>
          <w:szCs w:val="10"/>
          <w:color w:val="auto"/>
        </w:rPr>
        <w:t>th</w:t>
      </w:r>
      <w:r>
        <w:rPr>
          <w:rFonts w:ascii="Arial" w:cs="Arial" w:eastAsia="Arial" w:hAnsi="Arial"/>
          <w:sz w:val="16"/>
          <w:szCs w:val="16"/>
          <w:color w:val="auto"/>
        </w:rPr>
        <w:t xml:space="preserve"> anniversary in 2009, reduced performance bond requirements for our clearing members by an average of approximately $2.2 billion per day utilized in 2009. We have implemented cross-margining arrangements with the Fixed Income Clearing Corporation. We also previously had an arrangement with LCH.Clearnet Group for positions at the London International Financial Futures and Options Exchange Limited that were cleared through LCH.Clearnet Group. This arrangement was terminated in February 2010. In addition, our mutual offset agreement with the Singapore Exchange Limited allows a clearing firm of either exchange initiating trades in certain products on either exchange to execute after-hours trades at the other exchange in those products and then transfer them back to the originating exchange. This mutual offset arrangement enables firms to execute trades at either exchange virtually 24 hours per day.</w:t>
      </w:r>
    </w:p>
    <w:p>
      <w:pPr>
        <w:spacing w:after="0" w:line="123" w:lineRule="exact"/>
        <w:rPr>
          <w:sz w:val="20"/>
          <w:szCs w:val="20"/>
          <w:color w:val="auto"/>
        </w:rPr>
      </w:pPr>
    </w:p>
    <w:p>
      <w:pPr>
        <w:jc w:val="both"/>
        <w:ind w:right="60"/>
        <w:spacing w:after="0" w:line="298" w:lineRule="auto"/>
        <w:rPr>
          <w:sz w:val="20"/>
          <w:szCs w:val="20"/>
          <w:color w:val="auto"/>
        </w:rPr>
      </w:pPr>
      <w:r>
        <w:rPr>
          <w:rFonts w:ascii="Arial" w:cs="Arial" w:eastAsia="Arial" w:hAnsi="Arial"/>
          <w:sz w:val="16"/>
          <w:szCs w:val="16"/>
          <w:b w:val="1"/>
          <w:bCs w:val="1"/>
          <w:i w:val="1"/>
          <w:iCs w:val="1"/>
          <w:color w:val="auto"/>
        </w:rPr>
        <w:t xml:space="preserve">Investment Services. </w:t>
      </w:r>
      <w:r>
        <w:rPr>
          <w:rFonts w:ascii="Arial" w:cs="Arial" w:eastAsia="Arial" w:hAnsi="Arial"/>
          <w:sz w:val="16"/>
          <w:szCs w:val="16"/>
          <w:color w:val="auto"/>
        </w:rPr>
        <w:t>In order to achieve collateral efficiencies for our clearing firms, we have established a number of collateral programs under the designation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Earning Facility. Under this program, our clearing firms may select from different programs to meet their individual needs. The programs are designed to enable our clearing firms to make optimal use of the demand deposit cash accounts and security accounts they have established to satisfy their performance bond requirements. We earn fee income in return for providing these value-added services to our clearing firms.</w:t>
      </w:r>
    </w:p>
    <w:p>
      <w:pPr>
        <w:spacing w:after="0" w:line="11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clearing house launched a securities lending program in 2001 using a portion of certain securities deposited to meet the proprietary performance bond requirements of our clearing firms. Under the securities lending program, we would lend a security to a third party and receive collateral in the form of cash. The majority of the cash was then invested to generate interest income. The related interest expense represented payment to the borrower of the security for the cash collateral retained during the duration of the lending transaction. Securities on loan were marked-to-market daily and compared to collateral received. In 2008, we suspended the program due to high volatility in the credit markets. We continue to monitor the credit markets on a regular basis and may restart the program when conditions are appropriate.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Our operation of both electronic and open outcry trading facilities and a clearing house has influenced the design and implementation of the technologies that support our operations.</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Trading Technology. </w:t>
      </w:r>
      <w:r>
        <w:rPr>
          <w:rFonts w:ascii="Arial" w:cs="Arial" w:eastAsia="Arial" w:hAnsi="Arial"/>
          <w:sz w:val="18"/>
          <w:szCs w:val="18"/>
          <w:color w:val="auto"/>
        </w:rPr>
        <w:t>We have a proven track record of operating successful electronic and open outcry markets by developing and integrating multiple, evolving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that support a growing and substantial trading volume. The integrated suite of technologies we employ to accomplish this has been designed to support a significant expansion of our current business and provides us with an opportunity to leverage our technology base into new markets, products and services.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 w:name="page17"/>
    <w:bookmarkEnd w:id="16"/>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electronic trading activity expands, we continue to provide greater match engine functionality unique to various markets, market models and product types. We have adopted a modular approach to technology development and engineered an integrated set of solutions that support multiple specialized markets. We continually monitor and upgrade our capacity requirements. Our goal is to design our systems to handle at least one-and-a-half times our historical peak transactions in our highest volume products. Significant investments in production planning, quality assurance and certification processes have enhanced our ability to expedite the delivery of the system enhancements that we develop for our customers. We continue to implement technology upgrades that provide speed and functionality enhancements. Also, our proposed transaction with BM&amp;FBOVESPA will further expand the breadth of our technology and distribution capabilities into the global cash equities and options markets. The new platform will offer customers an integrated technology solution and we along with BM&amp;FBOVESPA will have the ability to license the platform to other exchanges internationally.</w:t>
      </w:r>
    </w:p>
    <w:p>
      <w:pPr>
        <w:spacing w:after="0" w:line="11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Speed, reliability, scalability, capacity and functionality are critical performance criteria for electronic trading platforms. A substantial portion of our operating budget is dedicated to system design, development and operations in order to achieve high levels of overall system performance. In 2009, we continued our efforts to grow and enhance our electronic trading capabilities. For example, we successfully deployed additional functionality which provides an easy and intuitive interface that allows our customers to quickly enter and execute complex options strategies. Additionally, in 2009, we completed the construction of our new Globex Control Center and Technology Operations Command Center. The state-of-the-art facility brings the Globex Control Center, technology operations and all our other critical support teams together in one space at 20 South Wacker Drive. Bringing these teams and functions together will ensure efficient and coordinated communications, proactive monitoring of markets and systems, and timely incident crisis management. Among its critical capabilities, the facility provides 24-hour monitoring of our global technology infrastructure and market operations; global news and market information; and geographic mapping of incoming customer calls. We also maintain remote data facilities to provide additional system capacity and redundancy for our trading and clearing technology. Our data centers support our customer interfaces, trading and execution systems, as well as clearing and settlement operations. In 2010, our production electronic trading environment will be operational in our third data center.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technology systems supporting our trading operations can be divided into five major categories:</w:t>
      </w:r>
    </w:p>
    <w:p>
      <w:pPr>
        <w:sectPr>
          <w:pgSz w:w="11900" w:h="16838" w:orient="portrait"/>
          <w:cols w:equalWidth="0" w:num="1">
            <w:col w:w="11420"/>
          </w:cols>
          <w:pgMar w:left="240" w:top="280"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Order routing/order management</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Trade matching (electronic market)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data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opportunities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Technologies that support the ability of customers to access our trading systems from terminals through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network access to our trading floor and/or electronic trading environments.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Technologies that control the flow of orders to the trading floor or electronic trading systems and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monitor the status of and modify submitted orders.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Technologies that aggregate submitted orders and electronically match buy and sell orders when their trade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conditions are met.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Technologies that distribute order information to our end user customers on our market data platform.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Technologies that maximize market participants’ ability to capitalize on opportunities present in both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trading floor and electronic markets that we operate.</w:t>
      </w:r>
    </w:p>
    <w:p>
      <w:pPr>
        <w:spacing w:after="0" w:line="165" w:lineRule="exact"/>
        <w:rPr>
          <w:sz w:val="20"/>
          <w:szCs w:val="20"/>
          <w:color w:val="auto"/>
        </w:rPr>
      </w:pPr>
    </w:p>
    <w:p>
      <w:pPr>
        <w:sectPr>
          <w:pgSz w:w="11900" w:h="16838" w:orient="portrait"/>
          <w:cols w:equalWidth="0" w:num="2">
            <w:col w:w="3180" w:space="720"/>
            <w:col w:w="7520"/>
          </w:cols>
          <w:pgMar w:left="240" w:top="280" w:right="239" w:bottom="1440" w:gutter="0" w:footer="0" w:header="0"/>
          <w:type w:val="continuous"/>
        </w:sectPr>
      </w:pPr>
    </w:p>
    <w:p>
      <w:pPr>
        <w:ind w:right="500"/>
        <w:spacing w:after="0" w:line="332" w:lineRule="auto"/>
        <w:rPr>
          <w:sz w:val="20"/>
          <w:szCs w:val="20"/>
          <w:color w:val="auto"/>
        </w:rPr>
      </w:pPr>
      <w:r>
        <w:rPr>
          <w:rFonts w:ascii="Arial" w:cs="Arial" w:eastAsia="Arial" w:hAnsi="Arial"/>
          <w:sz w:val="16"/>
          <w:szCs w:val="16"/>
          <w:color w:val="auto"/>
        </w:rPr>
        <w:t>The CME Globex electronic trading platform includes the distribution, order routing, order management, trade matching and market data technology. CME Globex’s modularity and functionality enable us to selectively add products with unique trading characteristics onto the trading platform.</w:t>
      </w:r>
    </w:p>
    <w:p>
      <w:pPr>
        <w:spacing w:after="0" w:line="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distribution technologies we offer differentiate our platform and bring liquidity and trading volume to our execution facilities. As of December 31, 2009, we had approximately 900 direct connections with our systems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type w:val="continuous"/>
        </w:sectPr>
      </w:pPr>
    </w:p>
    <w:bookmarkStart w:id="17" w:name="page18"/>
    <w:bookmarkEnd w:id="17"/>
    <w:p>
      <w:pPr>
        <w:jc w:val="both"/>
        <w:ind w:right="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customers across the globe. Many of these customers connect through a dedicated private network that is readily available, has wide distribution and provides fast connections in the Americas, Europe and Asia. We have telecommunications hubs in Amsterdam, Dublin, London, Milan, Paris, Sao Paulo, Seoul and Singapore to respond to customer requests and reduce the cost of trading for our foreign customers. We plan to add a hub in Kuala Lumpur in the first half of 2010.</w:t>
      </w:r>
    </w:p>
    <w:p>
      <w:pPr>
        <w:spacing w:after="0" w:line="88"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In order routing and management, we offer a range of mechanisms and were among the first U.S. derivatives exchanges to implement the FIX protocol—the standard order routing protocol used within the securities industry. In addition, our order routing and order management systems are capable of supporting multiple electronic trading match engines. This functionality gives us great latitude in the types of markets that we choose to serve. In 2009, we deployed an optimized order routing gateway that resulted in a significant reduction in CME Globex latency. We also implemented additional risk management tools for our clearing firms, including providing risk administrators with manual and automated credit controls.</w:t>
      </w:r>
    </w:p>
    <w:p>
      <w:pPr>
        <w:spacing w:after="0" w:line="1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Several key technology platforms and standards are used to support these activities, including fault-tolerant HP Integrity NonStop Blade Systems, IBM mainframes, Hitachi and EMC storage area networks (SAN equipment), HP servers and CISCO routers and switches for hardware. Our software vendors include Oracle and DB2 databases, LINUX, UNIX, Novell, TIBCO middleware and multi-vendor network solutions.</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futures match engine design was based upon a computerized trading and match software known as the NSC system. During 2009, we continued the migration of our futures products from the NSC system to our internally designed options platform in connection with our enhancement of our options engine. Our options match engine was designed and built at CME with focus on the speed of matching buy and sell orders and fault tolerance for 24-hour trading. This transition to a single match engine will bring better system performance and more opportunity for combination futures/options trading, while allowing us to more easily and cost-effectively scale our system for future growth. All existing functionality is present and we expect that the migration will be relatively seamless to the end customer. During 2009, we completed the migration of our FX currency futures and equities complexes and expect to complete the migration of our remaining product suites by early 2011. We continue to work on enhancements to our match engine to build a fully-functional electronic marketplace for unique trading demands where our customers can offset their risk with as much ease as in our open outcry trading facilities.</w:t>
      </w:r>
    </w:p>
    <w:p>
      <w:pPr>
        <w:spacing w:after="0" w:line="11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Over the last three years we have made significant investments in market data technologies to support increased trading and messaging volumes. Enhancements include performance improvements, scalability with a new multicast distribution platform, and a FIX 5.0 compliant messaging format. These implementations benefit our customers by reducing required bandwidth and costs as well improving performance.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Clearing Technology. </w:t>
      </w:r>
      <w:r>
        <w:rPr>
          <w:rFonts w:ascii="Arial" w:cs="Arial" w:eastAsia="Arial" w:hAnsi="Arial"/>
          <w:sz w:val="18"/>
          <w:szCs w:val="18"/>
          <w:color w:val="auto"/>
        </w:rPr>
        <w:t>CLEARING 21, SPAN and CME ClearPort form the core of our clearing technology.</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CLEARING 21 is a system for high-volume, high-capacity clearing and settlement of exchange-based transactions. The system offers clearing firms improved efficiency and reduced costs. CLEARING 21’s modular design gives us the ability to rapidly introduce new products. The software can be customized to meet the unique needs of specialized markets.</w:t>
      </w:r>
    </w:p>
    <w:p>
      <w:pPr>
        <w:spacing w:after="0" w:line="14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SPAN system is a highly sophisticated methodology that calculates performance bond requirements by analyzing the “what-ifs” of virtually any market scenario. Developed and implemented in 1988 by CME, SPAN was the first system ever to calculate performance bond requirements exclusively on the basis of overall portfolio risk at both the clearing firm and customer level. In the years since its inception, SPAN has become the industry standard for portfolio risk assessment. It is the official performance bond (margin) mechanism of approximately 50 registered exchanges, clearing organizations, service bureaus and regulatory agencies throughout the world.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CME ClearPort is our flexible, internet-based system that provides clearing services of over-the-counter transactions. The system lets market participants take advantage of the financial depth and security of our clearing house. Through this technology, customers can conduct their own transactions, negotiate their own prices and still take advantage of our central counterparty clearing.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Building Services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Following our mergers with CBOT Holdings and NYMEX Holdings, we now own and manage real estate, with approximately 1.5 million square feet of commercial space in the central business district of Chicago and approximately 500,000 square feet in downtown New York City. As of December 31, 2009, our real estate was approximately 94% occupied, with nearly 38% of the total space used by us. In the second quarter of 2009, we completed consolidation of the NYMEX and COMEX trading floors located at One North End Avenue in New York City.</w:t>
      </w:r>
    </w:p>
    <w:p>
      <w:pPr>
        <w:spacing w:after="0" w:line="113"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Tenants pay market rates for rent. The majority of tenant leases have terms of one to five years, with large tenants generally having leases for up to fifteen years. As of December 31, 2009, the largest tenant in Chicago, other than us, leased approximately 9% of the total area and the next five largest tenants leased about 14% of the total area. In New York City, the largest tenant leased approximately 12% of the total area. We manage both the real estate and the general services relating to our real estate such as cleaning, power and telephone services. Building services generated about 1% of our total revenues in 2009.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Continuity Planning</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continue to strengthen and upgrade our disaster recovery facilities and capabilities. We have dedicated significant resources to improve our continuity planning. For example, our disaster recovery infrastructure and activities include:</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Formal disaster recovery testing conducted twice a year at each of our data centers.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Network disaster recovery testing conducted monthly.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Participation in an annual industry-wide disaster recovery test sponsored by the Futures Industry Association.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Bi-annual functional exercises utilizing remote access to our systems with employees responsible for our critical business unit procedures.</w:t>
      </w:r>
    </w:p>
    <w:p>
      <w:pPr>
        <w:spacing w:after="0" w:line="194"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Additionally, in order to ensure proper coordination during a potential crisis, we have established relationships with the local business community, law enforcement, and local and regional governmental emergency agencies as well as our regulators.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2010, our production electronic trading environment will be operational in our third data center, further enhancing our disaster recovery facilities.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ind w:right="300"/>
        <w:spacing w:after="0" w:line="370" w:lineRule="auto"/>
        <w:rPr>
          <w:sz w:val="20"/>
          <w:szCs w:val="20"/>
          <w:color w:val="auto"/>
        </w:rPr>
      </w:pPr>
      <w:r>
        <w:rPr>
          <w:rFonts w:ascii="Arial" w:cs="Arial" w:eastAsia="Arial" w:hAnsi="Arial"/>
          <w:sz w:val="15"/>
          <w:szCs w:val="15"/>
          <w:color w:val="auto"/>
        </w:rPr>
        <w:t>We continually review our growth strategy and whether it is in the interests of our shareholders to engage in discussions with other parties regarding various strategic acquisitions, partnerships, divestitures and other arrangements and alliances. The following is a summary of our key strategic relationships:</w:t>
      </w:r>
    </w:p>
    <w:p>
      <w:pPr>
        <w:spacing w:after="0" w:line="62"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b w:val="1"/>
          <w:bCs w:val="1"/>
          <w:i w:val="1"/>
          <w:iCs w:val="1"/>
          <w:color w:val="auto"/>
        </w:rPr>
        <w:t xml:space="preserve">BM&amp;FBOVESPA. </w:t>
      </w:r>
      <w:r>
        <w:rPr>
          <w:rFonts w:ascii="Arial" w:cs="Arial" w:eastAsia="Arial" w:hAnsi="Arial"/>
          <w:sz w:val="16"/>
          <w:szCs w:val="16"/>
          <w:color w:val="auto"/>
        </w:rPr>
        <w:t>To increase liquidity and expand the international market for our customers, we have established a partnership with BM&amp;FBOVESPA,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leading exchange in Latin America. Pursuant to an order routing agreement, its products can be traded by participants connected to our CME Globex platform, and our products can be traded by participants connected to BM&amp;FBOVESPA’s Global Trading System platform. We</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80"/>
          </w:cols>
          <w:pgMar w:left="240" w:top="280" w:right="379" w:bottom="1440" w:gutter="0" w:footer="0" w:header="0"/>
        </w:sectPr>
      </w:pPr>
    </w:p>
    <w:bookmarkStart w:id="19" w:name="page20"/>
    <w:bookmarkEnd w:id="19"/>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currently own an equity stake of approximately 5% in BM&amp;FBOVESPA and it owns an equity stake of approximately 1.8% in us. On February 11, 2010, we announced a non-binding letter of intent with BM&amp;FBOVESPA to expand our existing strategic partnership to develop a new multi-asset class electronic trading platform that will be deployed by BM&amp;FBOVESPA for use in its own cash equities and derivatives markets, and both of us will have the ability to license the platform to other exchanges internationally. The new platform will offer customers an integrated technology solution for global derivatives and non-U.S. equities trading. We have agreed to an exclusive negotiation period to enter into definitive agreements. Development of the new system will begin immediately and is expected to launch in early 2011. As part of the expanded partnership, BM&amp;FBOVESPA will increase its ownership interest in us to 5%, the same approximate stake we currently have in BM&amp;FBOVESPA. Consummation of the transaction is subject to the negotiation of definitive agreements, approval by the regulators, completion of customary closing conditions and BM&amp;FBOVESPA shareholder approval. In connection with the proposed transaction, our board authorized a plan to repurchase up to 2.35 million shares of our Class A common stock. We also agreed to nominate a senior representative of BM&amp;FBOVESPA to our board in connection with the closing of the transaction.</w:t>
      </w:r>
    </w:p>
    <w:p>
      <w:pPr>
        <w:spacing w:after="0" w:line="12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i w:val="1"/>
          <w:iCs w:val="1"/>
          <w:color w:val="auto"/>
        </w:rPr>
        <w:t xml:space="preserve">Bursa Malaysia Derivatives. </w:t>
      </w:r>
      <w:r>
        <w:rPr>
          <w:rFonts w:ascii="Arial" w:cs="Arial" w:eastAsia="Arial" w:hAnsi="Arial"/>
          <w:sz w:val="16"/>
          <w:szCs w:val="16"/>
          <w:color w:val="auto"/>
        </w:rPr>
        <w:t>In 2009, we acquired a 25% equity stake in Bursa Malaysia Derivatives and also entered into a trade matching services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 product licensing agreement. Pursuant to these agreements, we will provide CME Globex services to Bursa Malaysia for all of its derivatives products. We also will have the right to use its crude palm oil futures settlement prices to develop our own U.S. dollar denominated contract. An additional telecommunications hub is planned for Kuala Lumpur in the first half of 2010. The partnership will also further enhance our globalization efforts by facilitating our customers’ access to its important markets and will increase our presence in Asia.</w:t>
      </w:r>
    </w:p>
    <w:p>
      <w:pPr>
        <w:spacing w:after="0" w:line="11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 xml:space="preserve">Dubai Mercantile Exchange. </w:t>
      </w:r>
      <w:r>
        <w:rPr>
          <w:rFonts w:ascii="Arial" w:cs="Arial" w:eastAsia="Arial" w:hAnsi="Arial"/>
          <w:sz w:val="18"/>
          <w:szCs w:val="18"/>
          <w:color w:val="auto"/>
        </w:rPr>
        <w:t>We own an approximate 28% interest in the Dubai Mercantile Exchange. In February 2009, DME futures contracts became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exclusively traded electronically on our CME Globex platform. The listing of the DME Oman crude oil futures contract on CME Globex further enhances the value proposition of DME as they seek to establish Oman crude oil—which is currently used to establish the pricing of oil shipped from Oman and Dubai—as the leading world benchmark for pricing East of Suez crude oil shipments.</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b w:val="1"/>
          <w:bCs w:val="1"/>
          <w:i w:val="1"/>
          <w:iCs w:val="1"/>
          <w:color w:val="auto"/>
        </w:rPr>
        <w:t xml:space="preserve">Green Exchange Venture. </w:t>
      </w:r>
      <w:r>
        <w:rPr>
          <w:rFonts w:ascii="Arial" w:cs="Arial" w:eastAsia="Arial" w:hAnsi="Arial"/>
          <w:sz w:val="18"/>
          <w:szCs w:val="18"/>
          <w:color w:val="auto"/>
        </w:rPr>
        <w:t>Green Exchange Holdings LLC is a joint venture among CME and a consortium of banks and brokers. The Green Exchange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to take over a number of products currently listed on NYMEX once it receives regulatory approval to operate as a designated contract market. Current products listed on NYMEX include futures and options on European Union Allowances, carbon allowances tied to the Regional Greenhouse Gas Initiative, and other greenhouse gas markets.</w:t>
      </w:r>
    </w:p>
    <w:p>
      <w:pPr>
        <w:spacing w:after="0" w:line="143"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b w:val="1"/>
          <w:bCs w:val="1"/>
          <w:i w:val="1"/>
          <w:iCs w:val="1"/>
          <w:color w:val="auto"/>
        </w:rPr>
        <w:t xml:space="preserve">Korea Exchange. </w:t>
      </w:r>
      <w:r>
        <w:rPr>
          <w:rFonts w:ascii="Arial" w:cs="Arial" w:eastAsia="Arial" w:hAnsi="Arial"/>
          <w:sz w:val="16"/>
          <w:szCs w:val="16"/>
          <w:color w:val="auto"/>
        </w:rPr>
        <w:t>In 2008, we finalized our five-year agreement with the Korea Exchange to list the KOSPI 200 futures contract on CME Globex during after-hours trading in Korea. Trading began in November 2009. As part of the agreement, we created a telecommunications hub in Seoul. We are also committed to pursue with the Korea Exchange a potential bi-directional order routing initiative that would be modeled after our arrangement with BM&amp;FBOVESPA.</w:t>
      </w:r>
    </w:p>
    <w:p>
      <w:pPr>
        <w:spacing w:after="0" w:line="10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 xml:space="preserve">Singapore Exchange Limited. </w:t>
      </w:r>
      <w:r>
        <w:rPr>
          <w:rFonts w:ascii="Arial" w:cs="Arial" w:eastAsia="Arial" w:hAnsi="Arial"/>
          <w:sz w:val="18"/>
          <w:szCs w:val="18"/>
          <w:color w:val="auto"/>
        </w:rPr>
        <w:t>In October 2006, we renewed our mutual offset agreement with the Singapore Exchange for an additional three-year term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automatic renewals for one year each unless terminated by either party. The current term is through October 2010. This relationship, which has been in effect since 1984, allows a clearing firm of either exchange initiating trades in certain products on either exchange to execute after-hours trades at the other exchange in those products, then transfer them back to the originating exchange.</w:t>
      </w:r>
    </w:p>
    <w:p>
      <w:pPr>
        <w:spacing w:after="0" w:line="14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a result of our merger with CBOT Holdings, we also list the products of the Minneapolis Grain Exchange and the Kansas City Board of Trade on the CME Globex platform and act as their sole distributor of market data.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80"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Marketing Programs and Advertising</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marketing programs align our core business objectives and product line goals with positioning, messaging and customer targeting strategies designed to increase awareness and use of our products and services. The marketing strategy and tactics include conducting market research to gather customer insight, and the implementation of our marketing campaigns, which may include online and print advertising, direct marketing, tradeshows and customer events, public relations, online marketing and educational programs.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marketing programs primarily target institutional customers and, to a lesser extent, individual traders. Our marketing programs for institutional customers aim to inform traders, portfolio managers, corporate treasurers and other market professionals about new products and services, and important uses of our products, such as innovative hedging and risk management strategies. We also strive to educate these users about changes in product design, performance bond requirements and new clearing services. We participate in major domestic and international trade shows and seminars regarding futures contracts and options on futures contracts, and over-the-counter clearing solutions and other derivatives products. In addition, we sponsor educational workshops and marketing events designed to educate market users about our products. Through these relationships and programs, we attempt to understand the needs of our customer base and use information provided by them to drive our product development efforts.</w:t>
      </w:r>
    </w:p>
    <w:p>
      <w:pPr>
        <w:spacing w:after="0" w:line="118"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 xml:space="preserve">Our advertising strategies seek to increase awareness and strengthen perceptions of CME Group among our institutional and retail customers, as well as support an increase in our trading volume. In light of the recent financial crisis, we created an integrated and targeted marketing program to highlight the benefits of our central counterparty clearing model and our financial safeguards package. The campaign included print advertising, online marketing and educational programs. Additionally, in November 2009, we hosted our second annual Global Financial Leadership Conference, where participants had an opportunity to interact with some of the world’s leaders in business, finance and politics to discuss emerging geopolitical trends and debate critical economic issues. We were privileged to have Paul Volcker, chairman of the White House Economic Recovery Advisory Board and former chairman of the Federal Reserve, and Fareed Zakaria, editor of </w:t>
      </w:r>
      <w:r>
        <w:rPr>
          <w:rFonts w:ascii="Arial" w:cs="Arial" w:eastAsia="Arial" w:hAnsi="Arial"/>
          <w:sz w:val="16"/>
          <w:szCs w:val="16"/>
          <w:i w:val="1"/>
          <w:iCs w:val="1"/>
          <w:color w:val="auto"/>
        </w:rPr>
        <w:t>Newsweek International</w:t>
      </w:r>
      <w:r>
        <w:rPr>
          <w:rFonts w:ascii="Arial" w:cs="Arial" w:eastAsia="Arial" w:hAnsi="Arial"/>
          <w:sz w:val="16"/>
          <w:szCs w:val="16"/>
          <w:color w:val="auto"/>
        </w:rPr>
        <w:t>, columnist and CNN host, as our keynote speakers.</w:t>
      </w:r>
    </w:p>
    <w:p>
      <w:pPr>
        <w:spacing w:after="0" w:line="118"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 xml:space="preserve">Our primary method of advertising has been through print media, utilizing trade magazines and newsletters as well as business publications such as the </w:t>
      </w:r>
      <w:r>
        <w:rPr>
          <w:rFonts w:ascii="Arial" w:cs="Arial" w:eastAsia="Arial" w:hAnsi="Arial"/>
          <w:sz w:val="15"/>
          <w:szCs w:val="15"/>
          <w:i w:val="1"/>
          <w:iCs w:val="1"/>
          <w:color w:val="auto"/>
        </w:rPr>
        <w:t>Wall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Street Journal, Financial Times </w:t>
      </w:r>
      <w:r>
        <w:rPr>
          <w:rFonts w:ascii="Arial" w:cs="Arial" w:eastAsia="Arial" w:hAnsi="Arial"/>
          <w:sz w:val="15"/>
          <w:szCs w:val="15"/>
          <w:color w:val="auto"/>
        </w:rPr>
        <w:t>and</w:t>
      </w:r>
      <w:r>
        <w:rPr>
          <w:rFonts w:ascii="Arial" w:cs="Arial" w:eastAsia="Arial" w:hAnsi="Arial"/>
          <w:sz w:val="15"/>
          <w:szCs w:val="15"/>
          <w:i w:val="1"/>
          <w:iCs w:val="1"/>
          <w:color w:val="auto"/>
        </w:rPr>
        <w:t xml:space="preserve"> Barron’s</w:t>
      </w:r>
      <w:r>
        <w:rPr>
          <w:rFonts w:ascii="Arial" w:cs="Arial" w:eastAsia="Arial" w:hAnsi="Arial"/>
          <w:sz w:val="15"/>
          <w:szCs w:val="15"/>
          <w:color w:val="auto"/>
        </w:rPr>
        <w:t>. However, we also use online, television sponsorship and other direct advertisements to reach our target audiences.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Our targeted marketing program includes corporate and product brochures designed to communicate the depth and breadth of our capabilities; our annual report to shareholders, designed to showcase how key customers globally use our products to mitigate risk, in addition to presenting an overview of our financial results; and </w:t>
      </w:r>
      <w:r>
        <w:rPr>
          <w:rFonts w:ascii="Arial" w:cs="Arial" w:eastAsia="Arial" w:hAnsi="Arial"/>
          <w:sz w:val="18"/>
          <w:szCs w:val="18"/>
          <w:i w:val="1"/>
          <w:iCs w:val="1"/>
          <w:color w:val="auto"/>
        </w:rPr>
        <w:t>CME Group Magazine,</w:t>
      </w:r>
      <w:r>
        <w:rPr>
          <w:rFonts w:ascii="Arial" w:cs="Arial" w:eastAsia="Arial" w:hAnsi="Arial"/>
          <w:sz w:val="18"/>
          <w:szCs w:val="18"/>
          <w:color w:val="auto"/>
        </w:rPr>
        <w:t xml:space="preserve"> a quarterly publication; designed to keep our customers up to date on developments that can enhance their successful participation in the derivatives industry. The magazine features customer case histories, new product information, technology updates, trend stories and news briefs and is made available on our Web site.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industry in which we operate is highly competitive and we expect competition to continue to intensify. We encounter competition in all aspects of our business, including from entities having substantially greater capital and resources and offering a wider range of products and services and some operating under a different and possibly less stringent regulatory regime. Prior to the passage of the Commodity Futures Modernization Act of 2000 (CFMA), futures trading was required to take place on, or subject to the rules of, a federally designated contract market. The costs and difficulty of obtaining contract market designation and corresponding regulatory requirements created significant barriers to entry for competing exchanges. The passage of the CFMA and other changing market dynamics have led to increasing competition from a number of different domestic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international sources of varied size, business objectives and resources. For example, the CFMA permits SEC-regulated and bank clearing organizations to clear a broad array of derivatives products in addition to the products that clearing organizations have traditionally cleared. The CFMA also permits banks and broker-dealers, and some of their affiliates, to offer and sell foreign exchange futures to retail customers without being subject to regulation under the Commodity Exchange Act (CEA). We now face competition from other futures, securities and securities option exchanges; over-the-counter markets; clearing organizations; consortia formed by our members and large market participants; alternative trade execution facilities; technology firms, including market data distributors and electronic trading system developers; and others.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Derivatives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believe competition among exchanges in the derivatives and securities business is based on a number of factors, including, among others: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depth and liquidity of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transaction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breadth of product offerings and rate and quality of new product development;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transparency, reliability and anonymity in transaction processing;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connectivity;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technological capability and innovation;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efficient and secure settlement, clearing and support services;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believe that we compete favorably with respect to these factors, and that our deep, liquid markets; diverse product offerings; rate and quality of new product development; and efficient, secure settlement, clearing and support services distinguish us from our competitors. We believe that in order to maintain our competitive position, we must continue to expand globally; develop new and innovative products; enhance our technology infrastructure, including its reliability and functionality; and maintain liquidity and low transaction costs.</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Over the past few years there have been significant changes in the industry’s landscape as a result of the wave of consolidation and increased competition. At the end of 2009, there were approximately 55 futures exchanges located in approximately 30 countries, including 7 exchanges in the United States. Additionally, there has been an increase in activity among derivative dealers, banks and other entities to form competing exchanges. In 2007, a consortium of 12 financial institutions formed an exchange, Electronic Liquidity Exchange (ELX), which began trading in July 2009. ELX’s initial product line included electronic trading in U.S. Treasury futures in the two-, five-, and ten-year notes and thirty-year bond contracts in competition with CBOT’s treasury complex. Recently, ELX requested that the CFTC compel CBOT to accept certain non-competitive trades as a means to permit two customers, with equal and opposite positions at CBOT, to transfer those positions to ELX. We believe that such transactions would violate the CEA and are prohibited by CBOT rules. At this time, the CFTC has not required us to take any action or modify our existing rules. We expect the CFTC to review the ELX request. We also face competition from IntercontinentalExchange’s (ICE) energy index, natural gas, credit default swaps, equity index, foreign exchange and other products. New entrants into our industry may increase competitive pressure on us.</w:t>
      </w:r>
    </w:p>
    <w:p>
      <w:pPr>
        <w:spacing w:after="0" w:line="123"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Because equity futures contracts are alternatives to underlying stocks and a variety of equity option and other contracts provide an alternative means of obtaining exposure to the equity markets, we also compete with NYSE Euronext and other securities and options exchanges, dealer markets and alternative trading systems in this product line, as well as with ICE in connection with its futures and options on futures contracts based on the Russell indexes.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280" w:right="299" w:bottom="1440" w:gutter="0" w:footer="0" w:header="0"/>
        </w:sectPr>
      </w:pPr>
    </w:p>
    <w:bookmarkStart w:id="22" w:name="page23"/>
    <w:bookmarkEnd w:id="22"/>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face competition from the over-the-counter market with the trading of contracts similar to those traded or cleared on our exchanges, such as swaps, forward contracts and other exchange “look-alike” contracts, in which parties directly negotiate the terms of their contracts.</w:t>
      </w:r>
    </w:p>
    <w:p>
      <w:pPr>
        <w:spacing w:after="0" w:line="13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also face a threat of trading volume loss if a significant number of our traditional participants decide to trade futures or similar products among themselves without using any exchange or specific trading system. The CFMA allows nearly all of our largest customers to transact futures or similar products directly with each other. While those transactions raise liquidity and credit concerns, they may be attractive based on execution costs, flexibility of terms, negotiability of margin or collateral deposits, or other considerations. Additionally, changes under the CFMA permitting the establishment of stand-alone clearing facilities for futures and over-the-counter derivatives transactions will facilitate the mitigation of credit-risk concentrations arising from such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Transaction Processing Business</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addition to the competition we face in our derivatives business, we face a number of competitors in our transaction processing and other business services. In the past few years, there has been increased competition in the provision of clearing services. We compete with other derivatives exchanges that provide clearing services. ICE has its own clearing operations which are comprised of five separate regulated clearing houses across the U.S., Europe and Canada. In March 2009, ICE Trust, which provides clearing services for the credit default swap market, acquired The Clearing Corporation. Prior to its acquisition, The Clearing Corporation was one of the oldest independent clearing houses. Additionally, the Options Clearing Corporation provides clearing services for commodity futures, commodity options and security futures, including products listed by ELX. In June 2009, NYSE Euronext and The Depository Trust &amp; Clearing Corporation announced the creation of a new clearing house for the clearing of fixed-income securities. We believe that other exchanges may also undertake to provide clearing services.</w:t>
      </w:r>
    </w:p>
    <w:p>
      <w:pPr>
        <w:spacing w:after="0" w:line="11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believe competition in the transaction processing and business services market is based on, among other things, the cost of the services provided; quality and reliability of the services; timely delivery of the services; reputation; and value of linking with existing products, markets and distribution.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our Market Data Business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Technology companies, market data and information vendors and front-end software vendors also represent potential competitors because, as purveyors of market data, these firms typically have substantial distribution capabilities. As technology firms, they also have access to trading engines that can be connected to their data and information networks. Additionally, technology and software firms that develop trading systems, hardware and networks that are otherwise outside of the financial services industry may be attracted to enter our markets. This may lead to decreased demand for our market data.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operations as a futures exchange have historically been subject to extensive regulation by the CFTC. The CFTC is an independent federal agency with exclusive jurisdiction over the futures market. The Commission consists of five Commissioners, appointed to staggered five-year terms by the President, with the advice and consent of the Senate. The CFTC carries out the regulation of the futures markets in accordance with the provisions of the CEA and the CFMA. The CFTC is subject to reauthorization every five years, which most recently occurred in 2008.</w:t>
      </w:r>
    </w:p>
    <w:p>
      <w:pPr>
        <w:spacing w:after="0" w:line="14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We are extensively regulated by the CFTC. In light of the widespread financial and economic difficulties, particularly acute in the latter half of 2008 and early 2009, there have been many calls for a restructuring of the regulation of financial markets. As a result, various legislative proposals are currently circulating in Congress regarding regulatory reform in the futures and the over-the-counter derivatives markets. These proposals are designed to</w:t>
      </w:r>
    </w:p>
    <w:p>
      <w:pPr>
        <w:spacing w:after="0" w:line="26" w:lineRule="exact"/>
        <w:rPr>
          <w:sz w:val="20"/>
          <w:szCs w:val="20"/>
          <w:color w:val="auto"/>
        </w:rPr>
      </w:pPr>
    </w:p>
    <w:p>
      <w:pPr>
        <w:ind w:left="5620" w:right="4220" w:hanging="5045"/>
        <w:spacing w:after="0" w:line="440" w:lineRule="auto"/>
        <w:tabs>
          <w:tab w:leader="none" w:pos="8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 systematic risk by mandating central clearing and exchange trading of derivatives; 23</w:t>
      </w:r>
    </w:p>
    <w:p>
      <w:pPr>
        <w:sectPr>
          <w:pgSz w:w="11900" w:h="16838" w:orient="portrait"/>
          <w:cols w:equalWidth="0" w:num="1">
            <w:col w:w="11420"/>
          </w:cols>
          <w:pgMar w:left="240" w:top="280" w:right="239" w:bottom="1440" w:gutter="0" w:footer="0" w:header="0"/>
        </w:sectPr>
      </w:pPr>
    </w:p>
    <w:bookmarkStart w:id="23" w:name="page24"/>
    <w:bookmarkEnd w:id="23"/>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increase transparency and price discovery;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prevent fraud and market manipulation.</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cannot predict what the final regulations will be or what impact they may have on our business. Among other things, the proposed legislation includes restrictions on speculative trading by means of hard position limits and limitations on hedge exemptions as well as provisions permitting the CFTC to adopt a more rules-based approach rather than our current principles-based approach under the CFTC regulatory regime. The CFTC has also recently issued proposed rules for comment which would establish federally-set position limits for certain energy commodities as well as limit hedge exemptions for specified participants. To the extent the regulatory environment is less beneficial for us or our customers, our business, financial condition and operating results could be negatively affected.</w:t>
      </w:r>
    </w:p>
    <w:p>
      <w:pPr>
        <w:spacing w:after="0" w:line="14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CFMA amended the CEA in 2000 and created the current principles-based regulatory approach. For regulated markets, the CFMA codified a three-tiered regulatory structure for the trading of derivatives that distinguishes among markets based on the types of contracts traded and the sophistication of the market participants. The CFMA generally requires that contract markets, such as our primary exchanges (CME, CBOT, NYMEX and COMEX), register with the CFTC and establish their compliance with 18 core principles: overall compliance with the principles; rule compliance and enforcement; listing of contracts not readily susceptible to market manipulation; trade monitoring system; position or accountability limits; emergency authority; information availability; daily publication of trading information; contract execution; procedures for recording and safe storage of trade information; financial integrity; market participant protections; dispute resolution; fitness standards; conflict of interest management; governing board composition of mutually owned contract markets; recordkeeping; and antitrust considerations. Additionally, the CFMA generally requires that derivatives clearing organizations, like our clearing house, register with the CFTC and demonstrate their compliance with 13 core principles: financial, operational and managerial resources; member and product eligibility; risk management procedures and tools; adequate settlement procedures; treatment of customer funds; member default procedures; rule monitoring and enforcement systems; clearing system safeguards; reporting; recordkeeping; public information; information sharing; and antitrust considerations.</w:t>
      </w:r>
    </w:p>
    <w:p>
      <w:pPr>
        <w:spacing w:after="0" w:line="127"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Under the oversight of the CFTC, our exchanges are operated as separate self-regulatory organizations. Generally this requires the promotion of market integrity; protection of investors; and enforcement of financial requirements, sales and trading practices of members. CBOT, NYMEX and COMEX outsource responsibility for trade matching, regulatory and clearing services to CME. Our integrated compliance and market surveillance functions allow detailed tracking of all trading and clearing activities. Our regulatory processes are reviewed and audited by the CFTC. The increasing utilization of electronic trading systems by traders, who are not members, from remote locations may, among other developments, impact our ability to continue the traditional form of “self-regulation” that has been an integral part of the CFTC regulatory program. Customers, including high frequency traders, who are guaranteed by a clearing firm and who agree to submit to the jurisdiction of our rules, may be granted direct access to our trading system through their clearing firms. By submitting to our jurisdiction, these customers have the same obligations to comply with our rules as our members. Recently, the securities industry has been criticized for providing its customers with unfiltered access to the market and the SEC has proposed rules that effectively prohibit such unfiltered access and require brokers to implement risk controls to protect the market. While we believe our policies and procedures, including the availability of our risk management tool offerings, address these concerns, we cannot guarantee that new regulations relating to our industry will not be imposed in the future. To the extent any future regulation makes it burdensome for these customers to access our market, they may have less incentive to trade our products and more incentive to move to an unregulated market.</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offering to provide clearing services for credit default swaps is being made pursuant to a special exemption from the SEC which is in effect through March 31, 2010. We expect to have the exemption extended in the future. However, there is no guarantee that the SEC will continue to grant us an exemption. Without this exemption,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80" w:right="279" w:bottom="1440" w:gutter="0" w:footer="0" w:header="0"/>
        </w:sectPr>
      </w:pPr>
    </w:p>
    <w:bookmarkStart w:id="24" w:name="page25"/>
    <w:bookmarkEnd w:id="24"/>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CME and other market participants would have to comply with extensive registration and reporting requirements, which may discourage market participants from clearing their credit default swap trades through us.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have also “notice registered” with the SEC as a special purpose national securities exchange solely for the purpose of trading security futures products. As a result, the SEC is authorized to review some of our rules relating to these security futures products. Our members trading those products are subject to registration requirements and duties and obligations to customers under the securities laws that do not pertain to their other futures business.</w:t>
      </w:r>
    </w:p>
    <w:p>
      <w:pPr>
        <w:spacing w:after="0" w:line="10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Presidential budget has, from time to time, included a proposal to impose a transaction tax on futures traded domestically to fund the CFTC. The recently released Presidential budget for 2011 did not include a transaction tax but did include a repeal of 60-40 tax treatment for futures transactions. This proposal also has appeared in prior Administration budget plans. These provisions effectively would eliminate the current tax treatment that allows traders to pay a blend of taxes on their gains and losses from trading futures and options with 60% at capital gains rates and 40% at ordinary tax rates. Additionally, recently proposed legislation has included a tax on certain transactions in an effort to pay for the governmental programs instituted in response to the financial crisis and to generate additional funding for job creation in light of the financial crisis. While many participants in the futures industry, including us, oppose these proposals, we cannot guarantee that such proposals will not be enacted. The imposition of any such tax would increase the cost of using our products and, consequently could adversely impact our trading volumes, revenues and profits and may also adversely impact our ability to compete on an international level. Moreover, the Administration’s proposal to repeal 60-40 tax treatment would impose a substantial increase in tax rates applicable to the individuals who are most responsible for creating liquid and efficient regulated markets.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Members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operate four separate self-regulatory exchanges: CME, CBOT, NYMEX and COMEX. Members are individual traders, as well as most of the world’s largest banks, hedge funds, brokerages and investment houses. Trading on our open outcry trading floors is conducted exclusively by members in Chicago and New York City. Members can execute trades for their own accounts, for clearing firm accounts, for the accounts of other members or for the accounts of customers of clearing firms. Members who trade for their own account, including those who lease trading rights, qualify for lower transaction fees in recognition of the market liquidity that their trading activity provides. These members also benefit from market information advantages that may accrue from their proximity to activity on the trading floors. In 2009, our members were responsible for 75% of our total trading volume. As of December 31, 2009, there were approximately 140 clearing firms. Membership enables a customer to trade specific products at reduced rates and lower fees, and to trade directly from the applicable trading floor or electronically through CME Globex. Memberships can be bought, sold and leased. Our shareholder relations and membership services department maintains an auction market for trading rights at our exchanges. A customer can apply for and hold a membership at CME, CBOT, NYMEX or COMEX—depending on the products intended to be traded. Rights and privileges of membership are exchange-specific.</w:t>
      </w:r>
    </w:p>
    <w:p>
      <w:pPr>
        <w:spacing w:after="0" w:line="12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Applicants for membership are required to be of good moral character, reputation and business integrity. They must also have adequate financial resources and credit to assume the responsibilities and privileges of membership. All members must understand the rules and regulations of the applicable exchange and agree to abide by them. Additionally, they must comply with the provisions of the CEA and the rules and regulations issued by the CFTC. A potential member must register with the National Futures Association (NFA) either as a floor trader or floor broker if they intend to access one of our trading floors. If an individual uses the membership for the purpose of filling orders for other members or customers, they must apply to the NFA for a floor broker’s license. Our market regulation department is the investigative and enforcement arm of our exchanges with regard to exchange rules. Members who are found to have violated a rule can be subject to sanctions such as fines, trading suspensions and/or expulsion from the particular exchange.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CME Memberships</w:t>
      </w:r>
    </w:p>
    <w:p>
      <w:pPr>
        <w:spacing w:after="0" w:line="9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There are four divisions of membership at CME: the Chicago Mercantile Exchange (CME) division; the International Monetary Market (IMM) division; the Index and Option Market (IOM) division; and the Growth and Emerging Markets (GEM) division. Each membership division has different trading rights.</w:t>
      </w:r>
    </w:p>
    <w:p>
      <w:pPr>
        <w:spacing w:after="0" w:line="8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Under the terms of CME Group’s certificate of incorporation, members of the CME exchange, as Class B shareholders, have the ability to protect their rights to trade by means of special approval rights over changes to the operation of the markets and are entitled to elect six of the directors on our board, which is currently comprised of a total of 32 individuals. In particular, the certificate of incorporation grants the holders of our Class B common stock the right to approve any changes to the trading floor rights, access rights and privileges that a member has, the number of memberships in each membership class and the related number of authorized shares in each class of Class B common stock, and the eligibility requirements to exercise trading rights or privileges. Class B shareholders must approve any changes to these special rights. We are also required to maintain open outcry trading so long as certain liquidity thresholds are met. Class B shares have the same equitable interest in our earnings and receive the same dividend payments as our Class A shares.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CBOT Memberships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There are five series of Class B memberships in CBOT represented by memberships in our CBOT subsidiary: Series B-1 (Full) members, Series B-2 (Associate) members, Series B-3 (GIM) members, Series B-4 (IDEM) members and Series B-5 (COM) members.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Class B members of CBOT do not possess the right to receive any dividends or distributions, including the proceeds from liquidation, from CBOT. Series B-1 and B-2 members have the right to vote on amendments to certain provisions of the certificate of incorporation of CBOT, including the number of authorized memberships; the relative voting rights of the Series B-1 and B-2 members; the trading rights, voting rights and core rights of Class B members and certain other covenants; and the commitment to maintain open outcry markets for so long as they meet certain liquidity thresholds.</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Additionally, until our 2012 annual meeting of shareholders, we are required to have at least 10 CBOT directors (as defined in our bylaws) on our board and we are required to provide them with five business days’ advance notice of any change to CBOT’s rules and regulations. If a majority of the CBOT directors determine in their sole discretion that the proposed change will materially impair the business of CBOT or the business opportunities of the holders of the Class B memberships of CBOT, such change will be submitted to a committee of the board of directors of CBOT comprised of three CBOT directors and two CME directors as defined in the bylaws.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NYMEX Memberships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NYMEX memberships are represented by Class A memberships in our NYMEX subsidiary. In connection with the NYMEX Holdings merger, we made certain commitments to the NYMEX Class A members to maintain a trading floor in New York City until 2012 and thereafter so long as certain profitability and revenue thresholds are met, to limit our rights to relocate open outcry trading to Chicago for NYMEX products, in the event open outcry trading facilities for such products are no longer available on the NYMEX floor, and to maintain fee differentials for NYMEX Class A members for so long as we maintain differentials for our CME and/or CBOT members. NYMEX Class A members do not have the right to receive dividends or distributions from NYMEX.</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COMEX Memberships</w:t>
      </w:r>
    </w:p>
    <w:p>
      <w:pPr>
        <w:spacing w:after="0" w:line="9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Memberships in COMEX are represented by COMEX division memberships in our COMEX subsidiary. There are also COMEX Option memberships. The COMEX Transaction Agreement, executed in November 2006, provides COMEX Division members with certain trading right protections as well as a commitment to provide a trading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facility in New York City for so long as open outcry trading exists on the COMEX Division and for a five-year period following the expiration of the COMEX Transaction Agreement. COMEX Division members maintain certain petition rights as it relates to proposed amendments to certain COMEX by-laws and rules. In 2009, a special meeting of COMEX members was held at which time certain bylaw changes were approved, including provisions which would require us to maintain the trading floor until 2012 in exchange for amending the provisions to allow us to include the metals complex in our incentive programs and market maker programs and to allow us to provide certain fee waivers.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Substantially all of our business operations are conducted through our exchange subsidiaries: CME, CBOT, NYMEX and COMEX. The following is a summary of the activities of our other operating subsidiaries. Based on materiality, GFX, CMA, Swapstream and our real estate operations are not reportable segments and, as a result, we do not disclose segment information.</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 xml:space="preserve">C-B-T Corporation. </w:t>
      </w:r>
      <w:r>
        <w:rPr>
          <w:rFonts w:ascii="Arial" w:cs="Arial" w:eastAsia="Arial" w:hAnsi="Arial"/>
          <w:sz w:val="18"/>
          <w:szCs w:val="18"/>
          <w:color w:val="auto"/>
        </w:rPr>
        <w:t>C-B-T Corporation manages both our owned real estate and the general services relating to this real estate such as cleaning, power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telephone services in Chicago.</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 xml:space="preserve">CME Clearing Europe. </w:t>
      </w:r>
      <w:r>
        <w:rPr>
          <w:rFonts w:ascii="Arial" w:cs="Arial" w:eastAsia="Arial" w:hAnsi="Arial"/>
          <w:sz w:val="18"/>
          <w:szCs w:val="18"/>
          <w:color w:val="auto"/>
        </w:rPr>
        <w:t>CME Clearing Europe will be the owner of our UK clearing house which is currently awaiting approval by the Financial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(FSA).</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i w:val="1"/>
          <w:iCs w:val="1"/>
          <w:color w:val="auto"/>
        </w:rPr>
        <w:t xml:space="preserve">Credit Market Analysis. </w:t>
      </w:r>
      <w:r>
        <w:rPr>
          <w:rFonts w:ascii="Arial" w:cs="Arial" w:eastAsia="Arial" w:hAnsi="Arial"/>
          <w:sz w:val="18"/>
          <w:szCs w:val="18"/>
          <w:color w:val="auto"/>
        </w:rPr>
        <w:t>In March 2008, we acquired CMA and its subsidiaries. CMA is a leading provider of credit derivatives market data designed to enhance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performance of over-the-counter credit market professionals. CMA’s real-time pricing services (CMA QuoteVision) and data services (CMA DataVision) are used by investment professionals in leading investment banks, hedge funds and asset managers worldwide. CMA entities accounted for less than 1% of our consolidated total revenues in 2009 and 2008.</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GFX Corporation. </w:t>
      </w:r>
      <w:r>
        <w:rPr>
          <w:rFonts w:ascii="Arial" w:cs="Arial" w:eastAsia="Arial" w:hAnsi="Arial"/>
          <w:sz w:val="18"/>
          <w:szCs w:val="18"/>
          <w:color w:val="auto"/>
        </w:rPr>
        <w:t>GFX Corporation (GFX) was established for the purpose of maintaining and creating liquidity in our electronically traded foreign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futures contracts. Experienced foreign exchange traders employed by GFX buy and sell our foreign exchange contracts using our CME Globex system. They limit risk from these transactions through offsetting transactions using forward contracts and spot foreign exchange transactions with approved counterparties in the interbank market. On occasion, GFX has also engaged in the trading of Eurodollars and equity index contracts. GFX accounted for less than 1% of our consolidated total revenues in 2009, 2008 and 2007.</w:t>
      </w:r>
    </w:p>
    <w:p>
      <w:pPr>
        <w:spacing w:after="0" w:line="14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b w:val="1"/>
          <w:bCs w:val="1"/>
          <w:i w:val="1"/>
          <w:iCs w:val="1"/>
          <w:color w:val="auto"/>
        </w:rPr>
        <w:t xml:space="preserve">Swapstream. </w:t>
      </w:r>
      <w:r>
        <w:rPr>
          <w:rFonts w:ascii="Arial" w:cs="Arial" w:eastAsia="Arial" w:hAnsi="Arial"/>
          <w:sz w:val="16"/>
          <w:szCs w:val="16"/>
          <w:color w:val="auto"/>
        </w:rPr>
        <w:t>The Swapstream entities accounted for less than 1% of our consolidated total revenues in 2009, 2008 and 2007. During 2009, we began the process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winding down our Swapstream operations which we expect to be completed in 2010. Swapstream Operating Services Limited, an entity regulated by the Financial Services Authority, was renamed CME Marketing Europe Limited and will continue operations in connection with our global marketing efforts.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 &amp; Poor’s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have had a licensing arrangement with S&amp;P since 1980. In September 2005, all of our previous licensing agreements with S&amp;P were consolidated into one agreement that terminates on December 31, 2017. Under the terms of the agreement, as amended, S&amp;P granted us a license to use certain S&amp;P stock indexes and the related trade names, trademarks and service marks in connection with the creation, marketing, trading, clearing and promoting of futures contracts and/or options on futures contracts that are indexed to certain S&amp;P stock indexes. The license is exclusive through December 31, 2016 and non-exclusive from that date through December 31, 2017 with some exceptions. Our license for the S&amp;P 500 Index remains exclusive through December 31, 2016 so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 as certain minimum average trading volume is met or other circumstances exist that relate to the reduction in trading volume. We may pay an additional fee to retain the exclusivity if the minimum average trading volume is not met. For certain products based on S&amp;P stock indexes that we list after the effective date of the amended and restated agreement, we will have an exclusive license for two or three years depending upon the nature of the index, after which we will retain our exclusive rights so long as certain minimum average trading volumes are met. Under the agreement, we maintain our right of first refusal for new stock indexes developed by S&amp;P during the term of the agreement. In the event we fail to launch a product based on a new index within one year, subject to certain considerations for regulatory delays, S&amp;P may elect to terminate the license for such new index or terminate the exclusivity of the license. In exchange for the license, we pay S&amp;P a per trade fee. If S&amp;P discontinues compilation and publication of any license or index, we may license, on a non-exclusive and royalty-free basis, the information regarding the list of companies, shares outstanding and divisors for that index or terminate the obligations regarding the index. The licenses become non-exclusive in the event we list certain competitive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w:t>
      </w:r>
    </w:p>
    <w:p>
      <w:pPr>
        <w:spacing w:after="0" w:line="90" w:lineRule="exact"/>
        <w:rPr>
          <w:sz w:val="20"/>
          <w:szCs w:val="20"/>
          <w:color w:val="auto"/>
        </w:rPr>
      </w:pPr>
    </w:p>
    <w:p>
      <w:pPr>
        <w:ind w:right="100"/>
        <w:spacing w:after="0" w:line="310" w:lineRule="auto"/>
        <w:rPr>
          <w:sz w:val="20"/>
          <w:szCs w:val="20"/>
          <w:color w:val="auto"/>
        </w:rPr>
      </w:pPr>
      <w:r>
        <w:rPr>
          <w:rFonts w:ascii="Arial" w:cs="Arial" w:eastAsia="Arial" w:hAnsi="Arial"/>
          <w:sz w:val="15"/>
          <w:szCs w:val="15"/>
          <w:color w:val="auto"/>
        </w:rPr>
        <w:t>We have had a licensing arrangement with NASDAQ OMX since 1996 to license the NASDAQ-100 Index and related trade names, trademarks and service marks. The license was extended and expanded in October 2003 to license us both the NASDAQ-100 Index and the NASDAQ Composite Index and in April 2005 to add the NASDAQ Biotechnology Index for trading futures and options on futures contracts that are based on the indexes. In 2008, we agreed to extend the exclusive license agreement through 2019. With respect to the NASDAQ Composite Index, NASDAQ OMX may terminate the exclusivity or the entire license on each anniversary of the agreement in October, if trading volume fails to meet certain performance criteria. During the applicable period of exclusivity, NASDAQ OMX will not grant a license to use the indexes in connection with the trading, marketing and promotion of futures contracts and options on those futures contracts that are based on an index that is exclusive to us. We pay per trade fees to NASDAQ OMX under the license. We have a right of first refusal for new indexes that are licensed for futures products where the index is substantially equivalent to an index licensed to us or is a subset of an index licensed to us.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 Jones License Agreement</w:t>
      </w:r>
    </w:p>
    <w:p>
      <w:pPr>
        <w:spacing w:after="0" w:line="90"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We have a licensing agreement with Dow Jones to license certain Dow Jones stock indexes and the related trade names, trademarks and service marks in connection with the creation, marketing, trading, clearing and promoting of futures contracts and/or options on futures contracts that are based upon such Dow Jones stock indexes. Our license of the Dow Jones Composite Index, the Dow Jones Industrial Average Index, the Dow Jones Transportation Average Index and the Dow Jones Utility Average Index is exclusive, and non-exclusive for the Dow Jones U.S. Real Estate Index. We also have a right of first refusal for new indexes developed by Dow Jones prior to December 31, 2010 and the right to sublicense our exclusive license rights under the agreement to any other exchange for the trading of futures contracts and options on futures contracts. The initial term of the agreement is through December 31, 2014. Following the initial term, the agreement shall automatically renew for a first renewal term of five years and then for successive annual renewal terms thereafter unless terminated by either party in writing prior to the end of the applicable term. In exchange for the license, we pay a per trade fee with a guaranteed annual minimum license fee and an upfront fee paid in January 2008. On February 10, 2010, we announced that we had entered into a definitive agreement with Dow Jones to create a new joint venture that will own the Dow Jones Indexes, which includes the Dow Jones Industrial Average and approximately 130,000 index properties.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British Bankers Association License and Membership Agreement</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We have a licensing and membership agreement with BBA Enterprises Limited and the British Bankers’ Association for the use of its London Interbank Offered Rate to settle several of our interest rate products, including our Eurodollar contract. Pursuant to the agreement, we will also serve as an exchange associate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28" w:name="page29"/>
    <w:bookmarkEnd w:id="28"/>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member of the British Bankers’ Association during the term of the agreement. The license is non-transferable and non-exclusive. The initial term of the agreement is for ten years through September 2019 with automatic renewal terms of five years unless terminated by either party in writing prior to the end of the applicable term. For the license we paid an upfront fee and will pay annual fees that may be increased by the BBA subject to a cap.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We regard substantial elements of our brand name, marketing elements and logos, products, market data, software and technology as proprietary. We attempt to protect these elements by relying on trademark, service mark, copyright and trade secret laws, restrictions on disclosure and other methods. For example, with respect to trademarks, we have registered marks in numerous countries all over the world. We have filed numerous patent applications in the United States and internationally to protect our technology. In December 2006, the United States Patent and Trademark Office granted CME its first patent.</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rights to stock indexes for our futures products principally derive from license agreements that we have obtained from S&amp;P, NASDAQ OMX and Dow Jones and others. For a more detailed discussion of these licenses, see the section of this Annual Report on Form 10-K entitled “Item 1. Business—Licensing Agreements.” Various other CME Group products rely on license agreements from third parties. We cannot assure you that competitors will not attempt to enter these markets or create similar products. Nor can we assure you that we will be able to renew or maintain those license agreements beyond their current terms.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regularly review our intellectual property to identify property that should be protected, the extent of current protection for that property and the availability of additional protection. We believe our various trademarks and service marks have been registered or applied for where needed. We also seek to protect our software and databases as trade secrets and under copyright law. We have copyright registrations for certain of our software, user manuals, and databases. Legal developments allowing patent protection for methods of doing business hold the possibility of additional protection, which we continue to pursue.</w:t>
      </w:r>
    </w:p>
    <w:p>
      <w:pPr>
        <w:spacing w:after="0" w:line="11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Patents of third parties may have an important bearing on our ability to offer certain of our products and services. It is possible that, from time to time, we may face claims of infringement that could interfere with our ability to use technology or other intellectual property that is material to our business.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we had approximately 2,260 employees.</w:t>
      </w:r>
    </w:p>
    <w:p>
      <w:pPr>
        <w:spacing w:after="0" w:line="171"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We consider relations with our employees to be good. We have never experienced a work stoppage. As of December 31, 2009, 14 of our employees were represented by one of the following unions:</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Chicago Regional Council of Carpenters;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Union of Operating Engineers Local 399, AFL-CIO.</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executive officers, including a description of their business experience over the last five years. Ages are as of February 1, 2010.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Terrence A. Duffy, 51</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Mr. Duffy has served as our Executive Chairman since October 2006, as our Chairman from 2002 until 2006 and has been a member of our board of directors since 1995. He also has served as President of TDA Trading, Inc. since 1981.</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80" w:right="29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Craig S. Donohue, 48</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Mr. Donohue has served as Chief Executive Officer and a member of our board of directors since January 2004. Mr. Donohue joined us in 1995 and since then has held various positions of increasing responsibility within the organization including Managing Director and Chief Administrative Officer; Managing Director, Business Development and Corporate/Legal Affairs of CME; and Senior Vice President and General Counsel. Mr. Donohue also serves as our representative on the board of directors of BM&amp;FBOVESPA.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Kathleen M. Cronin, 46</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Ms. Cronin has served as our Managing Director, General Counsel and Corporate Secretary since August 2003. Previously she served as Corporate Secretary and Acting General Counsel from November 2002 through August 2003. Prior to joining us, Ms. Cronin was a corporate attorney at Skadden, Arps, Slate, Meagher &amp; Flom from September 1989 through July 1995 and from April 1997 through November 2002.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Bryan T. Durkin, 49</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Mr. Durkin assumed the position of Managing Director, Products and Services in addition to his role as our Chief Operating Officer in February 2010. Mr. Durkin has served as our Managing Director and Chief Operating Officer since July 2007. Mr. Durkin joined us in connection with the CBOT merger and he previously held a variety of leadership roles with CBOT from 1982 to 2007, most recently as Executive Vice President and Chief Operating Officer.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Phupinder Gill, 49</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Mr. Gill has served as President of CME Group since July 2007. Previously he served as President and Chief Operating Officer since January 2004. Mr. Gill joined us in 1988 and has held various positions of increasing responsibility within the organization, including Managing Director and President of CME Clearing and GFX. Mr. Gill also serves as our representative on the board of Bursa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Julie Holzrichter, 41</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Ms. Holzrichter has served as Managing Director, Global Operations since August 2007. Ms. Holzrichter rejoined us in July 2006 as our Managing Director, CME Globex Services and Technology Integration. Ms. Holzrichter previously held positions of increasing responsibility in our organization from 1986 to 2003 in trading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Kevin Kometer, 45</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Mr. Kometer has served as Managing Director and Chief Information Officer since July 2008. He previously served as Managing Director and Deputy Chief Information Officer from 2007 to July 2008. Since joining the company most recently in 1998, he has held senior leadership positions in the Technology Division, including Managing Director, Trading Execution Systems and Director, Advanced Technology. Mr. Kometer was also with the company from 1994 to 1996.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E. Parisi, 45</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Mr. Parisi has served as our Chief Financial Officer and Managing Director, Finance and Corporate Development since February 2010. He has held the role of Managing Director and Chief Financial Officer since 2004. Mr. Parisi joined us in 1988 and has held positions of increasing responsibility within the organization, including Managing Director &amp; Treasurer and Director, Planning &amp; Finance.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Laurent Paulhac, 40</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Mr. Paulhac has served as Managing Director, OTC Products and Services since September 2009. Prior to joining the company, Mr. Paulhac most recently served as Chief Executive Officer of CMA, a leading provider of credit derivatives market data acquired by CME Group in 2008, from October 2005 to September 2009. Mr. Paulhac will continue to oversee the operations of CMA until we identify his successor for the organization.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James V. Pieper, 43</w:t>
      </w:r>
    </w:p>
    <w:p>
      <w:pPr>
        <w:spacing w:after="0" w:line="9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Mr. Pieper has served as our Managing Director and Chief Accounting Officer since February 2010. Previously, Mr. Pieper served as Director and Controller since 2006 and as Associate Director and Assistant Controller from 2004 to 2006. Before joining CME Group in 2004, Mr. Pieper worked for Divine, Inc. as Director of Worldwide Accounting and for KPMG LLP as a Senior Manager.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Hilda Harris Piell, 42</w:t>
      </w:r>
    </w:p>
    <w:p>
      <w:pPr>
        <w:spacing w:after="0" w:line="90"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Ms. Piell has served as Managing Director and Chief Human Resources Officer since August 2007. Previously she served as Managing Director and Senior Associate General Counsel, as Director and Associate General Counsel and as Associate Director and Assistant General Counsel since joining us in 2000.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Pietrowicz, 45</w:t>
      </w:r>
    </w:p>
    <w:p>
      <w:pPr>
        <w:spacing w:after="0" w:line="90"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Mr. Pietrowicz has served as our Managing Director, Business Development and Corporate Finance since February 2010. Mr. Pietrowicz joined CME Group in 2003 and since then has held various positions of increasing responsibility, including his most recent position of Managing Director and Deputy Chief Financial Officer from 2009 to 2010 and Managing Director, Corporate Finance and Treasury from 2006 to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Derek Sammann, 41</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Mr. Sammann has served as Managing Director, Foreign Exchange and Interest Rate Products since February 2010. He previously served as Managing Director, Financial Products and Services since October 2009 and Managing Director, Global Head of Foreign Exchange Products since joining us in 2006. Prior to joining us, Mr. Sammann served as Managing Director, Global Head of FX Options and Structured Products at Calyon Corporate and Investment Bank in London from 2004 to 2006.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Kimberly S. Taylor, 48</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Ms. Taylor has served as Managing Director and President of the Clearing House Division since January 2004 and as Managing Director, Risk Management in the Clearing House Division, from 1998 to 2003. Ms. Taylor has held a variety of positions in the Clearing House, including Vice President and Senior Director. She joined us in 1989.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Kendal Vroman, 38</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Mr. Vroman has served as our Managing Director, Commodity Products, OTC Services &amp; Information Products since February 2010. Mr. Vroman previously served as Managing Director and Chief Corporate Development Officer from March 2008 to February 2010. Mr. Vroman joined us in 2001 and, since then, held positions of increasing responsibility, including most recently as Managing Director, Corporate Development and Managing Director, Information and Technology Services.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Scot E. Warren, 46</w:t>
      </w:r>
    </w:p>
    <w:p>
      <w:pPr>
        <w:spacing w:after="0" w:line="9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Mr. Warren has served as our Managing Director, Equity Index Products and Index Services since February 2010. Mr. Warren previously served as our Managing Director, Equity Products since joining us in 2007. Prior to that Mr. Warren worked for Goldman Sachs as its President, Manager Trading and Business Analysis Team. Prior to Goldman Sachs, Mr. Warren managed equity and option execution and clearing businesses for ABN Amro in Chicago and was a senior consultant for Arthur Andersen &amp; Co. for financial services firms.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Available Information</w:t>
      </w:r>
    </w:p>
    <w:p>
      <w:pPr>
        <w:spacing w:after="0" w:line="9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 xml:space="preserve">Our Web site is </w:t>
      </w:r>
      <w:r>
        <w:rPr>
          <w:rFonts w:ascii="Arial" w:cs="Arial" w:eastAsia="Arial" w:hAnsi="Arial"/>
          <w:sz w:val="15"/>
          <w:szCs w:val="15"/>
          <w:i w:val="1"/>
          <w:iCs w:val="1"/>
          <w:color w:val="auto"/>
        </w:rPr>
        <w:t>www.cmegroup.com</w:t>
      </w:r>
      <w:r>
        <w:rPr>
          <w:rFonts w:ascii="Arial" w:cs="Arial" w:eastAsia="Arial" w:hAnsi="Arial"/>
          <w:sz w:val="15"/>
          <w:szCs w:val="15"/>
          <w:color w:val="auto"/>
        </w:rPr>
        <w:t>. Information made available on our Web site does not constitute part of this document. We make available on our Web site our Annual Reports on Form 10-K, Quarterly Reports on Form 10-Q, Current Reports on Form 8-K and amendments to those reports as soon as reasonably practicable after we electronically file or furnish such materials to the SEC. Our corporate governance materials, including our Corporate Governance Principles, Director Conflict of Interest Policy, Board of Directors Code of Ethics, Categorical Independence Standards, Employee Code of Conduct and the charters for all the standing committees of our board, may also be found on our Web site. Copies of these materials are also available to shareholders free of charge upon written request to Shareholder Relations and Membership Services, Attention Ms. Beth Hausoul, CME Group Inc., 20 South Wacker Drive, Chicago, Illinois 60606.</w:t>
      </w:r>
    </w:p>
    <w:p>
      <w:pPr>
        <w:spacing w:after="0" w:line="22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to the other information contained in this Annual Report on Form 10-K, you should carefully consider the factors discussed below,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9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Our business is subject to the impact of domestic and international market and economic conditions which are beyond our control and which could significantly reduce our trading volumes and make our financial results more volatile.</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revenue is substantially dependent on the trading volume in our markets. Our trading volume is directly affected by U.S. domestic and international factors that are beyond our control, including:</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political and geopolitical market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disasters and other catastrophes;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broad trends in industry and finance;</w:t>
      </w:r>
    </w:p>
    <w:p>
      <w:pPr>
        <w:spacing w:after="0" w:line="9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price levels, trading volumes and volatility in the derivatives markets and in underlying fixed-income, equity, foreign exchange and commodity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legislative and regulatory changes;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monetary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consolidation in our customer base and within our industry;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inflation.</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Any one or more of these factors may contribute to reduced activity in our markets. Historically, our trading volume has tended to increase during periods of uncertainty due to increased hedging activity and needs to manage the risks associated with, or speculate on, volatility in the U.S. equity markets, fluctuations in interest rates and price changes in the foreign exchange, commodity and other markets. However, during the recent economic volatility, we have experienced decreased volume due primarily to our customers decreasing their risk exposure, stable low interest rates and the lack of available capital. As a result, period-to-period comparisons of our financial results are not necessarily meaningful. This trend as well as future economic uncertainty may result in continued decreased trading volume and a more difficult business environment for us. Material decreases in trading volume would have a material adverse effect on our financial condition and operating results.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74" w:right="2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recent financial crisis and related market developments may adversely affect our industry, business and results of operations.</w:t>
      </w:r>
    </w:p>
    <w:p>
      <w:pPr>
        <w:spacing w:after="0" w:line="17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generate revenues primarily from our clearing and transaction fees. Declines in trading volumes and market liquidity would adversely affect our business and financial condition. During late 2008 and 2009, the global financial services industry and securities markets experienced significant and adverse conditions, including significantly increased volatility, outflows of customer funds and securities, losses resulting from declining asset values, defaults on securities and reduced liquidity. As a result, many financial institutions required additional capital infusions, merged with larger and stronger institutions, became bank holding companies regulated by the Federal Reserve Bank and, in some cases, failed. As a result of this instability of the financial markets and the lack of readily available credit, commercial banks, investment banks, mutual and hedge funds and other of our customers decreased their risk exposure and trading volume. Consequently, our overall trading volume in 2009 decreased 20% from 2008 on a pro forma basis to include NYMEX trading volume for all of 2008. We also experienced a decline in subscriptions for our market data as a result of the consolidation of our customers and employee layoffs at many of our customers. If our customers further reduce their level of trading activity for any reason, including a reduction in the number of traders, reduced trading demand by their customers or a decision to curtail or cease speculative trading, our business and financial condition could be materially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heavily regulated environment that imposes significant costs and competitive burdens on our business.</w:t>
      </w:r>
    </w:p>
    <w:p>
      <w:pPr>
        <w:spacing w:after="0" w:line="171"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We are extensively regulated by the CFTC. In light of the widespread financial and economic difficulties, particularly acute in the latter half of 2008 and early 2009, there have been many calls for a restructuring of the regulation of financial markets. As a result, various legislative proposals are currently circulating in Congress regarding regulatory reform in the futures and the over-the-counter derivatives markets. These proposals are designed to</w:t>
      </w:r>
    </w:p>
    <w:p>
      <w:pPr>
        <w:spacing w:after="0" w:line="26"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systematic risk through central clearing and exchange trading of derivatives;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transparency and price discovery;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prevent fraud and market manipulation.</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cannot predict what the final regulations will be or what impact they may have on our business. Among other things, under the pending legislation there may be restrictions on speculative trading by means of hard position limits in all contracts and limitations on hedge exemptions that could affect trading volume. In addition, future regulations could limit speculation in our markets or permit the CFTC to adopt a more rules-based approach rather than our current principles-based approach under the CFTC regulatory regime. To the extent the regulatory environment is less beneficial for us or our customers, our business, financial condition and operating results could be negatively affected. Additionally, the increasing utilization of electronic trading systems by traders, who are not members, from remote locations may, among other developments, impact our ability to continue the traditional form of “self-regulation” that has been an integral part of the CFTC regulatory program. Customers, including high frequency traders, who are guaranteed by a clearing firm and who agree to submit to the jurisdiction of our rules, may be granted direct access to our trading system through their clearing firms. By submitting to our jurisdiction, these customers have the same obligations to comply with our rules as our members. Recently, the securities industry has been criticized for providing its customers with unfiltered access to the market and the SEC has proposed rules that effectively prohibit such unfiltered access and require brokers to implement risk controls to protect the market. While we believe our policies and procedures, including the availability of our risk management tool offerings, address these concerns, we cannot guarantee that new regulations relating to our industry will not be imposed in the future. To the extent any future regulation makes it burdensome for these customers to access our market, they may have less incentive to trade our products and more incentive to move to an unregulated market.</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280" w:right="299" w:bottom="1440" w:gutter="0" w:footer="0" w:header="0"/>
        </w:sectPr>
      </w:pPr>
    </w:p>
    <w:bookmarkStart w:id="33" w:name="page34"/>
    <w:bookmarkEnd w:id="33"/>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CFTC has broad powers to investigate and enforce compliance and punish non-compliance with its rules and regulations. We cannot assure you that we and/or our directors, officers, employees and affiliates will be able to fully comply with these rules and regulations. We also cannot assure you that we will not be subject to claims or actions by the CFTC or other agencies. If we fail to comply with applicable laws, rules or regulations, we may be subject to censure, fines, cease-and-desist orders, suspension of our business, removal of personnel or other sanctions, including revocation of our designations as a contract market and derivatives clearing organization.</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proposed Presidential budget has, from time to time, included a proposal to impose a transaction tax on futures traded domestically to fund the CFTC. The recently released Presidential budget for 2011 did not include a transaction tax but did include a repeal of 60-40 tax treatment for futures transactions. This proposal also has appeared in prior Administration budget plans. These provisions effectively would eliminate the current tax treatment that allows traders to pay a blend of taxes on their gains and losses from trading futures and options with 60% at capital gains rates and 40% at ordinary tax rates. Additionally, recently proposed legislation has included a tax on certain transactions in an effort to pay for the governmental programs instituted in response to the financial crisis and to generate additional funding for job creation in light of the financial crisis. While many participants in the futures industry, including us, oppose these proposals, we cannot guarantee that such proposals will not be enacted. The imposition of any such tax would increase the cost of using our products and, consequently could adversely impact our trading volumes, revenues and profits and may also adversely impact our ability to compete on an international level. Moreover, the Administration’s proposal to repeal 60-40 tax treatment would impose a substantial increase in tax rates applicable to the individuals who are most responsible for creating liquid and efficient regulated markets.</w:t>
      </w:r>
    </w:p>
    <w:p>
      <w:pPr>
        <w:spacing w:after="0" w:line="123"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b w:val="1"/>
          <w:bCs w:val="1"/>
          <w:i w:val="1"/>
          <w:iCs w:val="1"/>
          <w:color w:val="auto"/>
        </w:rPr>
        <w:t>Some of our largest clearing firms have indicated their belief that clearing facilities should not be owned or controlled by exchanges and should be operated as utilities and not for profit. These clearing firms have sought, and may seek in the future, legislative or regulatory changes that would, if adopted, enable them to use alternative clearing services for positions established on our exchanges or to freely move open positions among clearing houses in order to take advantage of our liquidity. Even if they are not successful, these factors may cause them to limit the use of our markets.</w:t>
      </w:r>
    </w:p>
    <w:p>
      <w:pPr>
        <w:spacing w:after="0" w:line="98"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Some of our largest clearing firms, which are significant customers and intermediaries in our products, have stressed the importance to them of centralizing clearing of futures contracts and options on futures contracts in order to maximize the efficient use of their capital, exercise greater control over their value at risk and extract greater operating leverage from clearing activities. Many clearing firms have expressed the view that clearing firms should control the governance of clearing houses or that clearing houses should be operated as utilities rather than as part of for-profit enterprises. Some of these firms, along with the Futures Industry Association and the U.S. Department of Treasury, have sought, and may seek in the future, legislative or regulatory changes to be adopted that would facilitate mechanisms or policies that allow market participants to transfer positions from an exchange-owned clearing house to a clearing house owned and controlled by clearing firms. Our strategic business plan is to operate a vertically integrated transaction execution, clearing and settlement business for our futures and options on futures business. If these legislative or regulatory changes are adopted, our strategy and business plan may lead clearing firms to establish, or seek to use, alternative clearing houses for clearing positions established on our exchanges. Even if they are not successful in their efforts, the factors described above may cause clearing firms to limit or stop the use of our products and markets. If any of these events occur, our revenues and profits would be adversely affected.</w:t>
      </w:r>
    </w:p>
    <w:p>
      <w:pPr>
        <w:spacing w:after="0" w:line="109"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b w:val="1"/>
          <w:bCs w:val="1"/>
          <w:i w:val="1"/>
          <w:iCs w:val="1"/>
          <w:color w:val="auto"/>
        </w:rPr>
        <w:t>The imposition in the future of regulations requiring that clearing houses establish linkages with other clearing houses whereby positions at one clearing house can be transferred to and maintained at another clearing house may have a material adverse effect on the operation of our business.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connection with the trading of single stock futures and futures on narrow-based stock indexes, the CFMA contemplates that, once certain market penetration thresholds are crossed, clearing houses will establish linkages enabling a position in any such product executed on an exchange for which it clears these products to be offset by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34" w:name="page35"/>
    <w:bookmarkEnd w:id="34"/>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 economically linked or fungible position on the opposite side of the market that is executed on another exchange utilizing a different clearing house. If, in the future, a similar requirement is imposed with respect to futures contracts generally, the resulting unbundling of trade execution and clearing services would have a material adverse effect on our revenues and profits.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intense competition from other companies, including some of our members. If we are not able to successfully compete, our business will not survive.</w:t>
      </w:r>
    </w:p>
    <w:p>
      <w:pPr>
        <w:spacing w:after="0" w:line="20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derivatives, securities and financial services industries are highly competitive. We expect that competition will continue to intensify. Our current and prospective competitors, both domestically and around the world, are numerous. They include securities and securities option exchanges, futures exchanges, over-the-counter markets, clearing organizations, market data and information vendors, electronic communications networks, crossing systems and similar entities, consortia of large customers, consortia of some of our clearing firms and electronic brokerage and dealing facilities. The global derivatives industry has grown increasingly competitive. Exchanges, intermediaries, and even end users are consolidating, and over-the-counter and unregulated entities are constantly evolving. Additionally, in response to growing competition, many marketplaces in both Europe and the United States have demutualized to provide greater flexibility for future growth. In 2007, we completed our merger with CBOT Holdings, NYSE Group completed its merger with Euronext and ICE acquired the New York Board of Trade and the Winnipeg Commodity Exchange. In 2008, we completed our acquisition of NYMEX Holdings. In March 2009, ICE acquired The Clearing Corporation, an independent clearing house owned by large derivatives dealers. In the last three years there has been a significant increase in activity among derivative dealers, banks and other entities to form competing exchanges. In 2007, a consortium of 12 financial institutions formed an exchange, ELX, to enter the futures market, which began trading in July 2009. ELX’s initial product line included electronic trading in U.S. Treasury futures in the two-, five-, and ten-year notes and thirty-year bond contracts in competition with CBOT’s treasury complex. Recently, ELX requested that the CFTC compel CBOT to accept certain non-competitive trades as a means to permit two customers, with equal and opposite positions at CBOT, to transfer those positions to ELX. We believe that such transactions would violate the CEA and are prohibited by CBOT rules. At this time, the CFTC has not required us to take any action or modify our existing rules. We expect the CFTC to review the ELX request. We also face competition from IntercontinentalExchange’s energy index, natural gas, credit default swaps, equity index, foreign exchange and other products; from NYSE Euronext and the Depository Trust &amp; Clearing Corporation due to their creation of a new clearing house for the clearing of fixed-income derivatives; as well as the Options Clearing Corporation which provides clearing services for commodity futures, commodity options and security futures, including products listed by ELX. New entrants into our industry may increase competitive pressure on us.</w:t>
      </w:r>
    </w:p>
    <w:p>
      <w:pPr>
        <w:spacing w:after="0" w:line="13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 believe we may also face competition from large computer software companies and media and technology companies. The number of businesses providing internet-related financial services is rapidly growing. Other companies have entered into or are forming joint ventures or consortia to provide services similar to those provided by us. Others may become competitive with us through acquisitions. Federal law allows institutions that have been major participants on our exchange to trade the same or similar products among themselves without utilizing any exchange or trading system. Many of our competitors and potential competitors have greater financial, marketing, technological and personnel resources than we do. These factors may enable them to develop similar products, to provide lower transaction costs and better execution to their customers and to carry out their business strategies more quickly and efficiently than we can. In addition, our competitors may:</w:t>
      </w:r>
    </w:p>
    <w:p>
      <w:pPr>
        <w:spacing w:after="0" w:line="37" w:lineRule="exact"/>
        <w:rPr>
          <w:sz w:val="20"/>
          <w:szCs w:val="20"/>
          <w:color w:val="auto"/>
        </w:rPr>
      </w:pPr>
    </w:p>
    <w:p>
      <w:pPr>
        <w:ind w:left="900" w:right="2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respond more quickly to competitive pressures, including responses based upon their corporate governance structures, which may be more flexible and efficient than our corporate governance structure;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products that are preferred by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risk transfer products that compete with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their products and services more competitively;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35" w:name="page36"/>
    <w:bookmarkEnd w:id="35"/>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develop and expand their network infrastructure and service offerings more efficiently;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utilize better, more user-friendly and more reliable technology;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take greater advantage of acquisitions, alliances and other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effectively market, promote and sell their products and services;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better leverage existing relationships with customers and alliance partners or exploit better recognized brand names to market and sell their services; and</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exploit regulatory disparities between traditional, regulated exchanges and alternative markets that benefit from a reduced regulatory burden and lower-cost business model.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our products, markets and services are not competitive, our business, financial condition and operating results will be materially harmed.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decline in our fees or any loss of customers could lower our revenues, which would adversely affect our profitability.</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Future changes in regulations as a result of the focus on restructuring the regulation of the financial markets or otherwise, may adversely impact our ability to compete, especially on a global basis.</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Our trading volume, and consequently our revenues and profits, would be adversely affected if we are unable to retain our current customers or attract new customers to our exchange.</w:t>
      </w:r>
    </w:p>
    <w:p>
      <w:pPr>
        <w:spacing w:after="0" w:line="13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success of our business depends, in part, on our ability to maintain and increase our trading volume. To do so, we must maintain and expand our product offerings, our customer base and our trade execution facilities. Our success also depends on our ability to maintain our trading volume and to offer competitive prices and services in an increasingly price sensitive business. We cannot assure you that we will be able to continue to expand our product lines, or that we will be able to retain our current customers or attract new customers. We bill a substantial portion of our clearing and transaction fees to our clearing firms. The majority of clearing and transaction fees received from clearing firms represent charges for trades executed and cleared on behalf of their customers. As of December 31, 2009, we had approximately 140 clearing firms. One firm represented 11% and one firm represented 10% of our clearing and transaction fees revenue for the year. Should a clearing firm withdraw, we believe that the customer portion of the firm’s trading activity would likely transfer to another clearing firm of the exchange. However, many of our clearing firms also engage in proprietary trading. As a result of the recent financial crisis, many of our customers have decreased the level of their proprietary trading. Additionally, a proposal from the Presidential Administration seeks to limit the ability of banks, many of which are our customers, to engage in proprietary trading. We cannot guarantee you that the discontinuation of any clearing firm would not result in our loss of customers, a loss of trading volume as a result of the consolidation of trading accounts at the acquiring firm or as a result of decreased proprietary trading. We also cannot assure you that we will not lose customers to low-cost competitors with comparable or superior products, services or trade execution facilities. If we fail to maintain our trading volume, expand our product offerings or execution facilities, or we lose a substantial number of our current customers, or a subset of customers representing a significant percentage of trading volume in a particular product line; or are unable to attract new customers, our business and revenues will be adversely affected. Furthermore, declines in trading volume due to loss of customers may negatively impact market liquidity, which could lead to further loss of trading volume.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financial services provider, we are subject to significant litigation risk and potential securities law liability.</w:t>
      </w:r>
    </w:p>
    <w:p>
      <w:pPr>
        <w:spacing w:after="0" w:line="17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Many aspects of our business involve substantial liability risks. While we generally are protected by governmental immunity for some of our market-related activities, we could be exposed to substantial liability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240" w:top="280" w:right="339" w:bottom="1440" w:gutter="0" w:footer="0" w:header="0"/>
        </w:sectPr>
      </w:pPr>
    </w:p>
    <w:bookmarkStart w:id="36" w:name="page37"/>
    <w:bookmarkEnd w:id="3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 federal and state laws and court decisions, as well as rules and regulations promulgated by the SEC and the CFTC. These risks include, among others, potential liability from disputes over terms of a trade, the claim that a system failure or delay caused monetary losses to a customer, that we entered into an unauthorized transaction or that we provided materially false or misleading statements in connection with a transaction. Dissatisfied customers frequently make claims regarding quality of trade execution, improperly settled trades, mismanagement or even fraud against their service providers. We may become subject to these claims as a result of failures or malfunctions of our systems and services we provide. We could incur significant legal expenses defending claims, even those without merit. In addition, an adverse resolution of any future lawsuit or claim against us could have a material adverse effect on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than other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may be more likely than other companies to be a direct target of, or an indirect casualty of, attacks by terrorists or terrorist organizations.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It is impossible to predict the likelihood or impact of any terrorist attack on the derivatives industry generally or on our business. For example, the September 11, 2001 terrorist attack on the World Trade Center resulted in the closing of NYMEX’s trading and clearing operations for four business days and rendered its backup data and recovery center inoperable. While we have undertaken significant measures to develop business continuity plans and to establish backup sites, in the event of an attack or a threat of an attack, these security measures and contingency plans may be inadequate to prevent significant disruptions in our business, technology or access to the infrastructure necessary to maintain our business. Damage to our facilities due to terrorist attacks may be significantly in excess of any amount of insurance received, or we may not be able to insure against such damage at a reasonable price or at all. The threat of terrorist attacks may also negatively affect our ability to attract and retain employees. Any of these events could have a material adverse effect on our business, financial condition and operating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96"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b w:val="1"/>
          <w:bCs w:val="1"/>
          <w:i w:val="1"/>
          <w:iCs w:val="1"/>
          <w:color w:val="auto"/>
        </w:rPr>
        <w:t>The success of our markets will depend on our ability to complete development of and successfully implement electronic trading systems that have the functionality, performance, reliability and speed required by our customers.</w:t>
      </w:r>
    </w:p>
    <w:p>
      <w:pPr>
        <w:spacing w:after="0" w:line="1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future success of our business depends in large part on our ability to create interactive electronic marketplaces in a wide range of derivatives products that have the required functionality, performance, capacity, reliability and speed to attract and retain customers. A significant portion of our overall volume is generated through electronic trading on our CME Globex electronic platform.</w:t>
      </w:r>
    </w:p>
    <w:p>
      <w:pPr>
        <w:spacing w:after="0" w:line="14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must continue to enhance our electronic trading platform to remain competitive. As a result, we will continue to be subject to risks, expenses and uncertainties encountered in the rapidly evolving market for electronic transaction services. These risks include our failure or inability to:</w:t>
      </w:r>
    </w:p>
    <w:p>
      <w:pPr>
        <w:spacing w:after="0" w:line="4"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reliable and cost-effective services to our customers;</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 in a timely manner, the required functionality to support electronic trading in our key products in a manner that is competitive with the functionality supported by other electronic markets;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match fees of our competitors that offer only electronic trading facilities;</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attract independent software vendors to write front-end software that will effectively access our electronic trading system and automated order routing system;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respond to technological developments or service offerings by competitors; and</w:t>
      </w:r>
    </w:p>
    <w:p>
      <w:pPr>
        <w:spacing w:after="0" w:line="9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generate sufficient revenue to justify the substantial capital investment we have made and will continue to make to enhance our electronic trading platform.</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37" w:name="page38"/>
    <w:bookmarkEnd w:id="37"/>
    <w:p>
      <w:pPr>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we do not successfully enhance our electronic trading platform, or our current or potential customers do not accept it, our revenues and profits will be adversely affected. Additionally, we rely on our customers’ ability to have the necessary back office functionality to support our new products and our trading and clearing functionality. To the extent our customers are not prepared and/or lack the resources or infrastructure, the success of our new initiatives may be compromised.</w:t>
      </w:r>
    </w:p>
    <w:p>
      <w:pPr>
        <w:spacing w:after="0" w:line="10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addition, if we are unable to develop our electronic trading systems to include other products and markets, or if our electronic trading systems do not have the required functionality, performance, capacity, reliability and speed, we may not be able to compete successfully in an environment that is increasingly dominated by electronic trading.</w:t>
      </w:r>
    </w:p>
    <w:p>
      <w:pPr>
        <w:spacing w:after="0" w:line="140"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b w:val="1"/>
          <w:bCs w:val="1"/>
          <w:i w:val="1"/>
          <w:iCs w:val="1"/>
          <w:color w:val="auto"/>
        </w:rPr>
        <w:t>If we experience systems failures or capacity constraints, our ability to conduct our operations and execute our business strategy could be materially harmed and we could be subjected to significant costs and liabilities.</w:t>
      </w:r>
    </w:p>
    <w:p>
      <w:pPr>
        <w:spacing w:after="0" w:line="132"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heavily dependent on the capacity, reliability and security of the computer and communications systems and software supporting our operations. We receive and/or process a large portion of our trade orders through electronic means, such as through public and private communications networks. Our systems, or those of our third party providers, may fail or operate slowly, causing one or more of the following to occur:</w:t>
      </w:r>
    </w:p>
    <w:p>
      <w:pPr>
        <w:spacing w:after="0" w:line="2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unanticipated disruptions in service to our customers;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slower response times;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our customers’ trade execution;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failed settlement of trades;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incomplete or inaccurate accounting, recording or processing of trades;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losses;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security breaches;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or other customer claims;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customers;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sanctions.</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cannot assure you that we will not experience systems failures from power or telecommunications failure, acts of God, war or terrorism, human error, natural disasters, fire, sabotage, hardware or software malfunctions or defects, computer viruses, acts of vandalism or similar occurrences. If any of our systems do not operate properly or are disabled, including as a result of system failure, employee or customer error or misuse of our systems, we could suffer financial loss, liability to customers, regulatory intervention or reputational damage that could affect demand by current and potential users of our market.</w:t>
      </w:r>
    </w:p>
    <w:p>
      <w:pPr>
        <w:spacing w:after="0" w:line="11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time to time, we have experienced system errors and failures that have resulted in some customers being unable to connect to our electronic trading platform, or that resulted in erroneous reporting, such as transactions that were not authorized by any customer or reporting of filled orders as cancelled. We cannot assure you that if we experience system errors or failures in the future that they will not have a material impact on our business. Any such system failures that cause an interruption in service or decrease our responsiveness could impair our reputation, damage our brand name or have a material adverse effect on our business, financial condition and operating results.</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status as a CFTC registrant generally requires that our trade execution and communications systems be able to handle anticipated present and future peak trading volume. Heavy use of our computer systems during peak trading times or at times of unusual market volatility could cause our systems to operate slowly or even to fail for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80" w:right="259" w:bottom="1440" w:gutter="0" w:footer="0" w:header="0"/>
        </w:sectPr>
      </w:pPr>
    </w:p>
    <w:bookmarkStart w:id="38" w:name="page39"/>
    <w:bookmarkEnd w:id="38"/>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periods of time. We constantly monitor system loads and performance and regularly implement system upgrades to handle estimated increases in trading volume. However, we cannot assure you that our estimates of future trading volume and order messaging traffic will be accurate or that our systems will always be able to accommodate actual trading volume and order messaging traffic without failure or degradation of performance. Increased CME Globex trading volume and order messaging traffic may result in connectivity problems or erroneous reports that may affect users of the platform. System failure or degradation could lead our customers to file formal complaints with industry regulatory organizations, to file lawsuits against us or to cease doing business with us, or could lead the CFTC or other regulators to initiate inquiries or proceedings for failure to comply with applicable laws and regulations.</w:t>
      </w:r>
    </w:p>
    <w:p>
      <w:pPr>
        <w:spacing w:after="0" w:line="120"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We will need to continue to upgrade, expand and increase the capacity of our systems as our business grows and we execute our business strategy. Generally, our goal is to design our systems to handle at least one-and-a-half times our peak historical transactions in our highest volume products. As volumes of transactions grow, the ability of our systems to meet this goal on an ongoing basis depends on our ability to increase our system capacity on a timely basis while maintaining system reliability. Although many of our systems are designed to accommodate additional volume and products and services without redesign or replacement, we will need to continue to make significant investments in additional hardware and software to accommodate the increases in volume of transactions and order transaction traffic and to provide processing services to third parties. If we cannot increase the capacity and capabilities of our systems to accommodate an increasing volume of transactions and to execute our business strategy, our ability to maintain or expand our businesses would be adversely affected.</w:t>
      </w:r>
    </w:p>
    <w:p>
      <w:pPr>
        <w:spacing w:after="0" w:line="105"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b w:val="1"/>
          <w:bCs w:val="1"/>
          <w:i w:val="1"/>
          <w:iCs w:val="1"/>
          <w:color w:val="auto"/>
        </w:rPr>
        <w:t>Our networks and those of our third party service providers may be vulnerable to security risks, which could result in wrongful use of our information or cause interruptions in our operations that cause us to lose customers and trading volume and result in significant liabilities. We could also be required to incur significant expense to protect our systems.</w:t>
      </w:r>
    </w:p>
    <w:p>
      <w:pPr>
        <w:spacing w:after="0" w:line="140"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We expect the secure transmission of confidential information over public networks to continue to be a critical element of our operations. Our networks and those of our third party service providers and our customers may be vulnerable to unauthorized access, computer viruses and other security problems. Persons who circumvent security measures could wrongfully use our information or cause interruptions or malfunctions in our operations. Any of these events could cause us to lose customers or trading volume. We may be required to expend significant resources to protect against the threat of security breaches or to alleviate problems, including reputational harm and litigation, caused by breaches. Although we intend to continue to implement security measures, these measures may prove to be inadequate and result in system failures and delays that could cause us to lose customers, experience lower trading volume and incur significant liabilities.</w:t>
      </w:r>
    </w:p>
    <w:p>
      <w:pPr>
        <w:spacing w:after="0" w:line="10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We, as well as many of our customers, depend on third party suppliers and service providers for a number of services that are important. An interruption or cessation of an important supply or service by any third party could have a material adverse effect on our business, including revenues derived from our customers’ trading activity.</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depend on a number of suppliers, such as banking, clearing and settlement organizations, telephone companies, online service providers, data processors, and software and hardware vendors for elements of our trading, clearing and other systems, as well as communications and networking equipment, computer hardware and software and related support and maintenance.</w:t>
      </w:r>
    </w:p>
    <w:p>
      <w:pPr>
        <w:spacing w:after="0" w:line="14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Many of our customers rely on third parties, such as independent software vendors, to provide them with front-end systems to access our CME Globex platform. While these third parties have undertaken to keep current with our enhancements and changes to our interfaces and functionality, we cannot guarantee that these third parties will continue to make the necessary monetary and time investments to keep up with our changes. In the event that these software programs do not interact with our platform seamlessly, our customers could be impacted, which could lead to a decrease in trading volume.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39" w:name="page40"/>
    <w:bookmarkEnd w:id="39"/>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extent any of our service providers or the organizations that provide services to our customers in connection with their trading activities cease to provide these services in an efficient, cost-effective manner or fail to adequately expand their services to meet our needs, we could experience decreased trading volume, lower revenues and higher costs.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clearing house operations expose us to substantial credit risk of third parties and the level of soundness of our clearing firms could adversely affect us.</w:t>
      </w:r>
    </w:p>
    <w:p>
      <w:pPr>
        <w:spacing w:after="0" w:line="20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CME, our subsidiary, owns and operates its own clearing house, which acts as the counterparty to all trades consummated on or through our futures exchanges or on third-party exchanges for which we may provide clearing services. As a result, we have exposure to many different industries and counterparties, and we routinely guarantee transactions with counterparties in the financial industry, including brokers and dealers, commercial banks, investment banks, mutual and hedge funds, and other institutional customers. As a result of the recent financial crisis, many financial institutions required additional capital infusions, merged with larger and stronger institutions, became bank holding companies that are regulated by the Federal Reserve Bank and, in some cases, failed. For example, during 2008, The Bear Stearns Companies, Inc., Lehman Brothers Holdings Inc. and American International Group, Inc., all of which were parent companies of clearing firms of our exchange, experienced significant financial write-downs and in some cases failed. Although none of these cases resulted in a default of a clearing firm, additional companies, including our clearing firms, may continue to encounter economic difficulties during this period of economic uncertainty.</w:t>
      </w:r>
    </w:p>
    <w:p>
      <w:pPr>
        <w:spacing w:after="0" w:line="118"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As part of our overall growth initiatives, we have expanded our clearing services to the over-the-counter market in addition to standard futures and options on futures products, including through CME ClearPort and our credit default swap clearing initiative. The process for deriving margins and performance bonds for over-the-counter products is different and, in part, seeks to assess and capture different risks than our historical practices applied to our futures products. Although we believe that we have carefully analyzed the process for setting our financial safeguards for over-the-counter products, there is no guarantee that our risk management procedures will adequately protect us from the unique risks of these products as we have not historically provided clearing services to this market.</w:t>
      </w:r>
    </w:p>
    <w:p>
      <w:pPr>
        <w:spacing w:after="0" w:line="1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plan to launch a separate UK clearing house following receipt of regulatory approval from the Financial Services Authority. We have limited experience operating a clearing house outside of the United States. The UK clearing house will operate independently of our U.S. clearing house and will have its own guarantee fund as part of its risk management policies and procedures.</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substantial part of our working capital may be at risk if a clearing firm defaults on its obligations to our clearing house and its margin and security deposits are insufficient to meet its obligations. 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 However, we cannot assure you that these measures will be sufficient to protect us from a default or that we will not be materially and adversely affected in the event of a significant default.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required capital and posted collateral of our clearing firms may lose value given the volatility of the market.</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To become a clearing member, a firm must meet certain minimum capital requirements and must deposit a certain amount of funds with our clearing house as collateral for their trading activity. The funds used to satisfy these requirements may be cash or held in certain permissible investments, such as regulated money market mutual funds, U.S. Treasury securities and asset-backed securities. Given the level of market volatility, there is no guarantee that these investments will continue to maintain their value. To the extent a clearing firm was not in compliance with these requirements, it would be required to acquire additional funds, decrease its proprietary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trading activity and/or transfer customer accounts to another clearing firm. These actions could result in a decrease in trading activity in our products.</w:t>
      </w:r>
    </w:p>
    <w:p>
      <w:pPr>
        <w:spacing w:after="0" w:line="194"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b w:val="1"/>
          <w:bCs w:val="1"/>
          <w:i w:val="1"/>
          <w:iCs w:val="1"/>
          <w:color w:val="auto"/>
        </w:rPr>
        <w:t>Our market data revenues may be reduced or eliminated by decreased demand, overall economic conditions or the growth of electronic trading and electronic order entry systems. If we are unable to offset that reduction through terminal usage fees or transaction fees, we will experience a reduction in revenue.</w:t>
      </w:r>
    </w:p>
    <w:p>
      <w:pPr>
        <w:spacing w:after="0" w:line="6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sell our market data to individuals and organizations that use our markets or monitor general economic conditions. Revenues from our market data totaled $331.1 million, representing 13% of our total revenues, and $279.5 million, representing 11% of our total revenues, during the years ended December 31, 2009 and 2008, respectively. A decrease in overall trading volume may also lead to a decreased demand for our market data from the market data vendors. For example, we believe that the decrease in the average number of devices for CME and CBOT market data from approximately 296,000 for 2008 to approximately 274,000 for 2009 is due primarily to cost cutting initiatives at customer firms. Additionally, electronic trading systems do not usually impose separate exchange fees for supplying market data to trading terminals. If we do not separately charge for market data supplied to trading terminals, and trading terminals with access to our markets become widely available, we could lose market data fees from those who have access to trading terminals. We will experience a reduction in our revenues if we are unable to recover that lost market data revenue through terminal usage fees or transaction fees.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 key element of our strategy is to provide transaction processing services to third parties. Our failure to identify future opportunities to provide these services will have a negative impact on our ability to grow our business.</w:t>
      </w:r>
    </w:p>
    <w:p>
      <w:pPr>
        <w:spacing w:after="0" w:line="13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Providing third-party transaction processing services is a key element of our strategy. Pursuant to transaction-processing agreements, we previously provided these services to NYMEX and to CBOT. Prior to our acquisition of these companies, we derived a significant amount of revenue from these service agreements. We have entered into other transaction-processing arrangements with BM&amp;FBOVESPA, the Korea Exchange, the Dubai Mercantile Exchange and Bursa Malaysia Derivatives. We cannot assure you that such arrangements will be as profitable as our previous arrangements with NYMEX and CBOT or that we will enter into additional agreements to provide processing services in the future. Our failure to capitalize on our existing arrangements and to identify future opportunities may have a negative impact on our ability to generate additional revenues and grow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executing our growth strategy and maintaining our growth effectively.</w:t>
      </w:r>
    </w:p>
    <w:p>
      <w:pPr>
        <w:spacing w:after="0" w:line="171"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We continue to focus on strategic initiatives to grow our business, including our efforts to serve the over-the-counter market as discussed in the following risk factor and to distribute our products and services on a global basis. There is no guarantee that our efforts will be successful. Continued growth will require additional investment in personnel, facilities, information technology infrastructure and financial and management systems and controls and may place a significant strain on our management and resources. We may not be successful in implementing all of the processes that are necessary to support our growth organically or, as described below, through acquisitions, investments or other strategic alliances. Unless our growth results in an increase in our revenues that is proportionate to the increase in our costs associated with our growth, our future profitability could be adversely affected, and we may have to incur significant expenditures to address the additional operational and control requirements as a result of our growth.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our over-the-counter initiatives will be successful.</w:t>
      </w:r>
    </w:p>
    <w:p>
      <w:pPr>
        <w:spacing w:after="0" w:line="171"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Our goal is to grow our business by expanding our clearing services and product offerings to reach the over-the-counter market. In December 2009, we initiated our pre-launch of our clearing services for the credit default swaps market. Our offering is being made pursuant to a special exemption from the SEC which is in</w:t>
      </w:r>
    </w:p>
    <w:p>
      <w:pPr>
        <w:spacing w:after="0" w:line="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80" w:right="259" w:bottom="1440" w:gutter="0" w:footer="0" w:header="0"/>
        </w:sectPr>
      </w:pPr>
    </w:p>
    <w:bookmarkStart w:id="41" w:name="page42"/>
    <w:bookmarkEnd w:id="41"/>
    <w:p>
      <w:pPr>
        <w:ind w:right="20"/>
        <w:spacing w:after="0" w:line="31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through March 31, 2010. We expect to have the exemption extended in the future. However, there is no guarantee that the SEC will continue to grant us an exemption. Without this exemption, CME and other market participants would have to comply with extensive registration and reporting requirements, which may discourage market participants from clearing their credit default swap trades through us. Our strategy also includes extending our over-the-counter services into other assets classes, such as interest rates and foreign exchange, as well as enhancing our CME ClearPort functionality to support additional products. The current regulatory environment for trading and clearing over-the-counter products, including credit default swaps, is uncertain. We cannot be certain that we will be able to operate profitably in the event that future legislation or regulation adversely affects the trading of over-the-counter products or reduces the demand for our offerings. In addition, a number of market participants and exchanges have developed competing platforms and products, including IntercontinentalExchange’s offering for credit default swaps. We cannot be certain that we will be able to compete effectively or that our initiatives will be successful.</w:t>
      </w:r>
    </w:p>
    <w:p>
      <w:pPr>
        <w:spacing w:after="0" w:line="10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intend to continue to explore acquisitions, investments and other strategic alliances. We may not be successful in identifying opportunities or in integrating the acquired businesses. Any such transaction may not produce the results we anticipate which could adversely affect our business and our stock price.</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intend to continue to explore and pursue acquisitions and other strategic opportunities to strengthen our business and grow our company. We may make acquisitions or investments or enter into strategic partnerships, joint ventures and other alliances. The market for such transactions is highly competitive, especially in light of the increasing consolidation in our industry. As a result, we may be unable to identify strategic opportunities or we may be unable to negotiate or finance future transactions on terms favorable to us. To the extent the trend of consolidation in our industry continues, we may encounter increased difficulties in identifying growth opportunities. We may finance future transactions by issuing additional equity and/or debt. The issuance of additional equity in connection with any future transaction could be substantially dilutive to our existing shareholders. The issuance of additional debt could increase our leverage substantially. The process of integration may also produce unforeseen regulatory and operating difficulties and expenditures and may divert the attention of management from the ongoing operation of our business. To the extent we enter into joint ventures and alliances, we may experience difficulties in the development and expansion of the business of any newly formed ventures, in the exercise of influence over the activities of any ventures in which we do not have a controlling interest as well as encounter potential conflicts with our joint venture or alliance partners. We may not realize the anticipated growth and other benefits from strategic growth initiatives we have made or will make in the future which may have an adverse impact on our financial condition and operating results. As discussed below, we may also be required to take an impairment charge on our financial statements which could negatively impact our stock price.</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Expansion of our operations internationally involves special challenges that we may not be able to meet, which could adversely affect our financial results.</w:t>
      </w:r>
    </w:p>
    <w:p>
      <w:pPr>
        <w:spacing w:after="0" w:line="20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plan to continue to expand our operations internationally, including by establishing a UK clearing house, directly placing order entry terminals with customers outside the United States and by relying on distribution systems established by our current and future strategic alliance partners. We face certain risks inherent in doing business in international markets, particularly in the regulated derivatives exchange business. These risks include:</w:t>
      </w:r>
    </w:p>
    <w:p>
      <w:pPr>
        <w:spacing w:after="0" w:line="2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use of trading terminals or the contracts that may be traded;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becoming subject to extensive regulations and oversight, tariffs and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political conditions in the countries from which our markets are accessed, which may have an adverse effect on our volume from those countries;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42" w:name="page43"/>
    <w:bookmarkEnd w:id="42"/>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as a result of our expanding global operations, we will become subject to the laws and regulations of foreign governmental and regulatory authorities, including the Financial Services Authority in connection with our UK clearing house. These may include laws, rules and regulations relating to any aspect of the derivatives business. To date, we have had limited experience in marketing and operating our products and services internationally. We cannot assure you that we will be able to succeed in marketing our products and services in international markets. We may also experience difficulty in managing our international operations because of, among other things, competitive conditions overseas, management of foreign exchange risk, established domestic markets, language and cultural differences and economic or political instability. Any of these factors could have a material adverse effect on the success of our international operations and, consequently, on our business, financial condition and operating results.</w:t>
      </w:r>
    </w:p>
    <w:p>
      <w:pPr>
        <w:spacing w:after="0" w:line="11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Our compliance and risk management methods might not be effective and may result in outcomes that could adversely affect our reputation, financial condition and operating results.</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Generally, the CFTC has broad enforcement powers to censure, fine, issue cease-and-desist orders, prohibit us from engaging in some of our businesses or suspend or revoke our designation as a contract market or the registration of any of our officers or employees who violate applicable laws or regulations. Our ability to comply with applicable laws and rules is largely dependent on our establishment and maintenance of compliance, audit and reporting systems, as well as our ability to attract and retain qualified compliance and other risk management personnel. We face the risk of significant intervention by regulatory authorities, including extensive examination and surveillance activity. In the case of non-compliance or alleged non-compliance with applicable laws or regulations, we could be subject to investigations and judicial or administrative proceedings that may result in substantial penalties or civil lawsuits, including by customers, for damages, which can be significant. Any of these outcomes would adversely affect our reputation, financial condition and operating results. In extreme cases, these outcomes could adversely affect our ability to conduct our business.</w:t>
      </w:r>
    </w:p>
    <w:p>
      <w:pPr>
        <w:spacing w:after="0" w:line="11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policies and procedures to identify, monitor and manage our risks may not be fully effective. Some of our risk management methods depend upon evaluation of information regarding markets, customers or other matters that are publicly available or otherwise accessible by us. That information may not in all cases be accurate, complete, up-to-date or properly evaluated. Management of operational, financial, legal, regulatory and strategic risk requires, among other things, policies and procedures to record properly and verify a large number of transactions and events. We cannot assure you that our policies and procedures will always be effective or that we will always be successful in monitoring or evaluating the risks to which we are or may be exposed.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harmed by misconduct or errors that are difficult to detect and deter.</w:t>
      </w:r>
    </w:p>
    <w:p>
      <w:pPr>
        <w:spacing w:after="0" w:line="171"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There have been a number of highly publicized cases involving fraud or other misconduct by employees of financial services firms in recent years. For example, in 2008 a mid-level trader at Societe Generale engaged in unauthorized trading which cost Societe approximately $7 billion and a trader at MF Global, one our clearing firms, lost approximately $140 million in connection with unauthorized trades. Misconduct by our employees and agents, including employees of GFX, our wholly-owned subsidiary that engages primarily in proprietary trading in foreign exchange futures, could include hiding unauthorized activities from us, improper or unauthorized activities on behalf of customers or improper use of confidential information. Misconduct could subject us to financial losses or regulatory sanctions and seriously harm our reputation. It is not always possible to deter misconduct, and the precautions we take to prevent and detect this activity may not be effective in all cases. Our employees and agents, including our GFX employees, also may commit errors that could subject us to financial claims for negligence, as well as regulatory actions.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which may materially harm our business.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rely primarily on trade secret, copyright, service mark, trademark and patent law and contractual protections to protect our proprietary technology and other proprietary rights. We have filed several patent applications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43" w:name="page44"/>
    <w:bookmarkEnd w:id="43"/>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covering our technology in the United States and certain other jurisdictions. Notwithstanding the precautions we take to protect our intellectual property rights, it is possible that third parties may copy or otherwise obtain and use our proprietary technology without authorization or otherwise infringe on our rights. We also seek to protect our software and databases as trade secrets and under copyright law. We have copyright registrations for certain of our software, user manuals and databases. The copyright protection afforded to databases, however, is fairly limited. While the arrangement and selection of data generally are protectable, the actual data may not be, and others may be free to create databases that would perform the same function. In some cases, including for a number of our most important products, there may be no effective legal recourse against duplication by competitors. In addition, 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to us and diversions of our resources, either of which could adversely affect our business.</w:t>
      </w:r>
    </w:p>
    <w:p>
      <w:pPr>
        <w:spacing w:after="0" w:line="12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Any infringement by us on patent rights of others could result in litigation and adversely affect our ability to continue to provide, or increase the cost of providing, our products and electronic execution services.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Patents of third parties may have an important bearing on our ability to offer certain of our products and services. Our competitors as well as other companies and individuals may obtain, and may be expected to obtain in the future, patents related to the types of products and services we offer or plan to offer. We cannot assure you that we are or will be aware of all patents containing claims that may pose a risk of infringement by our products and services. In addition, some patent applications in the United States are confidential until a patent is issued and, therefore, we cannot evaluate the extent to which our products and services may be covered or asserted to be covered by claims contained in pending patent applications. These claims of infringement are not uncommon in our industry.</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 general, if one or more of our products or services were to infringe on patents held by others, we may be required to stop developing or marketing the products or services, to obtain licenses to develop and market the services from the holders of the patents or to redesign the products or services in such a way as to avoid infringing on the patent claims. We cannot assess the extent to which we may be required in the future to obtain licenses with respect to patents held by others, whether such licenses would be available or, if available, whether we would be able to obtain such licenses on commercially reasonable terms. If we were unable to obtain such licenses, we may not be able to redesign our products or services to avoid infringement, which could materially adversely affect our business, financial condition and operating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CLASS A COMMON STOCK</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operations and prevent us from fulfilling our debt service obligations. We may still be able to incur more debt, intensifying these risks.</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December 31, 2009, we had approximately $2.3 billion of total indebtedness and we had excess borrowing capacity for general corporate purposes under our existing facilities of approximately $0.8 billion.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Our indebtedness could have important consequences. For example, our indebtedness may:</w:t>
      </w:r>
    </w:p>
    <w:p>
      <w:pPr>
        <w:spacing w:after="0" w:line="90" w:lineRule="exact"/>
        <w:rPr>
          <w:sz w:val="20"/>
          <w:szCs w:val="20"/>
          <w:color w:val="auto"/>
        </w:rPr>
      </w:pPr>
    </w:p>
    <w:p>
      <w:pPr>
        <w:ind w:left="90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require us to dedicate a significant portion of our cash flow from operations to payments on our debt, thereby reducing the availability of cash flow to fund capital expenditures, pursue acquisitions or investments, to pay dividends and for general corporate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or challenges relating to our business and industry;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80" w:right="239" w:bottom="1440" w:gutter="0" w:footer="0" w:header="0"/>
        </w:sectPr>
      </w:pPr>
    </w:p>
    <w:bookmarkStart w:id="44" w:name="page45"/>
    <w:bookmarkEnd w:id="44"/>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place us at a competitive disadvantage against any less leveraged competitors;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us to interest rate exposure for our variable interest rate debt, to the extent not hedged.</w:t>
      </w:r>
    </w:p>
    <w:p>
      <w:pPr>
        <w:spacing w:after="0" w:line="171"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occurrence of any one of these events could have a material adverse effect on our business, financial condition, results of operations, prospects, and ability to satisfy our debt service obligations. In addition, the agreements governing our outstanding indebtedness do not significantly limit our ability to incur additional indebtedness, which could increase the risks described above to the extent that we incur additional debt.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reduction in our credit rating could increase the cost of our funding from the capital markets.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long-term debt is currently rated investment grade by two of the major rating agencies. These rating agencies regularly evaluate us. Their ratings of our long-term debt are based on a number of factors, including our financial strength as well as factors not entirely within our control, such as conditions affecting the financial services industry generally. In light of the difficulties in the financial services industry and the financial markets, there can be no assurance that we will maintain our current ratings. Our failure to maintain those ratings could adversely affect the cost and other terms upon which we are able to obtain funding and increase our cost of capital.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BM&amp;FBOVESPA subjects us to investment and currency risk.</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own an interest in BM&amp;FBOVESPA representing approximately 5% of its outstanding shares. As an exchange, its ability to maintain or expand its trading volume and operate its business is subject to the same types of risks to which we are subject. Additionally, its stock is valued in Brazilian real, which subjects us to currency risk. To mitigate our financial exposure to the currency risk of the investment, we purchased an option to hedge against fluctuations between the U.S. dollar and the Brazilian real with Lehman Brothers Special Financing Inc. As a result of the bankruptcy filing of Lehman Brothers Holdings Inc. in September 2008, our hedging arrangement was terminated and our currency exposure is no longer mitigated. There is no guarantee that our investment in BM&amp;FBOVESPA will be profitable. Under the terms of the transaction, we may not sell our shares in BM&amp;FBOVESPA until February 2012.</w:t>
      </w:r>
    </w:p>
    <w:p>
      <w:pPr>
        <w:spacing w:after="0" w:line="12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Any impairment of our goodwill and other intangible assets or investments may result in material, non-cash write downs and could have a material adverse impact on our results of operations and shareholders’ equity.</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our acquisitions, including our mergers with CBOT Holdings and NYMEX Holdings, we have recorded goodwill and identifiable intangible assets. We assess goodwill and intangible assets for impairment by applying a fair value test looking at historical performance, capital requirements and projected cash flows on an annual basis or more frequently if indicators of impairment arise. In 2008, we were required to record impairment charges in connection with our investment in BM&amp;FBOVESPA and our Swapstream acquisition. In 2009, we also recorded impairment charges in connection with our ownership interests in IMAREX ASA and the Dubai Mercantile Exchange. We may continue to experience future events that result in impairments. The risk of impairment losses may increase to the extent our market capitalization and earnings decline. An impairment of the value of our existing goodwill and intangible assets could have a significant negative impact on our future operating results and could have an adverse impact on our ability to satisfy the financial ratios or other covenants under our existing or future debt agreements.</w:t>
      </w:r>
    </w:p>
    <w:p>
      <w:pPr>
        <w:spacing w:after="0" w:line="11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Our quarterly operating results fluctuate due to seasonality. As a result, you will not be able to rely on our operating results in any particular quarter as an indication of our future performance.</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Generally, we have historically experienced relatively higher trading volume during the first and second quarters and sequentially lower trading volume in the third and fourth quarters. As a result of this seasonality, you will not be able to rely on our operating results in any particular period as an indication of our future performance. If we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0"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 to meet securities analysts’ expectations regarding our operating results, the price of our Class A common stock could decline substantially.</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average rate per contract is subject to fluctuation due to a number of factors. As a result, you will not be able to rely on our average rate per contract in any particular period as an indication of our future average rate per contract.</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average rate per contract, which impacts our operating results, is subject to fluctuation due to shifts in the mix of products traded, the trading venue and the mix of customers (whether the customer receives member or non-member fees or participates in one of our various incentive programs) and the impact of our tiered pricing structure. For example, we earn a higher rate per contract for trades executed electronically. In addition, our members and participants in our various incentive programs generally are charged lower fees than our non-member customers. Variation in each of these factors is difficult to predict and will have an impact on our average rate per contract in the particular period. Because of this fluctuation, you may not be able to rely on our average rate per contract in any particular period as an indication of our future average rate per contract. If we fail to meet securities analysts’ expectations regarding our operating results, the price of our Class A common stock could decline substantially.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cost structure is largely fixed. If our revenues decline and we are unable to reduce our costs, our profitability will be adversely affected.</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cost structure is largely fixed. We base our cost structure on historical and expected levels of demand for our products and services. If demand for our products and services and our resulting revenues decline, we may not be able to adjust our cost structure on a timely basis. In that event, our profitability will be adversely affected.</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Shareholders who own trading rights or are officers or directors of firms who own trading rights on our exchanges account for 20 of the 32 directors on our board. These shareholders may have interests that differ from or conflict with those of shareholders who are not also members. Our dependence on the trading and clearing activities of our members, combined with their rights to elect directors, may enable them to exert substantial influence over the operation of our business.</w:t>
      </w:r>
    </w:p>
    <w:p>
      <w:pPr>
        <w:spacing w:after="0" w:line="14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Twenty of our 32 directors on our board own or are officers or directors of firms who own trading rights on our exchange. We are dependent on the revenues from the trading and clearing activities of our members. This dependence may give them substantial influence over how we operate our business.</w:t>
      </w:r>
    </w:p>
    <w:p>
      <w:pPr>
        <w:spacing w:after="0" w:line="8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Many of our members and clearing firms derive a substantial portion of their income from their trading or clearing activities on or through our exchanges. In addition, trading rights on our exchanges have substantial independent value. The amount of income that members derive from their trading, brokering and clearing activities and the value of their trading rights are, in part, dependent on the fees they are charged to trade, broker, clear and access our markets and the rules and structure of our markets. As a result, holders of our Class A common stock may not have the same economic interests as our members. In addition, our members may have differing interests among themselves depending on the roles they serve in our markets, their method of trading and the products they trade. Consequently, members may advocate that we enhance and protect their clearing and trading opportunities and the value of their trading privileges over their economic interest in us.</w:t>
      </w:r>
    </w:p>
    <w:p>
      <w:pPr>
        <w:spacing w:after="0" w:line="14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rights of our members, including the board representation rights of the members of our CME exchange to elect six directors and the rights described in the immediately following risk factor, could be used to influence how our business is changed or developed, including how we address competition and how we seek to grow our volume and revenue and enhance shareholder value.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46" w:name="page47"/>
    <w:bookmarkEnd w:id="46"/>
    <w:p>
      <w:pPr>
        <w:ind w:right="320"/>
        <w:spacing w:after="0" w:line="33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members have been granted special rights, which protect their trading privileges, require that we maintain open outcry trading until volumes are not significant and, in the case of our Class B shareholders and CBOT members, provide them with special board representation.</w:t>
      </w:r>
    </w:p>
    <w:p>
      <w:pPr>
        <w:spacing w:after="0" w:line="8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terms of the organizational documents of our exchanges, our members have certain rights that relate primarily to trading right protections, certain trading fee protections and certain membership benefit protections. Additionally, our Class B shareholders, who are members of our CME exchange, are also entitled to elect six of the 32 directors on our board; even if their Class A share ownership interest is very small or non-existent. We are also required to include at least 10 CBOT directors (as defined in our bylaws) on our board until our 2012 annual meeting of shareholders and to submit changes to the rules and regulations of the CBOT exchange to the CBOT directors in advance for their review. In the event the CBOT directors determine in their sole discretion that a proposed rule change will materially impair the business of CBOT or the business opportunities of the holders of the CBOT memberships, such change must be submitted to a committee comprised of three CBOT directors and two CME directors (as defined in our bylaws). In connection with these rights, our ability to take certain actions that we may deem to be in the best interests of the company and its shareholders, including actions relating to the operation of our open outcry trading facilities and certain pricing decisions, may be limited by the rights of our members.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corporate headquarters are located at 20 South Wacker Drive, Chicago, Illinois 60606. In 2007, we entered into a new lease at 20 South Wacker Drive, which was subsequently amended to include an expansion, providing for approximately 491,000 square feet of office, lobby and support space which includes the space that previously housed our lower trading floor space. The initial term of the lease expires in 2022 with two consecutive options to extend the term for seven and ten years, respectively. The lease also includes various expansion and contraction options.</w:t>
      </w:r>
    </w:p>
    <w:p>
      <w:pPr>
        <w:spacing w:after="0" w:line="113" w:lineRule="exact"/>
        <w:rPr>
          <w:sz w:val="20"/>
          <w:szCs w:val="20"/>
          <w:color w:val="auto"/>
        </w:rPr>
      </w:pPr>
    </w:p>
    <w:p>
      <w:pPr>
        <w:ind w:right="820"/>
        <w:spacing w:after="0" w:line="332" w:lineRule="auto"/>
        <w:rPr>
          <w:sz w:val="20"/>
          <w:szCs w:val="20"/>
          <w:color w:val="auto"/>
        </w:rPr>
      </w:pPr>
      <w:r>
        <w:rPr>
          <w:rFonts w:ascii="Arial" w:cs="Arial" w:eastAsia="Arial" w:hAnsi="Arial"/>
          <w:sz w:val="16"/>
          <w:szCs w:val="16"/>
          <w:color w:val="auto"/>
        </w:rPr>
        <w:t>As a result of our merger with CBOT Holdings, we own three buildings located at 141 West Jackson Boulevard in Chicago, which consist of a total of approximately 1,500,000 square feet. We occupy approximately 422,000 square feet of office, trading floor and support space at this location.</w:t>
      </w:r>
    </w:p>
    <w:p>
      <w:pPr>
        <w:spacing w:after="0" w:line="85"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In connection with our acquisition of NYMEX, we own a 16-story building in downtown New York, New York. This building, which is on land leased from the Battery Park City Authority for a term expiring in June 2069, is one of five office buildings in a complex known as the World Financial Center. The construction of the 507,000 square foot building was completed in 1997 and houses open outcry trading for NYMEX and COMEX. As of December 31, 2009, approximately 155,000 square feet was leased to third parties. Our largest tenant at this location is ICE Futures U.S., Inc. (formerly known as NYBOT).</w:t>
      </w:r>
    </w:p>
    <w:p>
      <w:pPr>
        <w:spacing w:after="0" w:line="11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also lease additional office space at 550 West Washington in Chicago for approximately 222,000 square feet of office space on a phased-in basis through 2013, pursuant to a lease that expires in 2023.</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maintain back up and remote data center locations as part of our disaster recovery initiative on property owned or leased in Illinois and New York. Our third data center was added in 2009. We also lease administrative office space in Washington, D.C.; Houston, Texas; Tokyo, Japan; Hong Kong, China; Shanghai, China; and Singapore, Singapore as well as both administrative and communication equipment space in London, England.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facilities are adequate for our current operations and that additional space can be obtained if needed.</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280" w:right="279" w:bottom="1440" w:gutter="0" w:footer="0" w:header="0"/>
        </w:sectPr>
      </w:pPr>
    </w:p>
    <w:bookmarkStart w:id="47" w:name="page48"/>
    <w:bookmarkEnd w:id="47"/>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or, to our knowledge, threatened with any litigation or other legal proceeding that, in our opinion, could have a material adverse effect on our business, operating results or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NYMEX Holdings Merger Class Actions</w:t>
      </w:r>
    </w:p>
    <w:p>
      <w:pPr>
        <w:spacing w:after="0" w:line="9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connection with our merger with NYMEX Holdings, two purported class action complaints were filed against the former NYMEX Holdings, the former NYMEX Holdings board of directors and CME Group in the Delaware Court of Chancery in March 2008. One action was filed on behalf of the former NYMEX Holdings’ shareholders and the other action was brought on behalf of the NYMEX Class A members. Both actions included substantially similar claims alleging, among other things, that the NYMEX Holdings board of directors breached their fiduciary duties in approving the merger agreement by exclusively negotiating a transaction with CME Group without regard to the fairness of the transaction to the NYMEX Holdings shareholders, failing to take steps to maximize shareholder value, capping the minimum price of NYMEX Holdings’ stock, failing to properly value NYMEX Holdings, making changes to NYMEX Holdings’ change of control severance plan weeks before announcing that it was engaged in discussions with CME Group, requiring the Class A members to execute a waiver and release that allegedly was coercive because it was intended to deprive them of their rights to participate in this lawsuit as well as their rights to past, present and future royalty payments under Section 311(G) of the former bylaws of NYMEX, and failing to fully disclose material information related to the merger, including financial information and information necessary to prevent statements contained in the preliminary proxy from being misleading. The complaints further alleged that CME Group aided and abetted the alleged breach of fiduciary duties. Both actions initially sought to enjoin the merger; however, plaintiffs pulled the preliminary injunction hearing from the court’s calendar in August 2008 after becoming satisfied that there had been adequate disclosures by NYMEX Holdings and CME Group. Following the withdrawal of the injunction, the plaintiffs sought damages for alleged breaches of fiduciary duties and a declaration that the waiver and release was invalid and unenforceable. In October 2008, the defendants moved to dismiss the complaints. In September 2009, the Delaware Court of Chancery granted the defendants’ motions to dismiss the complaints. The plaintiffs’ appealed the court’s decision. Subsequently, the plaintiffs agreed in December 2009 to voluntarily withdraw their appeals in exchange for our agreement to pay the court approved attorneys fees of $1.8 million.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EUREX Action</w:t>
      </w:r>
    </w:p>
    <w:p>
      <w:pPr>
        <w:spacing w:after="0" w:line="9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October 2003, the U.S. Futures Exchange, L.L.C. (Eurex U.S.) and U.S. Exchange Holdings, Inc. filed suit against CBOT and CME in the 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treble damages. In December 2003, CBOT and CME filed separate motions to dismiss or, in the event the motion to dismiss is denied, to move the venue to the United States District Court for the Northern District of Illinois. In September 2004, the judge granted CBOT’s and CME’s motion to transfer venue to the Northern District of Illinois. In light of that decision, the judge did not rule on the motions to dismiss. In March 2005, Eurex U.S. filed a second amended complaint in the United States District Court for the Northern District of Illinois. In June 2005, CME and CBOT filed a motion to dismiss the complaint which was denied in August 2005. In April 2007, CME and CBOT filed two joint motions for summary judgment. We are currently awaiting the court’s decision on the motions. Based on its investigation to date and advice from legal counsel, the company believes this suit is without merit and intends to defend itself vigorously against these charges.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CBOE Class Action</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August 2006, CBOT Holdings and CBOT, along with a class consisting of certain CBOT full members, filed a lawsuit in the Court of Chancery of the State of Delaware against the Chicago Board Options Exchange (CBOE).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4" w:right="239" w:bottom="1440" w:gutter="0" w:footer="0" w:header="0"/>
        </w:sectPr>
      </w:pPr>
    </w:p>
    <w:bookmarkStart w:id="48" w:name="page49"/>
    <w:bookmarkEnd w:id="4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lawsuit sought to enforce and protect the exercise right privileges (ERPs). The lawsuit alleged that these ERPs allowed CBOT’s full members who held them to become full members of CBOE and to participate on an equal basis with other members of CBOE in CBOE’s announced plans to demutualize. In June 2008, the parties reached a settlement in principle. Under the proposed settlement terms, CBOE participating Class A members would share in an aggregate of 18% of the CBOE Holdings equity through the issuance of warrants that will be converted into non-voting common stock of CBOE Holdings convertible into voting common stock upon CBOE Holdings’ initial public offering. Class A members would also be entitled to receive non-interest bearing notes for their pro rata share of $300.0 million. Participating Class B members would be paid $250,000 for each ERP owned. The settlement was approved by the court in July 2009 and was subsequently appealed in August. In December 2009, CBOE and CBOT reached a settlement with the appellants whereby the appellants would receive an aggregate of approximately $4.1 million, with CBOE and CBOT each contributing half of the settlement proceeds. On December 2, 2009, the Delaware Supreme Court dismissed all of the appeals and the case was concluded.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Fifth Market</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On August 19, 2008, Fifth Market filed a complaint against CME Group and CME seeking a permanent injunction against CME’s Globex system and enhanced damages for what the plaintiff alleges is willful infringement, in addition to costs, expenses and attorneys’ fees. The suit alleges that CME infringes two U.S. patents. Based on its investigation to date and advice from legal counsel, the company believes this suit is without merit and intends to defend itself vigorously against these charges.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Garber</w:t>
      </w:r>
    </w:p>
    <w:p>
      <w:pPr>
        <w:spacing w:after="0" w:line="90" w:lineRule="exact"/>
        <w:rPr>
          <w:sz w:val="20"/>
          <w:szCs w:val="20"/>
          <w:color w:val="auto"/>
        </w:rPr>
      </w:pPr>
    </w:p>
    <w:p>
      <w:pPr>
        <w:jc w:val="both"/>
        <w:ind w:right="100"/>
        <w:spacing w:after="0" w:line="284" w:lineRule="auto"/>
        <w:rPr>
          <w:sz w:val="20"/>
          <w:szCs w:val="20"/>
          <w:color w:val="auto"/>
        </w:rPr>
      </w:pPr>
      <w:r>
        <w:rPr>
          <w:rFonts w:ascii="Arial" w:cs="Arial" w:eastAsia="Arial" w:hAnsi="Arial"/>
          <w:sz w:val="16"/>
          <w:szCs w:val="16"/>
          <w:color w:val="auto"/>
        </w:rPr>
        <w:t>In June 2009, CME and CBOT filed a complaint against Howard Garber seeking a declaratory judgment that neither CME nor CBOT was infringing certain of Mr. Garber’s patents and that one of his patents is invalid and unenforceable. In September 2009, Technology Research Group LLC, the current owner of one of the patents at issue, filed counterclaims alleging that CME and CBOT infringe, induce or contribute to the infringement and willfully infringes its patent.</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Technology Research is seeking an injunction and damages no less than a reasonable royalty. Based on its investigation to date and advice from legal counsel, the company believes this suit is without merit and intends to defend itself vigorously against these charges.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Realtime Data</w:t>
      </w:r>
    </w:p>
    <w:p>
      <w:pPr>
        <w:spacing w:after="0" w:line="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In July 2009, Realtime Data LLC filed a complaint against CME Group and other exchanges seeking a permanent injunction and damages no less than a reasonable royalty. In July 2009, Realtime filed an amended complaint and added CBOT and NYMEX along with other related companies of the other defendants. The complaint alleges that CME Group, CBOT and NYMEX infringe directly and/or indirectly four patents and further that the infringement is willful. Based on its investigation to date and advice from legal counsel, the company believes this suit is without merit and intends to defend itself vigorously against these charges.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80" w:right="29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w:t>
      </w:r>
    </w:p>
    <w:p>
      <w:pPr>
        <w:spacing w:after="0" w:line="212" w:lineRule="exact"/>
        <w:rPr>
          <w:sz w:val="20"/>
          <w:szCs w:val="20"/>
          <w:color w:val="auto"/>
        </w:rPr>
      </w:pPr>
    </w:p>
    <w:p>
      <w:pPr>
        <w:ind w:left="1040" w:right="4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90"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Our Class A common stock is currently listed on NASDAQ under the ticker symbol “CME.” As of February 17, 2010, there were approximately 3,097 holders of record of our Class A common stock.</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high and low sales prices per share of our Class A common stock on a quarterly basis, as reported on NASDAQ.</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2009</w:t>
            </w:r>
          </w:p>
        </w:tc>
        <w:tc>
          <w:tcPr>
            <w:tcW w:w="4020" w:type="dxa"/>
            <w:vAlign w:val="bottom"/>
          </w:tcPr>
          <w:p>
            <w:pPr>
              <w:spacing w:after="0"/>
              <w:rPr>
                <w:sz w:val="14"/>
                <w:szCs w:val="14"/>
                <w:color w:val="auto"/>
              </w:rPr>
            </w:pPr>
          </w:p>
        </w:tc>
        <w:tc>
          <w:tcPr>
            <w:tcW w:w="600" w:type="dxa"/>
            <w:vAlign w:val="bottom"/>
          </w:tcPr>
          <w:p>
            <w:pPr>
              <w:jc w:val="right"/>
              <w:ind w:right="76"/>
              <w:spacing w:after="0"/>
              <w:rPr>
                <w:sz w:val="20"/>
                <w:szCs w:val="20"/>
                <w:color w:val="auto"/>
              </w:rPr>
            </w:pPr>
            <w:r>
              <w:rPr>
                <w:rFonts w:ascii="Arial" w:cs="Arial" w:eastAsia="Arial" w:hAnsi="Arial"/>
                <w:sz w:val="14"/>
                <w:szCs w:val="14"/>
                <w:b w:val="1"/>
                <w:bCs w:val="1"/>
                <w:color w:val="auto"/>
              </w:rPr>
              <w:t>High</w:t>
            </w:r>
          </w:p>
        </w:tc>
        <w:tc>
          <w:tcPr>
            <w:tcW w:w="32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Low</w:t>
            </w:r>
          </w:p>
        </w:tc>
        <w:tc>
          <w:tcPr>
            <w:tcW w:w="680" w:type="dxa"/>
            <w:vAlign w:val="bottom"/>
            <w:gridSpan w:val="2"/>
          </w:tcPr>
          <w:p>
            <w:pPr>
              <w:ind w:left="400"/>
              <w:spacing w:after="0"/>
              <w:rPr>
                <w:sz w:val="20"/>
                <w:szCs w:val="20"/>
                <w:color w:val="auto"/>
              </w:rPr>
            </w:pPr>
            <w:r>
              <w:rPr>
                <w:rFonts w:ascii="Arial" w:cs="Arial" w:eastAsia="Arial" w:hAnsi="Arial"/>
                <w:sz w:val="14"/>
                <w:szCs w:val="14"/>
                <w:b w:val="1"/>
                <w:bCs w:val="1"/>
                <w:color w:val="auto"/>
                <w:w w:val="83"/>
              </w:rPr>
              <w:t>2008</w:t>
            </w:r>
          </w:p>
        </w:tc>
        <w:tc>
          <w:tcPr>
            <w:tcW w:w="1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4"/>
                <w:szCs w:val="14"/>
                <w:color w:val="auto"/>
              </w:rPr>
            </w:pPr>
          </w:p>
        </w:tc>
        <w:tc>
          <w:tcPr>
            <w:tcW w:w="60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$264.43</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$155.06</w:t>
            </w:r>
          </w:p>
        </w:tc>
        <w:tc>
          <w:tcPr>
            <w:tcW w:w="26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First Quarter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346.24</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215.30</w:t>
            </w:r>
          </w:p>
        </w:tc>
        <w:tc>
          <w:tcPr>
            <w:tcW w:w="2600" w:type="dxa"/>
            <w:vAlign w:val="bottom"/>
            <w:gridSpan w:val="3"/>
          </w:tcPr>
          <w:p>
            <w:pPr>
              <w:ind w:left="400"/>
              <w:spacing w:after="0"/>
              <w:rPr>
                <w:sz w:val="20"/>
                <w:szCs w:val="20"/>
                <w:color w:val="auto"/>
              </w:rPr>
            </w:pPr>
            <w:r>
              <w:rPr>
                <w:rFonts w:ascii="Arial" w:cs="Arial" w:eastAsia="Arial" w:hAnsi="Arial"/>
                <w:sz w:val="18"/>
                <w:szCs w:val="18"/>
                <w:color w:val="auto"/>
              </w:rPr>
              <w:t>Second Quarter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526.98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255.00</w:t>
            </w:r>
          </w:p>
        </w:tc>
        <w:tc>
          <w:tcPr>
            <w:tcW w:w="26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Third Quarter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422.24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600" w:type="dxa"/>
            <w:vAlign w:val="bottom"/>
          </w:tcPr>
          <w:p>
            <w:pPr>
              <w:jc w:val="right"/>
              <w:spacing w:after="0"/>
              <w:rPr>
                <w:sz w:val="20"/>
                <w:szCs w:val="20"/>
                <w:color w:val="auto"/>
              </w:rPr>
            </w:pPr>
            <w:r>
              <w:rPr>
                <w:rFonts w:ascii="Arial" w:cs="Arial" w:eastAsia="Arial" w:hAnsi="Arial"/>
                <w:sz w:val="18"/>
                <w:szCs w:val="18"/>
                <w:color w:val="auto"/>
              </w:rPr>
              <w:t>343.67</w:t>
            </w: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281.61</w:t>
            </w:r>
          </w:p>
        </w:tc>
        <w:tc>
          <w:tcPr>
            <w:tcW w:w="2600" w:type="dxa"/>
            <w:vAlign w:val="bottom"/>
            <w:gridSpan w:val="3"/>
          </w:tcPr>
          <w:p>
            <w:pPr>
              <w:ind w:left="400"/>
              <w:spacing w:after="0"/>
              <w:rPr>
                <w:sz w:val="20"/>
                <w:szCs w:val="20"/>
                <w:color w:val="auto"/>
              </w:rPr>
            </w:pPr>
            <w:r>
              <w:rPr>
                <w:rFonts w:ascii="Arial" w:cs="Arial" w:eastAsia="Arial" w:hAnsi="Arial"/>
                <w:sz w:val="18"/>
                <w:szCs w:val="18"/>
                <w:color w:val="auto"/>
              </w:rPr>
              <w:t>Fourth Quarter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440.00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155.49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90"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Our Class B common stock is not listed on a national securities exchange or traded in an organized over-the-counter market. Each class of our Class B common stock is associated with a membership in a specific division of our CME exchange. CME’s rules provide exchange members with trading rights and the ability to use or lease these trading rights. Each share of our Class B common stock can be transferred only in connection with the transfer of the associated trading rights. The memberships by class are CME (Chicago Mercantile Exchange), IMM (International Monetary Market), IOM (Index and Option Market) and GEM (Growth and Emerging Markets).</w:t>
      </w:r>
    </w:p>
    <w:p>
      <w:pPr>
        <w:spacing w:after="0" w:line="143"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Class B shares and the associated trading rights are bought and sold through our shareholder relations and membership services department. In addition, trading rights may be leased through the department. Trading right sales are reported on our Web site. Although our Class B shareholders have special voting rights, because our Class B shares have the same equitable interest in our earnings and the same dividend payments as our Class A shares, we expect that the market price of our Class B common stock, if reported separately from the associated trading rights, would be determined by the value of our Class A common stock. As of February 17, 2010, there were approximately 2,470 holders of record of our Class B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dividends we paid on our Class A and Class B common stock in the last two years: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Record Date</w:t>
            </w:r>
          </w:p>
        </w:tc>
        <w:tc>
          <w:tcPr>
            <w:tcW w:w="1460" w:type="dxa"/>
            <w:vAlign w:val="bottom"/>
          </w:tcPr>
          <w:p>
            <w:pPr>
              <w:spacing w:after="0"/>
              <w:rPr>
                <w:sz w:val="14"/>
                <w:szCs w:val="14"/>
                <w:color w:val="auto"/>
              </w:rPr>
            </w:pPr>
          </w:p>
        </w:tc>
        <w:tc>
          <w:tcPr>
            <w:tcW w:w="16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6"/>
              </w:rPr>
              <w:t>Dividend per Share</w:t>
            </w:r>
          </w:p>
        </w:tc>
        <w:tc>
          <w:tcPr>
            <w:tcW w:w="4180" w:type="dxa"/>
            <w:vAlign w:val="bottom"/>
            <w:gridSpan w:val="3"/>
          </w:tcPr>
          <w:p>
            <w:pPr>
              <w:ind w:left="500"/>
              <w:spacing w:after="0"/>
              <w:rPr>
                <w:sz w:val="20"/>
                <w:szCs w:val="20"/>
                <w:color w:val="auto"/>
              </w:rPr>
            </w:pPr>
            <w:r>
              <w:rPr>
                <w:rFonts w:ascii="Arial" w:cs="Arial" w:eastAsia="Arial" w:hAnsi="Arial"/>
                <w:sz w:val="14"/>
                <w:szCs w:val="14"/>
                <w:b w:val="1"/>
                <w:bCs w:val="1"/>
                <w:color w:val="auto"/>
              </w:rPr>
              <w:t>Record Date</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7"/>
              </w:rPr>
              <w:t>Dividend 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10, 2009</w:t>
            </w:r>
          </w:p>
        </w:tc>
        <w:tc>
          <w:tcPr>
            <w:tcW w:w="1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w:t>
            </w:r>
          </w:p>
        </w:tc>
        <w:tc>
          <w:tcPr>
            <w:tcW w:w="4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March 10, 2008</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June 10, 2009</w:t>
            </w: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1.15</w:t>
            </w:r>
          </w:p>
        </w:tc>
        <w:tc>
          <w:tcPr>
            <w:tcW w:w="4180" w:type="dxa"/>
            <w:vAlign w:val="bottom"/>
            <w:gridSpan w:val="3"/>
          </w:tcPr>
          <w:p>
            <w:pPr>
              <w:ind w:left="500"/>
              <w:spacing w:after="0"/>
              <w:rPr>
                <w:sz w:val="20"/>
                <w:szCs w:val="20"/>
                <w:color w:val="auto"/>
              </w:rPr>
            </w:pPr>
            <w:r>
              <w:rPr>
                <w:rFonts w:ascii="Arial" w:cs="Arial" w:eastAsia="Arial" w:hAnsi="Arial"/>
                <w:sz w:val="18"/>
                <w:szCs w:val="18"/>
                <w:color w:val="auto"/>
              </w:rPr>
              <w:t>June 10, 2008</w:t>
            </w:r>
          </w:p>
        </w:tc>
        <w:tc>
          <w:tcPr>
            <w:tcW w:w="46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10, 2009</w:t>
            </w:r>
          </w:p>
        </w:tc>
        <w:tc>
          <w:tcPr>
            <w:tcW w:w="1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w:t>
            </w:r>
          </w:p>
        </w:tc>
        <w:tc>
          <w:tcPr>
            <w:tcW w:w="4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September 10, 2008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December 10, 2009</w:t>
            </w:r>
          </w:p>
        </w:tc>
        <w:tc>
          <w:tcPr>
            <w:tcW w:w="1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1.15</w:t>
            </w:r>
          </w:p>
        </w:tc>
        <w:tc>
          <w:tcPr>
            <w:tcW w:w="4180" w:type="dxa"/>
            <w:vAlign w:val="bottom"/>
            <w:gridSpan w:val="3"/>
          </w:tcPr>
          <w:p>
            <w:pPr>
              <w:ind w:left="500"/>
              <w:spacing w:after="0"/>
              <w:rPr>
                <w:sz w:val="20"/>
                <w:szCs w:val="20"/>
                <w:color w:val="auto"/>
              </w:rPr>
            </w:pPr>
            <w:r>
              <w:rPr>
                <w:rFonts w:ascii="Arial" w:cs="Arial" w:eastAsia="Arial" w:hAnsi="Arial"/>
                <w:sz w:val="18"/>
                <w:szCs w:val="18"/>
                <w:color w:val="auto"/>
              </w:rPr>
              <w:t>September 25, 2008</w:t>
            </w:r>
          </w:p>
        </w:tc>
        <w:tc>
          <w:tcPr>
            <w:tcW w:w="460" w:type="dxa"/>
            <w:vAlign w:val="bottom"/>
          </w:tcPr>
          <w:p>
            <w:pPr>
              <w:spacing w:after="0"/>
              <w:rPr>
                <w:sz w:val="18"/>
                <w:szCs w:val="18"/>
                <w:color w:val="auto"/>
              </w:rPr>
            </w:pPr>
          </w:p>
        </w:tc>
        <w:tc>
          <w:tcPr>
            <w:tcW w:w="800" w:type="dxa"/>
            <w:vAlign w:val="bottom"/>
            <w:gridSpan w:val="2"/>
          </w:tcPr>
          <w:p>
            <w:pPr>
              <w:ind w:left="360"/>
              <w:spacing w:after="0"/>
              <w:rPr>
                <w:sz w:val="20"/>
                <w:szCs w:val="20"/>
                <w:color w:val="auto"/>
              </w:rPr>
            </w:pPr>
            <w:r>
              <w:rPr>
                <w:rFonts w:ascii="Arial" w:cs="Arial" w:eastAsia="Arial" w:hAnsi="Arial"/>
                <w:sz w:val="18"/>
                <w:szCs w:val="18"/>
                <w:color w:val="auto"/>
                <w:w w:val="99"/>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December 10, 2008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September 25, 2008 dividend was a special dividend.</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intend to continue to pay a regular quarterly dividend to our shareholders. The decision to pay a dividend, however, remains within the discretion of our board of directors and may be affected by various factors,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0" w:name="page51"/>
    <w:bookmarkEnd w:id="50"/>
    <w:p>
      <w:pPr>
        <w:jc w:val="both"/>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our earnings, financial condition, capital requirements, levels of indebtedness and other considerations our board of directors deems relevant. In 2009, our dividend remained at $1.15 per share. For 2010, our quarterly dividend target is expected to remain at this level. On February 2, 2010, the board of directors declared a regular quarterly dividend of $1.15 per share payable on March 25, 2010, to shareholders of record on March 10, 2010. Assuming no changes in the number of shares outstanding, the 2010 dividend payment will total approximately $76.6 million.</w:t>
      </w:r>
    </w:p>
    <w:p>
      <w:pPr>
        <w:spacing w:after="0" w:line="113"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indentures governing our floating and fixed rate notes, our 364-day credit facility for $1.0 billion and our revolving credit and term loan agreement for $1.4 billion due 2011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107"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For example, under our revolving credit and term loan agreement, we are required to remain in compliance with a consolidated net worth test, defined as our consolidated shareholders’ equity as of June 30, 2008 on a pro forma basis to give effect to the NYMEX Holdings merger and to give effect to the share repurchases made and special dividends paid, but only up to the amount of such repurchases and dividends publicly announced and made or paid within 18 months after August 22, 2008 (and in no event greater than $1.5 billion in the aggregate for such repurchases and dividends), multiplied by 0.65.</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our 364-day revolving line of credit contains a requirement that CME remain in compliance with a consolidated tangible net worth test, defined as consolidated shareholder’s equity less intangible assets (as defined in the agreement), of not less than $125 million. In the event that CME elects to increase the facility, the minimum consolidated tangible net worth test will increase ratably up to $187.5 million. CME Group, as a holding company, has no operations of its own. Instead, it relies on dividends declared and paid to it by its subsidiaries, including CME, in order to provide a portion of the funds which it uses to pay dividends to its shareholders.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CME Group and its subsidiaries are also required to comply with restrictions contained in the General Corporation Laws of its state of incorporation which could also limit its (or their) ability to declare and pay dividends.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280" w:right="31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PERFORMANCE GRAPH</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following graph compares the cumulative five-year total return provided shareholders on our Class A common stock relative to the cumulative total returns of the S&amp;P 500 index, and a customized peer group that includes IntercontinentalExchange, Inc., NYSE Euronext and The Nasdaq OMX Group Inc. as of the end of the year. An investment of $100 (with reinvestment of all dividends) is assumed to have been made in our Class A common stock, in the peer group, and the index on December 31, 2004 and its relative performance is tracked through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76835</wp:posOffset>
            </wp:positionV>
            <wp:extent cx="4888230" cy="4305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888230" cy="430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CME Group Inc.</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$ 161.83</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$ 225.72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$ 305.55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94.92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155.95</w:t>
            </w:r>
          </w:p>
        </w:tc>
        <w:tc>
          <w:tcPr>
            <w:tcW w:w="20" w:type="dxa"/>
            <w:vAlign w:val="bottom"/>
          </w:tcPr>
          <w:p>
            <w:pPr>
              <w:spacing w:after="0"/>
              <w:rPr>
                <w:sz w:val="18"/>
                <w:szCs w:val="18"/>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S&amp;P 500</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104.91</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121.48</w:t>
            </w:r>
          </w:p>
        </w:tc>
        <w:tc>
          <w:tcPr>
            <w:tcW w:w="680" w:type="dxa"/>
            <w:vAlign w:val="bottom"/>
          </w:tcPr>
          <w:p>
            <w:pPr>
              <w:jc w:val="right"/>
              <w:spacing w:after="0"/>
              <w:rPr>
                <w:sz w:val="20"/>
                <w:szCs w:val="20"/>
                <w:color w:val="auto"/>
              </w:rPr>
            </w:pPr>
            <w:r>
              <w:rPr>
                <w:rFonts w:ascii="Arial" w:cs="Arial" w:eastAsia="Arial" w:hAnsi="Arial"/>
                <w:sz w:val="18"/>
                <w:szCs w:val="18"/>
                <w:color w:val="auto"/>
              </w:rPr>
              <w:t>128.16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80.74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102.11</w:t>
            </w:r>
          </w:p>
        </w:tc>
        <w:tc>
          <w:tcPr>
            <w:tcW w:w="2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286.12</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445.15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206.73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217.76</w:t>
            </w:r>
          </w:p>
        </w:tc>
        <w:tc>
          <w:tcPr>
            <w:tcW w:w="20" w:type="dxa"/>
            <w:vAlign w:val="bottom"/>
          </w:tcPr>
          <w:p>
            <w:pPr>
              <w:spacing w:after="0"/>
              <w:rPr>
                <w:sz w:val="18"/>
                <w:szCs w:val="18"/>
                <w:color w:val="auto"/>
              </w:rPr>
            </w:pPr>
          </w:p>
        </w:tc>
      </w:tr>
      <w:tr>
        <w:trPr>
          <w:trHeight w:val="363"/>
        </w:trPr>
        <w:tc>
          <w:tcPr>
            <w:tcW w:w="3400" w:type="dxa"/>
            <w:vAlign w:val="bottom"/>
          </w:tcPr>
          <w:p>
            <w:pPr>
              <w:spacing w:after="0"/>
              <w:rPr>
                <w:sz w:val="24"/>
                <w:szCs w:val="24"/>
                <w:color w:val="auto"/>
              </w:rPr>
            </w:pPr>
          </w:p>
        </w:tc>
        <w:tc>
          <w:tcPr>
            <w:tcW w:w="2860" w:type="dxa"/>
            <w:vAlign w:val="bottom"/>
          </w:tcPr>
          <w:p>
            <w:pPr>
              <w:jc w:val="right"/>
              <w:ind w:right="372"/>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Unregistered Sales of Equity Securities</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November 27, 2009, as consideration for our acquisition of a 25% equity stake in Bursa Derivatives, we issued 76,427 shares of our Class A common stock to Bursa Malaysia Berhad, its parent company. The aggregate value of the transaction was $25.1 million. The shares of Class A common stock were issued in an unregistered transaction in reliance on Section 4(2) of the Securities Act and are subject to transfer restrictions that will expire over the next four years with one fourth of the shares being released on an annual basis.</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February 26, 2008, we issued 1.2 million shares of Class A common stock to the Brazilian Mercantile &amp; Futures Exchange valued at $631.4 million in exchange for an equity interest of approximately 10% in the Brazilian Mercantile &amp; Futures Exchange. The shares of Class A common stock were issued in an unregistered transaction in reliance on Section 4(2) of the Securities Act. Subsequent to this investment, the Brazilian Mercantile &amp; Futures Exchange merged with Bovespa Holdings S.A. to become BM&amp;FBOVESPA and our equity stake was reduced to approximately 5%. Neither party may sell its equity interest in the other until February 2012 under the provisions of our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(or 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 Total Number of</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 Total Number</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 as</w:t>
            </w:r>
          </w:p>
        </w:tc>
        <w:tc>
          <w:tcPr>
            <w:tcW w:w="720" w:type="dxa"/>
            <w:vAlign w:val="bottom"/>
          </w:tcPr>
          <w:p>
            <w:pPr>
              <w:spacing w:after="0"/>
              <w:rPr>
                <w:sz w:val="12"/>
                <w:szCs w:val="12"/>
                <w:color w:val="auto"/>
              </w:rPr>
            </w:pPr>
          </w:p>
        </w:tc>
        <w:tc>
          <w:tcPr>
            <w:tcW w:w="13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Class A</w:t>
            </w: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Part of Publicly</w:t>
            </w:r>
          </w:p>
        </w:tc>
        <w:tc>
          <w:tcPr>
            <w:tcW w:w="720" w:type="dxa"/>
            <w:vAlign w:val="bottom"/>
          </w:tcPr>
          <w:p>
            <w:pPr>
              <w:spacing w:after="0"/>
              <w:rPr>
                <w:sz w:val="12"/>
                <w:szCs w:val="12"/>
                <w:color w:val="auto"/>
              </w:rPr>
            </w:pPr>
          </w:p>
        </w:tc>
        <w:tc>
          <w:tcPr>
            <w:tcW w:w="13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Be Purchased Under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Shares</w:t>
            </w:r>
          </w:p>
        </w:tc>
        <w:tc>
          <w:tcPr>
            <w:tcW w:w="720" w:type="dxa"/>
            <w:vAlign w:val="bottom"/>
          </w:tcPr>
          <w:p>
            <w:pPr>
              <w:spacing w:after="0"/>
              <w:rPr>
                <w:sz w:val="11"/>
                <w:szCs w:val="11"/>
                <w:color w:val="auto"/>
              </w:rPr>
            </w:pPr>
          </w:p>
        </w:tc>
        <w:tc>
          <w:tcPr>
            <w:tcW w:w="10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85"/>
              </w:rPr>
              <w:t>(b) Average Price</w:t>
            </w:r>
          </w:p>
        </w:tc>
        <w:tc>
          <w:tcPr>
            <w:tcW w:w="7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Announced Trading</w:t>
            </w:r>
          </w:p>
        </w:tc>
        <w:tc>
          <w:tcPr>
            <w:tcW w:w="720" w:type="dxa"/>
            <w:vAlign w:val="bottom"/>
          </w:tcPr>
          <w:p>
            <w:pPr>
              <w:spacing w:after="0"/>
              <w:rPr>
                <w:sz w:val="11"/>
                <w:szCs w:val="11"/>
                <w:color w:val="auto"/>
              </w:rPr>
            </w:pPr>
          </w:p>
        </w:tc>
        <w:tc>
          <w:tcPr>
            <w:tcW w:w="134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85"/>
              </w:rPr>
              <w:t>the Plans or Programs</w:t>
            </w:r>
          </w:p>
        </w:tc>
        <w:tc>
          <w:tcPr>
            <w:tcW w:w="0" w:type="dxa"/>
            <w:vAlign w:val="bottom"/>
          </w:tcPr>
          <w:p>
            <w:pPr>
              <w:spacing w:after="0"/>
              <w:rPr>
                <w:sz w:val="1"/>
                <w:szCs w:val="1"/>
                <w:color w:val="auto"/>
              </w:rPr>
            </w:pPr>
          </w:p>
        </w:tc>
      </w:tr>
      <w:tr>
        <w:trPr>
          <w:trHeight w:val="176"/>
        </w:trPr>
        <w:tc>
          <w:tcPr>
            <w:tcW w:w="476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00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86"/>
              </w:rPr>
              <w:t>Purchased</w:t>
            </w:r>
            <w:r>
              <w:rPr>
                <w:rFonts w:ascii="Arial" w:cs="Arial" w:eastAsia="Arial" w:hAnsi="Arial"/>
                <w:sz w:val="20"/>
                <w:szCs w:val="20"/>
                <w:b w:val="1"/>
                <w:bCs w:val="1"/>
                <w:color w:val="auto"/>
                <w:w w:val="86"/>
                <w:vertAlign w:val="superscript"/>
              </w:rPr>
              <w:t>(1)</w:t>
            </w:r>
          </w:p>
        </w:tc>
        <w:tc>
          <w:tcPr>
            <w:tcW w:w="7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Paid Per Share</w:t>
            </w:r>
          </w:p>
        </w:tc>
        <w:tc>
          <w:tcPr>
            <w:tcW w:w="7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6"/>
              </w:rPr>
              <w:t>Plans or Programs</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4"/>
              </w:rPr>
              <w:t>(in millions)</w:t>
            </w:r>
            <w:r>
              <w:rPr>
                <w:rFonts w:ascii="Arial" w:cs="Arial" w:eastAsia="Arial" w:hAnsi="Arial"/>
                <w:sz w:val="20"/>
                <w:szCs w:val="20"/>
                <w:b w:val="1"/>
                <w:bCs w:val="1"/>
                <w:color w:val="auto"/>
                <w:w w:val="94"/>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to October 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297.57</w:t>
            </w:r>
          </w:p>
        </w:tc>
        <w:tc>
          <w:tcPr>
            <w:tcW w:w="720" w:type="dxa"/>
            <w:vAlign w:val="bottom"/>
            <w:shd w:val="clear" w:color="auto" w:fill="CCEEFF"/>
          </w:tcPr>
          <w:p>
            <w:pPr>
              <w:spacing w:after="0"/>
              <w:rPr>
                <w:sz w:val="18"/>
                <w:szCs w:val="18"/>
                <w:color w:val="auto"/>
              </w:rPr>
            </w:pP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w w:val="79"/>
              </w:rPr>
              <w:t>849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November 1 to November 30</w:t>
            </w:r>
          </w:p>
        </w:tc>
        <w:tc>
          <w:tcPr>
            <w:tcW w:w="1000" w:type="dxa"/>
            <w:vAlign w:val="bottom"/>
          </w:tcPr>
          <w:p>
            <w:pPr>
              <w:jc w:val="right"/>
              <w:ind w:right="3"/>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w w:val="79"/>
              </w:rPr>
              <w:t>849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to December 31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331.25</w:t>
            </w:r>
          </w:p>
        </w:tc>
        <w:tc>
          <w:tcPr>
            <w:tcW w:w="7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326.15</w:t>
            </w:r>
          </w:p>
        </w:tc>
        <w:tc>
          <w:tcPr>
            <w:tcW w:w="720" w:type="dxa"/>
            <w:vAlign w:val="bottom"/>
          </w:tcPr>
          <w:p>
            <w:pPr>
              <w:spacing w:after="0"/>
              <w:rPr>
                <w:sz w:val="19"/>
                <w:szCs w:val="19"/>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Shares purchased consist of shares surrendered to satisfy employee tax obligations upon the vesting of restricted stock.</w:t>
      </w:r>
    </w:p>
    <w:p>
      <w:pPr>
        <w:spacing w:after="0" w:line="15" w:lineRule="exact"/>
        <w:rPr>
          <w:rFonts w:ascii="Arial" w:cs="Arial" w:eastAsia="Arial" w:hAnsi="Arial"/>
          <w:sz w:val="18"/>
          <w:szCs w:val="18"/>
          <w:color w:val="auto"/>
        </w:rPr>
      </w:pPr>
    </w:p>
    <w:p>
      <w:pPr>
        <w:ind w:left="460" w:right="20" w:hanging="452"/>
        <w:spacing w:after="0" w:line="295"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June 2008, the board previously authorized a program to purchase shares of our Class A common stock with a value of up to $1.1 billion, subject to market conditions over an 18-month period. In the first quarter of 2009, we suspended the purchase of shares under the program in order to focus on paying down debt. This share buyback program expired during the month of December. On February 11, 2010, the company announced that its board had approved a plan to repurchase up to 2.35 million shares of its Class A common stock. This buyback program is not subject to an expiration period.</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On July 12, 2007, CBOT Holdings, Inc. (CBOT Holdings) merged with and into Chicago Mercantile Exchange Holdings Inc. (CME Holdings). At the time of this merger, the combined company was renamed CME Group Inc. (CME Group). On March 23, 2008, CME Group acquired Credit Market Analysis Ltd., a private company incorporated in the United Kingdom, and its wholly-owned subsidiaries (collectively, CMA). On August 22, 2008, NYMEX Holdings, Inc. (NYMEX Holdings) merged with CME Group.</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15" w:right="239" w:bottom="1440" w:gutter="0" w:footer="0" w:header="0"/>
        </w:sectPr>
      </w:pPr>
    </w:p>
    <w:bookmarkStart w:id="53" w:name="page54"/>
    <w:bookmarkEnd w:id="53"/>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data includes the financial results of CBOT Holdings beginning July 13, 2007, the financial results of CMA beginning March 24, 2008, and the financial results of NYMEX Holdings beginning August 23, 2008.</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rPr>
              <w:t>Year Ended or At December 31,</w:t>
            </w: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00" w:type="dxa"/>
            <w:vAlign w:val="bottom"/>
            <w:gridSpan w:val="3"/>
            <w:vMerge w:val="continue"/>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1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2,612.8</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2,561.0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1,756.1</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1,089.9</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1,582.2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(334.2)</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1,248.0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671.7</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825.8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715.5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658.5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407.3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12.44</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12.18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15.05</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11.74</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Cash dividends per share</w:t>
            </w: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3.44</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2.52</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35,651.0</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5"/>
              </w:rPr>
              <w:t>48,158.7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20,306.2</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4,306.5</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3,969.4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2,014.7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2,966.1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19,301.0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5"/>
              </w:rPr>
              <w:t>18,688.6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12,305.6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1,519.1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1,118.7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following table presents key statistical information on the volume of contracts traded, expressed in round turn trades, and notional value of contracts traded. The 2008 volume data includes average daily volume for NYMEX products for the period August 23 through December 31, 2008. The 2007 volume data includes average daily volume for CBOT products for the period July 13 through December 31, 2007. All amounts exclude our TRAKRS, HuRLO, Swapstream, credit default swaps and auction-traded products.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notional value)</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0"/>
              </w:rPr>
              <w:t>Year Ended or At December 31,</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Average Daily Volume:</w:t>
            </w:r>
          </w:p>
        </w:tc>
        <w:tc>
          <w:tcPr>
            <w:tcW w:w="2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Product Lines: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4,260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7,093</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3,078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2,916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3,663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2,744</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569</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Commodity</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741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848</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Energy</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Metal</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Average Daily Volume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10,258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11,134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5,343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Method of Trade: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Electronic</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8,290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8,661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3,808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Open outcry</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1,310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1,943</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2,276</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Privately negotiated</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gridSpan w:val="2"/>
          </w:tcPr>
          <w:p>
            <w:pPr>
              <w:ind w:left="420"/>
              <w:spacing w:after="0"/>
              <w:rPr>
                <w:sz w:val="20"/>
                <w:szCs w:val="20"/>
                <w:color w:val="auto"/>
              </w:rPr>
            </w:pPr>
            <w:r>
              <w:rPr>
                <w:rFonts w:ascii="Arial" w:cs="Arial" w:eastAsia="Arial" w:hAnsi="Arial"/>
                <w:sz w:val="18"/>
                <w:szCs w:val="18"/>
                <w:color w:val="auto"/>
              </w:rPr>
              <w:t>CME ClearPort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Average Daily Volume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10,258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11,134</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5,343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Notional Value (in trillions)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Total Trading Volume (round turn trades)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2,584,891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2,978,459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w w:val="87"/>
              </w:rPr>
              <w:t>2,249,632</w:t>
            </w: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1,341,111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1,047,909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Open Interest at Year End (contracts)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78,031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63,049</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53,981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35,107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54</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4" w:name="page55"/>
    <w:bookmarkEnd w:id="54"/>
    <w:p>
      <w:pPr>
        <w:ind w:right="1300"/>
        <w:spacing w:after="0" w:line="3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 MANAGEMENT’S DISCUSSION AND ANALYSIS OF FINANCIAL CONDITION AND RESULTS OF OPERATIONS INTRODUCTION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Management’s Discussion and Analysis of Financial Condition and Results of Operations is organized as follows:</w:t>
      </w:r>
    </w:p>
    <w:p>
      <w:pPr>
        <w:spacing w:after="0" w:line="84" w:lineRule="exact"/>
        <w:rPr>
          <w:sz w:val="20"/>
          <w:szCs w:val="20"/>
          <w:color w:val="auto"/>
        </w:rPr>
      </w:pPr>
    </w:p>
    <w:p>
      <w:pPr>
        <w:ind w:left="900" w:right="120" w:hanging="325"/>
        <w:spacing w:after="0" w:line="27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Overview</w:t>
      </w:r>
      <w:r>
        <w:rPr>
          <w:rFonts w:ascii="Arial" w:cs="Arial" w:eastAsia="Arial" w:hAnsi="Arial"/>
          <w:sz w:val="18"/>
          <w:szCs w:val="18"/>
          <w:color w:val="auto"/>
        </w:rPr>
        <w:t>: Includes a discussion of our business structure; current economic and industry-wide trends relevant to our business; our current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and our primary sources of operating and non-operating revenues and expenditures.</w:t>
      </w:r>
    </w:p>
    <w:p>
      <w:pPr>
        <w:spacing w:after="0" w:line="38" w:lineRule="exact"/>
        <w:rPr>
          <w:rFonts w:ascii="Arial" w:cs="Arial" w:eastAsia="Arial" w:hAnsi="Arial"/>
          <w:sz w:val="18"/>
          <w:szCs w:val="18"/>
          <w:color w:val="auto"/>
        </w:rPr>
      </w:pPr>
    </w:p>
    <w:p>
      <w:pPr>
        <w:ind w:left="900" w:right="220" w:hanging="325"/>
        <w:spacing w:after="0" w:line="27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Critical Accounting Policies</w:t>
      </w:r>
      <w:r>
        <w:rPr>
          <w:rFonts w:ascii="Arial" w:cs="Arial" w:eastAsia="Arial" w:hAnsi="Arial"/>
          <w:sz w:val="18"/>
          <w:szCs w:val="18"/>
          <w:color w:val="auto"/>
        </w:rPr>
        <w:t>: Provides an explanation of accounting policies which may have a significant impact on our financial results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assumptions and risks associated with those policies.</w:t>
      </w:r>
    </w:p>
    <w:p>
      <w:pPr>
        <w:spacing w:after="0" w:line="38" w:lineRule="exact"/>
        <w:rPr>
          <w:rFonts w:ascii="Arial" w:cs="Arial" w:eastAsia="Arial" w:hAnsi="Arial"/>
          <w:sz w:val="18"/>
          <w:szCs w:val="18"/>
          <w:color w:val="auto"/>
        </w:rPr>
      </w:pPr>
    </w:p>
    <w:p>
      <w:pPr>
        <w:ind w:left="900" w:right="40" w:hanging="325"/>
        <w:spacing w:after="0" w:line="27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Includes an evaluation of recent accounting pronouncements and the potential impact of their future adoption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our financial results.</w:t>
      </w:r>
    </w:p>
    <w:p>
      <w:pPr>
        <w:spacing w:after="0" w:line="38"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Results of Operations</w:t>
      </w:r>
      <w:r>
        <w:rPr>
          <w:rFonts w:ascii="Arial" w:cs="Arial" w:eastAsia="Arial" w:hAnsi="Arial"/>
          <w:sz w:val="18"/>
          <w:szCs w:val="18"/>
          <w:color w:val="auto"/>
        </w:rPr>
        <w:t>: Includes a discussion of our 2009, 2008 and 2007 financial results and any known events or trends which are likely to impact</w:t>
      </w:r>
      <w:r>
        <w:rPr>
          <w:rFonts w:ascii="Arial" w:cs="Arial" w:eastAsia="Arial" w:hAnsi="Arial"/>
          <w:sz w:val="18"/>
          <w:szCs w:val="18"/>
          <w:b w:val="1"/>
          <w:bCs w:val="1"/>
          <w:color w:val="auto"/>
        </w:rPr>
        <w:t xml:space="preserve"> </w:t>
      </w:r>
      <w:r>
        <w:rPr>
          <w:rFonts w:ascii="Arial" w:cs="Arial" w:eastAsia="Arial" w:hAnsi="Arial"/>
          <w:sz w:val="18"/>
          <w:szCs w:val="18"/>
          <w:color w:val="auto"/>
        </w:rPr>
        <w:t>future results.</w:t>
      </w:r>
    </w:p>
    <w:p>
      <w:pPr>
        <w:spacing w:after="0" w:line="38" w:lineRule="exact"/>
        <w:rPr>
          <w:rFonts w:ascii="Arial" w:cs="Arial" w:eastAsia="Arial" w:hAnsi="Arial"/>
          <w:sz w:val="18"/>
          <w:szCs w:val="18"/>
          <w:color w:val="auto"/>
        </w:rPr>
      </w:pPr>
    </w:p>
    <w:p>
      <w:pPr>
        <w:ind w:left="900" w:right="320" w:hanging="325"/>
        <w:spacing w:after="0" w:line="275"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Includes a discussion of our future cash requirements, capital resources, significant planned expenditures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arrangements.</w:t>
      </w:r>
    </w:p>
    <w:p>
      <w:pPr>
        <w:spacing w:after="0" w:line="12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July 12, 2007, CBOT Holdings, Inc. (CBOT Holdings) merged with and into Chicago Mercantile Exchange Holdings Inc. (CME Holdings). At the time of this merger, the combined company was renamed CME Group Inc. (CME Group). On March 23, 2008, CME Group acquired Credit Market Analysis Ltd., a private company incorporated in the United Kingdom, and its wholly-owned subsidiaries (collectively, CMA). On August 22, 2008, NYMEX Holdings, Inc. (NYMEX Holdings) merged with CME Group. The following Management’s Discussion and Analysis of Financial Condition and Results of Operations includes the financial results of the former CBOT Holdings beginning July 13, 2007, the financial results of CMA beginning March 24, 2008, and the financial results of the former NYMEX Holdings beginning August 23, 2008.</w:t>
      </w:r>
    </w:p>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References in this discussion and analysis to “we” and “our” are to CME Group and its consolidated subsidiaries, collectively. References to “exchange” are to Chicago Mercantile Exchange Inc. (CME), Board of Trade of the City of Chicago, Inc. (CBOT) and New York Mercantile Exchange, Inc. (NYMEX), collectively.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Structure</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CME Group, a Delaware stock corporation, is the holding company for CME, CBOT, NYMEX and their respective subsidiaries. The holding company structure is designed to provide strategic and operational flexibility. CME Group’s Class A common stock is listed on the NASDAQ Global Select Market (NASDAQ) under the ticker symbol “CME.”</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Our exchange consists of designated contract markets for the trading of futures and options on futures contracts. Futures contracts and options on futures contracts provide investors with vehicles for protecting against, and potentially profiting from, price changes in financial instruments and physical commodities.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are a global exchange with customer access available virtually all over the world. Our customers consist of professional traders, financial institutions, individual and institutional investors, major corporations, manufacturers, producers and governments. Customers include both members of the exchange and non-members.</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offer our customers the opportunity to trade futures contracts and options on futures contracts on a range of products including those based on interest rates, equities, foreign exchange, commodities, energy, and metals.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55" w:name="page56"/>
    <w:bookmarkEnd w:id="55"/>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Our products provide a means for hedging, speculating and allocating assets. We identify new products by monitoring economic trends and their impact on the risk management and speculative needs of our existing and prospective customers.</w:t>
      </w:r>
    </w:p>
    <w:p>
      <w:pPr>
        <w:spacing w:after="0" w:line="13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Our major product lines are traded through our electronic trading platforms and our open outcry trading floors. These execution facilities offer our customers immediate trade execution and price transparency. In addition, trades can be executed through privately negotiated transactions that are cleared and settled through our clearing house.</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clearing house clears, settles and guarantees every futures and options contract traded through our exchange, in addition to over-the-counter products cleared through CME ClearPort. Our clearing house performance guarantee is an important function of our business. Because of this guarantee, our customers do not need to evaluate the credit of each potential counterparty or limit themselves to a selected set of counterparties. This flexibility increases the potential liquidity available for each trade. Additionally, the substitution of our clearing house as the counterparty to every transaction allows our customers to establish a position with one party and then to offset the position with another party. This contract offsetting process provides our customers with flexibility in establishing and adjusting positions and provides for performance bond efficiencies.</w:t>
      </w:r>
    </w:p>
    <w:p>
      <w:pPr>
        <w:spacing w:after="0" w:line="120"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To ensure performance of counterparties, we establish and monitor financial requirements for our clearing firms and mark-to-market their positions typically twice a day. We also set minimum performance bond requirements for our traded products, over-the-counter products and cleared credit default swaps. In the unlikely event of a payment default by a clearing firm, we would first apply assets of that clearing firm to cover its payment obligation. These assets include security deposits, performance bonds and any other available assets, such as the proceeds from the sale of pledged Class A and Class B common stock and associated trading rights of the clearing firm at our exchange that are owned by or assigned to the clearing firm. In addition, we would make a demand for payment pursuant to any applicable guarantee provided to the exchange by the parent company of a clearing firm. Thereafter, if the payment default remains unsatisfied, we would use, in order, CME’s surplus funds, security deposits of other clearing firms and funds collected through an assessment against all other solvent clearing firms to satisfy the deficit.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90"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Economic Environment. </w:t>
      </w:r>
      <w:r>
        <w:rPr>
          <w:rFonts w:ascii="Arial" w:cs="Arial" w:eastAsia="Arial" w:hAnsi="Arial"/>
          <w:sz w:val="18"/>
          <w:szCs w:val="18"/>
          <w:color w:val="auto"/>
        </w:rPr>
        <w:t>Our markets provide an effective and transparent means for our customers to manage risk despite the economic downturn.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experienced a decline in trading activity in the markets in which we participate due to ongoing instability in the financial markets, a decrease in the availability of credit and a decline in assets under management. Our goal is to continue to maintain quality products and services in support of our customers while they operate within the current economic environment.</w:t>
      </w:r>
    </w:p>
    <w:p>
      <w:pPr>
        <w:spacing w:after="0" w:line="13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Competitive Environment. </w:t>
      </w:r>
      <w:r>
        <w:rPr>
          <w:rFonts w:ascii="Arial" w:cs="Arial" w:eastAsia="Arial" w:hAnsi="Arial"/>
          <w:sz w:val="16"/>
          <w:szCs w:val="16"/>
          <w:color w:val="auto"/>
        </w:rPr>
        <w:t>The industry in which we operate is highly competitive and we expect competition to continue to intensify. We encounter</w:t>
      </w:r>
      <w:r>
        <w:rPr>
          <w:rFonts w:ascii="Arial" w:cs="Arial" w:eastAsia="Arial" w:hAnsi="Arial"/>
          <w:sz w:val="16"/>
          <w:szCs w:val="16"/>
          <w:b w:val="1"/>
          <w:bCs w:val="1"/>
          <w:color w:val="auto"/>
        </w:rPr>
        <w:t xml:space="preserve"> </w:t>
      </w:r>
      <w:r>
        <w:rPr>
          <w:rFonts w:ascii="Arial" w:cs="Arial" w:eastAsia="Arial" w:hAnsi="Arial"/>
          <w:sz w:val="16"/>
          <w:szCs w:val="16"/>
          <w:color w:val="auto"/>
        </w:rPr>
        <w:t>competition in all aspects of our business, including from entities having substantially greater capital and resources and offering a wider range of products and services and some operating under a different and possibly less stringent regulatory regime. We now face competition from other futures, securities and securities option exchanges; over-the-counter markets; clearing organizations; consortia formed by our members and large market participants; alternative trade execution facilities; technology firms, including market data distributors and electronic trading system developers; and others.</w:t>
      </w:r>
    </w:p>
    <w:p>
      <w:pPr>
        <w:spacing w:after="0" w:line="108"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Regulatory Environment. </w:t>
      </w:r>
      <w:r>
        <w:rPr>
          <w:rFonts w:ascii="Arial" w:cs="Arial" w:eastAsia="Arial" w:hAnsi="Arial"/>
          <w:sz w:val="16"/>
          <w:szCs w:val="16"/>
          <w:color w:val="auto"/>
        </w:rPr>
        <w:t>Our operations as a futures exchange have historically been subject to extensive regulation. In light of widespread difficulties across</w:t>
      </w:r>
      <w:r>
        <w:rPr>
          <w:rFonts w:ascii="Arial" w:cs="Arial" w:eastAsia="Arial" w:hAnsi="Arial"/>
          <w:sz w:val="16"/>
          <w:szCs w:val="16"/>
          <w:b w:val="1"/>
          <w:bCs w:val="1"/>
          <w:color w:val="auto"/>
        </w:rPr>
        <w:t xml:space="preserve"> </w:t>
      </w:r>
      <w:r>
        <w:rPr>
          <w:rFonts w:ascii="Arial" w:cs="Arial" w:eastAsia="Arial" w:hAnsi="Arial"/>
          <w:sz w:val="16"/>
          <w:szCs w:val="16"/>
          <w:color w:val="auto"/>
        </w:rPr>
        <w:t>the economy, particularly acute in the latter half of 2008 and early 2009, there have been many calls for a restructuring of the regulation of financial markets. As a result, various legislative proposals are currently circulating in Congress outlining regulatory reform in the futures and over-the-counter derivatives markets. We cannot predict what the final regulations will be or what impact they may have on our business. To the extent the regulatory environment is less beneficial for us or our customers, our business, financial condition and operating results could be negatively affected.</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Business Strategy</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strategy is directed towards leveraging our benchmark products, clearing and trading technologies, the benefits derived from our integrated clearing house as well as our scalable infrastructure. We strive to capitalize on opportunities created by increased market awareness and acceptance of derivatives, increased price volatility, technological advances and the increasing need for counterparty risk mitigation and clearing services. This strategy allows us to continue to develop into a more broadly diversified financial exchange that provides trading and clearing solutions across a wide range of products and asset classes. We believe that we can build on our competitive strengths by implementing the following strategies:</w:t>
      </w:r>
    </w:p>
    <w:p>
      <w:pPr>
        <w:spacing w:after="0" w:line="35"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Grow our core business through diversification of our customer base and extension of our current product lines;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Globalize our business by targeting international customers through strategic investments and by leveraging our diverse product offerings; and</w:t>
      </w:r>
    </w:p>
    <w:p>
      <w:pPr>
        <w:spacing w:after="0" w:line="113"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Serve the over-the-counter markets through the continued development of products and services and by exploring opportunities for acquisitions, alliances and commercial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Sources of Revenue</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Clearing and transaction fees. </w:t>
      </w:r>
      <w:r>
        <w:rPr>
          <w:rFonts w:ascii="Arial" w:cs="Arial" w:eastAsia="Arial" w:hAnsi="Arial"/>
          <w:sz w:val="16"/>
          <w:szCs w:val="16"/>
          <w:color w:val="auto"/>
        </w:rPr>
        <w:t>A majority of our revenue is derived from clearing and transaction fees, which include electronic trading fees, surcharges for</w:t>
      </w:r>
      <w:r>
        <w:rPr>
          <w:rFonts w:ascii="Arial" w:cs="Arial" w:eastAsia="Arial" w:hAnsi="Arial"/>
          <w:sz w:val="16"/>
          <w:szCs w:val="16"/>
          <w:b w:val="1"/>
          <w:bCs w:val="1"/>
          <w:color w:val="auto"/>
        </w:rPr>
        <w:t xml:space="preserve"> </w:t>
      </w:r>
      <w:r>
        <w:rPr>
          <w:rFonts w:ascii="Arial" w:cs="Arial" w:eastAsia="Arial" w:hAnsi="Arial"/>
          <w:sz w:val="16"/>
          <w:szCs w:val="16"/>
          <w:color w:val="auto"/>
        </w:rPr>
        <w:t>privately-negotiated transactions and other volume-related charges for contracts executed through our trading venues. Because clearing and transaction fees are assessed on a per-contract basis, revenues and profitability fluctuate with changes in trading volume. In addition to the industry trends noted earlier, our revenues and trading volume tend to increase during periods of economic and geopolitical uncertainty. This is because our customers seek to manage their exposure to, or speculate on, the market volatility resulting from uncertainty. However, in 2008 and 2009, we believe the extreme volatility and the decoupling of related markets have reduced customers’ ability to assume and maintain positions, which has resulted in a decrease in volume. In addition, our volume can be seasonal, and historically, we have experienced higher sequential volume during the first and second quarters followed by decreases in the third and fourth quarters of the calendar year. However, these patterns may be altered by the impact of economic and political events, the launch of new products, mergers and acquisitions as well as other factors.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While volume has the most significant impact on our clearing and transaction fees revenue, there are four other factors that also influence the source of revenues:</w:t>
      </w:r>
    </w:p>
    <w:p>
      <w:pPr>
        <w:spacing w:after="0" w:line="125"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rate structure;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mix;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trading venue;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percentage of trades executed by customers who are members compared with non-member customers.</w:t>
      </w:r>
    </w:p>
    <w:p>
      <w:pPr>
        <w:spacing w:after="0" w:line="171"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i w:val="1"/>
          <w:iCs w:val="1"/>
          <w:color w:val="auto"/>
        </w:rPr>
        <w:t xml:space="preserve">Rate structure. </w:t>
      </w:r>
      <w:r>
        <w:rPr>
          <w:rFonts w:ascii="Arial" w:cs="Arial" w:eastAsia="Arial" w:hAnsi="Arial"/>
          <w:sz w:val="15"/>
          <w:szCs w:val="15"/>
          <w:color w:val="auto"/>
        </w:rPr>
        <w:t>Customers benefit from volume discounts and limits on fees as part of our effort to increase liquidity in certain products. We may periodically</w:t>
      </w:r>
      <w:r>
        <w:rPr>
          <w:rFonts w:ascii="Arial" w:cs="Arial" w:eastAsia="Arial" w:hAnsi="Arial"/>
          <w:sz w:val="15"/>
          <w:szCs w:val="15"/>
          <w:i w:val="1"/>
          <w:iCs w:val="1"/>
          <w:color w:val="auto"/>
        </w:rPr>
        <w:t xml:space="preserve"> </w:t>
      </w:r>
      <w:r>
        <w:rPr>
          <w:rFonts w:ascii="Arial" w:cs="Arial" w:eastAsia="Arial" w:hAnsi="Arial"/>
          <w:sz w:val="15"/>
          <w:szCs w:val="15"/>
          <w:color w:val="auto"/>
        </w:rPr>
        <w:t>change fees, volume discounts, limits on fees and member discounts, perhaps significantly, based on our review of operations and the business environment.</w:t>
      </w:r>
    </w:p>
    <w:p>
      <w:pPr>
        <w:spacing w:after="0" w:line="6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As a result of their rate structure, Total Return Asset Contracts (TRAKRS), Swapstream products, Hurricane Risk Landfall Option (HuRLO) contracts and auction-traded products are excluded from disclosures of trading volume and average rate per contract in this discussion and analysis. Clearing and transaction fees on these products are immaterial relative to our other products. TRAKRS are exchange-traded non-traditional futures contracts that trade electronically on the CME Globex electronic platform. Auction-traded products, which included CME economic derivatives, were previously traded through July 2007. Swapstream products were previously traded through September 2008.</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74" w:right="279" w:bottom="1440" w:gutter="0" w:footer="0" w:header="0"/>
        </w:sectPr>
      </w:pPr>
    </w:p>
    <w:bookmarkStart w:id="57" w:name="page58"/>
    <w:bookmarkEnd w:id="57"/>
    <w:p>
      <w:pPr>
        <w:ind w:right="32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Product mix. </w:t>
      </w:r>
      <w:r>
        <w:rPr>
          <w:rFonts w:ascii="Arial" w:cs="Arial" w:eastAsia="Arial" w:hAnsi="Arial"/>
          <w:sz w:val="18"/>
          <w:szCs w:val="18"/>
          <w:color w:val="auto"/>
        </w:rPr>
        <w:t>We offer trading of futures and options on futures contracts on a wide-ranging set of products based on interest rates, equities, foreign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commodities, energy and metals. Rates are varied by product in order to optimize revenue on existing products and support introduction of new products to encourage trading volume.</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Trading venue. </w:t>
      </w:r>
      <w:r>
        <w:rPr>
          <w:rFonts w:ascii="Arial" w:cs="Arial" w:eastAsia="Arial" w:hAnsi="Arial"/>
          <w:sz w:val="18"/>
          <w:szCs w:val="18"/>
          <w:color w:val="auto"/>
        </w:rPr>
        <w:t>Our exchange is an international marketplace that brings together buyers and sellers mainly through our electronic trading platforms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open outcry trading on our trading floors and privately negotiated transactions. Any customer guaranteed by a clearing firm and who agrees to be bound by our exchange rules is able to obtain direct access to our electronic platforms. Open outcry trading is conducted exclusively by our members, who may execute trades on behalf of customers or for themselves.</w:t>
      </w:r>
    </w:p>
    <w:p>
      <w:pPr>
        <w:spacing w:after="0" w:line="143"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Typically, customers executing trades through our electronic platforms are charged fees for using the platform in addition to the fees assessed on all transactions executed on our exchange. Customers entering into privately negotiated transactions also incur additional charges beyond the fees assessed on all transactions.</w:t>
      </w:r>
    </w:p>
    <w:p>
      <w:pPr>
        <w:spacing w:after="0" w:line="6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i w:val="1"/>
          <w:iCs w:val="1"/>
          <w:color w:val="auto"/>
        </w:rPr>
        <w:t xml:space="preserve">Member/non-member mix. </w:t>
      </w:r>
      <w:r>
        <w:rPr>
          <w:rFonts w:ascii="Arial" w:cs="Arial" w:eastAsia="Arial" w:hAnsi="Arial"/>
          <w:sz w:val="16"/>
          <w:szCs w:val="16"/>
          <w:color w:val="auto"/>
        </w:rPr>
        <w:t>Generally, member customers are charged lower fees than our non-member customers. Holding all other factors constant,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decreases if the percentage of trades executed by members increases, and increases if the percentage of non-member trades increases.</w:t>
      </w:r>
    </w:p>
    <w:p>
      <w:pPr>
        <w:spacing w:after="0" w:line="79"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 xml:space="preserve">Quotation data fees. </w:t>
      </w:r>
      <w:r>
        <w:rPr>
          <w:rFonts w:ascii="Arial" w:cs="Arial" w:eastAsia="Arial" w:hAnsi="Arial"/>
          <w:sz w:val="18"/>
          <w:szCs w:val="18"/>
          <w:color w:val="auto"/>
        </w:rPr>
        <w:t>We receive revenue from the dissemination of our market data to subscribers. Our market data services are provided primarily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distributors.</w:t>
      </w:r>
    </w:p>
    <w:p>
      <w:pPr>
        <w:spacing w:after="0" w:line="12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Subscribers can obtain access to real-time, delayed and end-of-day quotation, trade and summary market data for our products. Users of our basic service receive real-time quotes and pay a flat monthly fee for each screen, or device, displaying our market data. Alternatively, customers can subscribe to market data provided on a limited group of products. The fee for this service is also a flat rate per month.</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Pricing for our market data services is based on the value of the service provided, our cost structure for the service and the price of comparable services offered by our competitors. Increases or decreases in our quotation data fees revenue is influenced by changes in our price structure for existing market data offerings, introduction of new market data services and changes in the number of devices in use. General economic factors that affect the financial services industry, which constitutes our primary customer base, also influence revenue from our market data services.</w:t>
      </w:r>
    </w:p>
    <w:p>
      <w:pPr>
        <w:spacing w:after="0" w:line="10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Processing services. </w:t>
      </w:r>
      <w:r>
        <w:rPr>
          <w:rFonts w:ascii="Arial" w:cs="Arial" w:eastAsia="Arial" w:hAnsi="Arial"/>
          <w:sz w:val="18"/>
          <w:szCs w:val="18"/>
          <w:color w:val="auto"/>
        </w:rPr>
        <w:t>To further diversify the range of services we offer, we have entered into clearing and transaction processing agreements with third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our merger with NYMEX Holdings in August 2008, we collected fees for listing energy and metal futures products on the CME Globex platform. Prior to our merger with CBOT Holdings in July 2007, we collected fees for clearing services for CBOT products. Our processing services revenues with NYMEX and CBOT ended upon the completion of our mergers with each entity. Additionally, we provided clearing and risk management services for trades executed at FXMarketSpace Limited (FXMS), our joint venture with Thomson Reuters Group PLC (Reuters), beginning in 2007 until FXMS terminated operations in the fourth quarter of 2008.</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sources. </w:t>
      </w:r>
      <w:r>
        <w:rPr>
          <w:rFonts w:ascii="Arial" w:cs="Arial" w:eastAsia="Arial" w:hAnsi="Arial"/>
          <w:sz w:val="16"/>
          <w:szCs w:val="16"/>
          <w:color w:val="auto"/>
        </w:rPr>
        <w:t>Other sources of revenue include access and communication fees and revenue from various services related to our operations.</w:t>
      </w:r>
    </w:p>
    <w:p>
      <w:pPr>
        <w:spacing w:after="0" w:line="119" w:lineRule="exact"/>
        <w:rPr>
          <w:sz w:val="20"/>
          <w:szCs w:val="20"/>
          <w:color w:val="auto"/>
        </w:rPr>
      </w:pPr>
    </w:p>
    <w:p>
      <w:pPr>
        <w:ind w:left="900" w:right="180" w:hanging="325"/>
        <w:spacing w:after="0" w:line="298"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Access and communication fees are the connectivity charges to customers of the CME Globex platform to our market data vendors and to direct market data customers as well as charges to members and clearing firms that utilize our various telecommunications networks and communications services. Access fee revenue varies depending on the type of connection provided to customers. Revenue from communication fees is largely dependent on open outcry trading, as a significant portion relates to telecommunications on our trading floors.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80" w:right="239" w:bottom="1440" w:gutter="0" w:footer="0" w:header="0"/>
        </w:sectPr>
      </w:pPr>
    </w:p>
    <w:bookmarkStart w:id="58" w:name="page59"/>
    <w:bookmarkEnd w:id="58"/>
    <w:p>
      <w:pPr>
        <w:ind w:left="900" w:right="80" w:hanging="325"/>
        <w:spacing w:after="0" w:line="294"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revenues include rent charged to third party tenants as well as ancillary charges for utilities, parking and miscellaneous services provided to tenants. We maintain three commercial buildings in Chicago’s central business district. The retail and office space is rented primarily to third party tenants, including exchange customers. As part of our merger with NYMEX Holdings, we also acquired office space in New York City that is rented to third party tenants. All tenants pay market rates for rent. Revenues related to our real estate operations are generally affected by market rental rates, lease renewals and business conditions in the financial services industry in which most of our tenants operate.</w:t>
      </w:r>
    </w:p>
    <w:p>
      <w:pPr>
        <w:spacing w:after="0" w:line="35"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color w:val="auto"/>
        </w:rPr>
        <w:t>Additionally, other revenues include fees for administrating our Interest Earnings Facility (IEF) program, trade order routing, and various services to members and clearing firms. We offer clearing firms the opportunity to invest cash performance bonds in our various IEF offerings. These clearing firms receive interest income, and we receive a fee based on total funds on deposit. In addition, other revenues include trading gains and losses generated by GFX Corporation (GFX), our wholly-owned subsidiary that trades primarily in foreign exchange futures contracts to enhance liquidity in our electronic markets for these products.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Expenses</w:t>
      </w:r>
    </w:p>
    <w:p>
      <w:pPr>
        <w:spacing w:after="0" w:line="9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Most of our expenses do not vary directly with changes in our trading volume, except licensing and other fee agreements and the majority of our employee bonuses.</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Compensation and benefits expense is our most significant expense and includes employee wages, bonuses,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benefits and employer taxes. Changes in this expense are driven by fluctuations in the number of employees, increases in wages as a result of inflation or labor market conditions, changes in rates for employer taxes and other cost increases affecting benefit plans. In addition, this expense is affected by the composition of our work force. The expense associated with our bonus and stock-based compensation plans can also have a significant impact on this expense category and may vary from year to year.</w:t>
      </w:r>
    </w:p>
    <w:p>
      <w:pPr>
        <w:spacing w:after="0" w:line="14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bonus component of our compensation and benefits expense is based on our financial performance. Under the performance criteria of our annual incentive plans, the bonus funded under the plans would be the “target” level if we achieve the cash earnings target established by the compensation committee of our board of directors. Cash earnings are defined as net income less capital expenditures and exclude tax-effected amortization of purchased intangibles, depreciation and amortization expense, tax-effected stock-based compensation expense, valuation losses on investments, tax adjustments and net interest income (expense). Under the plan, if our actual cash earnings equal 80% of the established target for a given year, the bonus will be reduced by approximately 50% of the target bonus amount. There will be no bonus if our cash earnings are less than 80% of the cash earnings target, other than for non-exempt employees who may receive a bonus under our discretionary bonus program. If our actual cash earnings equal 120% of the target or higher, the bonus is increased by approximately 50% from the targeted bonus amount, which is the maximum amount established by the compensation committee. If our performance is between the threshold performance level of 80% of the cash earnings target and the maximum performance level of 120% of the cash earnings target, the bonus will be calculated based on the level of performance achieved. The compensation committee may adjust the cash earnings calculation and the target level of performance for material, unplanned revenue, expense or capital expenditures to meet intermediate to long-term growth opportunities. The cash earnings calculation for bonus purposes excludes items as approved at the discretion of the compensation committee.</w:t>
      </w:r>
    </w:p>
    <w:p>
      <w:pPr>
        <w:spacing w:after="0" w:line="12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Stock-based compensation is a non-cash expense related to stock options and restricted stock grants. Stock-based compensation varies depending on the quantity and fair value of options granted. Fair value is derived using the Black-Scholes model with assumptions about our dividend yield, the expected volatility of our stock price based on an analysis of implied and historical volatility, the risk-free interest rate and the expected life of the options granted.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59" w:name="page60"/>
    <w:bookmarkEnd w:id="59"/>
    <w:p>
      <w:pPr>
        <w:ind w:right="80"/>
        <w:spacing w:after="0" w:line="29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Depreciation and amortization. </w:t>
      </w:r>
      <w:r>
        <w:rPr>
          <w:rFonts w:ascii="Arial" w:cs="Arial" w:eastAsia="Arial" w:hAnsi="Arial"/>
          <w:sz w:val="16"/>
          <w:szCs w:val="16"/>
          <w:color w:val="auto"/>
        </w:rPr>
        <w:t>Depreciation and amortization expense results from the depreciation of long-lived assets purchased, as well as the amortization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purchased and internally developed software. As a result of our merger with CBOT Holdings, we acquired three commercial buildings. Depreciation and amortization on the building and building improvements as well as other furniture, fixtures and equipment acquired in the merger has been recorded since the merger closed on July 12, 2007. We also acquired a commercial building in our merger with NYMEX Holdings. Depreciation and amortization on this building and building improvements, hardware and software have been recorded since the merger closed on August 22, 2008.</w:t>
      </w:r>
    </w:p>
    <w:p>
      <w:pPr>
        <w:spacing w:after="0" w:line="10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 xml:space="preserve">Amortization of purchased intangibles. </w:t>
      </w:r>
      <w:r>
        <w:rPr>
          <w:rFonts w:ascii="Arial" w:cs="Arial" w:eastAsia="Arial" w:hAnsi="Arial"/>
          <w:sz w:val="18"/>
          <w:szCs w:val="18"/>
          <w:color w:val="auto"/>
        </w:rPr>
        <w:t>This expense primarily includes amortization of intangible assets obtained in our mergers with CBOT Holdings and</w:t>
      </w:r>
      <w:r>
        <w:rPr>
          <w:rFonts w:ascii="Arial" w:cs="Arial" w:eastAsia="Arial" w:hAnsi="Arial"/>
          <w:sz w:val="18"/>
          <w:szCs w:val="18"/>
          <w:b w:val="1"/>
          <w:bCs w:val="1"/>
          <w:color w:val="auto"/>
        </w:rPr>
        <w:t xml:space="preserve"> </w:t>
      </w:r>
      <w:r>
        <w:rPr>
          <w:rFonts w:ascii="Arial" w:cs="Arial" w:eastAsia="Arial" w:hAnsi="Arial"/>
          <w:sz w:val="18"/>
          <w:szCs w:val="18"/>
          <w:color w:val="auto"/>
        </w:rPr>
        <w:t>NYMEX Holdings as well as other asset and business acquisitions. Intangible assets subject to amortization consist primarily of customer relationships, licensing agreements, and lease-related intangible assets.</w:t>
      </w:r>
    </w:p>
    <w:p>
      <w:pPr>
        <w:spacing w:after="0" w:line="132"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We incur additional ongoing expenses for communications, technology support services and various other activities necessary to support our</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45" w:lineRule="exact"/>
        <w:rPr>
          <w:sz w:val="20"/>
          <w:szCs w:val="20"/>
          <w:color w:val="auto"/>
        </w:rPr>
      </w:pPr>
    </w:p>
    <w:p>
      <w:pPr>
        <w:ind w:left="900" w:right="220" w:hanging="325"/>
        <w:spacing w:after="0" w:line="298"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Communications expense consists primarily of costs for network connections to our electronic trading platforms and some market data customers; telecommunications costs of our exchange; and fees paid for access to external market data. This expense is affected primarily by the growth of electronic trading, our capacity requirements and by changes in the number of telecommunications hubs and connections which allow customers outside the United States access to our electronic trading platforms directly.</w:t>
      </w:r>
    </w:p>
    <w:p>
      <w:pPr>
        <w:spacing w:after="0" w:line="31"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Technology support services consist of costs related to maintenance of the hardware and software required to support our technology. Our technology support services costs are driven by system capacity, functionality and redundancy requirements.</w:t>
      </w:r>
    </w:p>
    <w:p>
      <w:pPr>
        <w:spacing w:after="0" w:line="50" w:lineRule="exact"/>
        <w:rPr>
          <w:rFonts w:ascii="Arial" w:cs="Arial" w:eastAsia="Arial" w:hAnsi="Arial"/>
          <w:sz w:val="18"/>
          <w:szCs w:val="18"/>
          <w:color w:val="auto"/>
        </w:rPr>
      </w:pPr>
    </w:p>
    <w:p>
      <w:pPr>
        <w:jc w:val="both"/>
        <w:ind w:left="900" w:right="40" w:hanging="325"/>
        <w:spacing w:after="0" w:line="357"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Professional fees and outside services expense includes costs of consulting services provided for major strategic and technology initiatives as well as legal and accounting fees. This expense fluctuates primarily as a result of changes in services required to complete initiatives and legal proceedings.</w:t>
      </w:r>
    </w:p>
    <w:p>
      <w:pPr>
        <w:ind w:left="900" w:hanging="325"/>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Occupancy and building operations expense consists of costs related to leased and owned property including rent, maintenance, real estate taxes, utilities and other related costs. Our office space is located primarily in Chicago and New York City with smaller offices located in Washington, D.C., Houston, London, Tokyo, Hong Kong, Shanghai, and Singapore. Additionally, we have trading facilities in Chicago and New York City as well as data centers in various U.S. locations.</w:t>
      </w:r>
    </w:p>
    <w:p>
      <w:pPr>
        <w:spacing w:after="0" w:line="62" w:lineRule="exact"/>
        <w:rPr>
          <w:rFonts w:ascii="Arial" w:cs="Arial" w:eastAsia="Arial" w:hAnsi="Arial"/>
          <w:sz w:val="18"/>
          <w:szCs w:val="18"/>
          <w:color w:val="auto"/>
        </w:rPr>
      </w:pPr>
    </w:p>
    <w:p>
      <w:pPr>
        <w:jc w:val="both"/>
        <w:ind w:left="900" w:right="20" w:hanging="325"/>
        <w:spacing w:after="0" w:line="306"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Licensing and other fee agreements expense consists primarily of license fees paid as a result of trading volume in equity index products, and royalty and broker rebates on metals and energy products, subsequent to the merger with NYMEX Holdings. This expense fluctuates with changes in equity index products and CME ClearPort trading volumes and fee structure changes in the agreements.</w:t>
      </w:r>
    </w:p>
    <w:p>
      <w:pPr>
        <w:spacing w:after="0" w:line="25" w:lineRule="exact"/>
        <w:rPr>
          <w:rFonts w:ascii="Arial" w:cs="Arial" w:eastAsia="Arial" w:hAnsi="Arial"/>
          <w:sz w:val="16"/>
          <w:szCs w:val="16"/>
          <w:color w:val="auto"/>
        </w:rPr>
      </w:pPr>
    </w:p>
    <w:p>
      <w:pPr>
        <w:ind w:left="900" w:right="40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Restructuring expense consists primarily of transitional employees’ severance, retention bonuses and associated payroll taxes as well as outplacement costs and post-employment healthcare subsidies resulting from our mergers with CBOT Holdings in July 2007 and with NYMEX Holdings in August 2008.</w:t>
      </w:r>
    </w:p>
    <w:p>
      <w:pPr>
        <w:spacing w:after="0" w:line="59"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expenses includes marketing-related as well as general and administrative costs. Marketing, advertising and public relations expense consists primarily of media, print and other advertising costs, as well as costs associated with our brand campaign and product promotion.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274"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Non-Operating Income and Expenses</w:t>
      </w:r>
    </w:p>
    <w:p>
      <w:pPr>
        <w:spacing w:after="0" w:line="96"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Income and expenses incurred through activities outside of our core operations are considered non-operating. These activities include investments in debt and equity securities for both short-term and long-term strategic purposes and our securities lending program as well as financing activities.</w:t>
      </w:r>
    </w:p>
    <w:p>
      <w:pPr>
        <w:spacing w:after="0" w:line="4" w:lineRule="exact"/>
        <w:rPr>
          <w:sz w:val="20"/>
          <w:szCs w:val="20"/>
          <w:color w:val="auto"/>
        </w:rPr>
      </w:pPr>
    </w:p>
    <w:p>
      <w:pPr>
        <w:ind w:left="900" w:right="40" w:hanging="325"/>
        <w:spacing w:after="0" w:line="298"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Investment income represents income generated by short-term investment of excess cash, clearing firms’ cash performance bonds and security deposits; income and net realized gains and losses from our marketable securities; gains and losses on trading securities in our non-qualified deferred compensation plans and dividend income. Investment income is influenced by the availability of funds generated by operations, market interest rates and changes in the levels of cash performance bonds deposited by clearing firms.</w:t>
      </w:r>
    </w:p>
    <w:p>
      <w:pPr>
        <w:spacing w:after="0" w:line="31"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use derivative financial instruments for the purpose of hedging exposures to fluctuations in interest rates and foreign currency exchange rates. Any ineffective or excluded portion of our hedges is recognized in earnings immediately.</w:t>
      </w:r>
    </w:p>
    <w:p>
      <w:pPr>
        <w:spacing w:after="0" w:line="50" w:lineRule="exact"/>
        <w:rPr>
          <w:rFonts w:ascii="Arial" w:cs="Arial" w:eastAsia="Arial" w:hAnsi="Arial"/>
          <w:sz w:val="18"/>
          <w:szCs w:val="18"/>
          <w:color w:val="auto"/>
        </w:rPr>
      </w:pPr>
    </w:p>
    <w:p>
      <w:pPr>
        <w:ind w:left="900" w:right="140" w:hanging="325"/>
        <w:spacing w:after="0" w:line="290"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Under the securities lending program, we lend a portion of the securities that clearing firms deposit with us and we receive collateral in the form of cash in return. The cash is invested in either bank money market mutual funds, overnight repurchase agreements, corporate debt securities or other asset-back securities to generate interest income. The balance of securities on deposit fluctuates as a result of changes in the clearing firms’ open positions and how clearing firms elect to satisfy their performance bond requirements. Securities lending interest expense represents the payment to the borrower of the security for the cash retained during the duration of the lending transaction. Net interest income from securities lending is impacted by changes in short-term interest rates and the level of demand for the securities on deposit. CME’s securities lending program has been suspended since November 2008. NYMEX’s securities lending program was terminated in June 2009.</w:t>
      </w:r>
    </w:p>
    <w:p>
      <w:pPr>
        <w:spacing w:after="0" w:line="37" w:lineRule="exact"/>
        <w:rPr>
          <w:rFonts w:ascii="Arial" w:cs="Arial" w:eastAsia="Arial" w:hAnsi="Arial"/>
          <w:sz w:val="16"/>
          <w:szCs w:val="16"/>
          <w:color w:val="auto"/>
        </w:rPr>
      </w:pPr>
    </w:p>
    <w:p>
      <w:pPr>
        <w:ind w:left="900" w:right="140" w:hanging="325"/>
        <w:spacing w:after="0" w:line="294"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Interest and other borrowing costs are associated with various short-term and long-term funding facilities. In 2007, we initiated a commercial paper program with various financial institutions to fund a tender offer to repurchase Class A common stock. In 2008, we issued short-term and long-term debt in conjunction with our merger with NYMEX Holdings. In early 2009, we refinanced part of the debt that was previously issued for the NYMEX Holdings merger. Our debt balances primarily have fixed rates or floating rates that are fixed through the use of interest rate swaps, but some debt-related costs fluctuate with the funding needs of our business.</w:t>
      </w:r>
    </w:p>
    <w:p>
      <w:pPr>
        <w:spacing w:after="0" w:line="34" w:lineRule="exact"/>
        <w:rPr>
          <w:rFonts w:ascii="Arial" w:cs="Arial" w:eastAsia="Arial" w:hAnsi="Arial"/>
          <w:sz w:val="16"/>
          <w:szCs w:val="16"/>
          <w:color w:val="auto"/>
        </w:rPr>
      </w:pPr>
    </w:p>
    <w:p>
      <w:pPr>
        <w:ind w:left="900" w:right="80" w:hanging="325"/>
        <w:spacing w:after="0" w:line="291"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Income (expense) related to our guarantee of exercise right privileges (ERPs) is a result of our merger with CBOT Holdings. Under the terms of the merger agreement, eligible holders of Chicago Board Options Exchange (CBOE) ERPs could elect to sell us their ERP for $250,000 per privilege. Eligible holders that did not elect to sell their ERPs were entitled to a maximum guaranteed payment of $250,000 from us upon resolution of the lawsuit between CBOT and CBOE. This income (expense) represents the change in estimated fair value of our guarantee during the period, which is based in part on the expected outcome of the litigation. It also includes adjustments to the value of our asset for the 159 ERPs that we hold. This litigation was resolved in December 2009.</w:t>
      </w:r>
    </w:p>
    <w:p>
      <w:pPr>
        <w:spacing w:after="0" w:line="39"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Equity in losses of unconsolidated subsidiaries primarily includes losses from our investments in Dubai Mercantile Exchange (DME), FXMS, Green Exchange Holdings, LLC and OneChicago LLC (OneChicago). Our investment in DME was acquired with the assets of NYMEX Holdings as part of our merger in August 2008.</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notes to our consolidated financial statements include disclosure of our significant accounting policies. In establishing these policies within the framework of accounting principles generally accepted in the United States, management must make certain assessments, estimates and choices that will result in the application of these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61" w:name="page62"/>
    <w:bookmarkEnd w:id="61"/>
    <w:p>
      <w:pPr>
        <w:ind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principles in a manner that appropriately reflects our financial condition and results of operations. Critical accounting policies are those policies that we believe present the most complex or subjective measurements and have the most potential to affect our financial position and operating results. While all decisions regarding accounting policies are important, there are certain accounting policies that we consider to be critical. These critical policies, which are presented in detail in the notes to our consolidated financial statements, relate to valuation of financial instruments, goodwill and intangible assets, derivative instruments, revenue recognition, income taxes, internal use software costs, and stock-based compensation.</w:t>
      </w:r>
    </w:p>
    <w:p>
      <w:pPr>
        <w:spacing w:after="0" w:line="110"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 xml:space="preserve">Valuation of financial instruments. </w:t>
      </w:r>
      <w:r>
        <w:rPr>
          <w:rFonts w:ascii="Arial" w:cs="Arial" w:eastAsia="Arial" w:hAnsi="Arial"/>
          <w:sz w:val="16"/>
          <w:szCs w:val="16"/>
          <w:color w:val="auto"/>
        </w:rPr>
        <w:t>In January 2008, we adopted the accounting guidance on fair value measurements, which provides direction for using fair</w:t>
      </w:r>
      <w:r>
        <w:rPr>
          <w:rFonts w:ascii="Arial" w:cs="Arial" w:eastAsia="Arial" w:hAnsi="Arial"/>
          <w:sz w:val="16"/>
          <w:szCs w:val="16"/>
          <w:b w:val="1"/>
          <w:bCs w:val="1"/>
          <w:color w:val="auto"/>
        </w:rPr>
        <w:t xml:space="preserve"> </w:t>
      </w:r>
      <w:r>
        <w:rPr>
          <w:rFonts w:ascii="Arial" w:cs="Arial" w:eastAsia="Arial" w:hAnsi="Arial"/>
          <w:sz w:val="16"/>
          <w:szCs w:val="16"/>
          <w:color w:val="auto"/>
        </w:rPr>
        <w:t>value to measure assets and liabilities by defining fair value and establishing a framework for measuring fair value. The accounting guidance on fair value measurements applies to all financial instruments that are measured and reported on a fair value basis.</w:t>
      </w:r>
    </w:p>
    <w:p>
      <w:pPr>
        <w:spacing w:after="0" w:line="10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accounting guidance on fair value measurements defines “fair value” as the price that would be received to sell an asset or paid to transfer a liability in an orderly transaction between market participants at the measurement date, or an exit price. The guidance establishes a hierarchy for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independent sources. Unobservable inputs are inputs that reflect our assumptions about the assumptions market participants would use in pricing the asset or liability developed based on the best information available in the circumstances.</w:t>
      </w:r>
    </w:p>
    <w:p>
      <w:pPr>
        <w:spacing w:after="0" w:line="120"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We have categorized our financial instruments measured at fair value into a three-level classification in accordance with the guidance. The hierarchy is categorized into three levels based on the reliability of inputs as follows:</w:t>
      </w:r>
    </w:p>
    <w:p>
      <w:pPr>
        <w:spacing w:after="0" w:line="51" w:lineRule="exact"/>
        <w:rPr>
          <w:sz w:val="20"/>
          <w:szCs w:val="20"/>
          <w:color w:val="auto"/>
        </w:rPr>
      </w:pPr>
    </w:p>
    <w:p>
      <w:pPr>
        <w:ind w:left="900" w:right="50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or liabilities at the measurement date. Assets and liabilities carried at level 1 fair value generally include U.S. Treasury and Government agency securities, equity securities listed in active markets, and investments in publicly traded mutual funds with quoted market prices.</w:t>
      </w:r>
    </w:p>
    <w:p>
      <w:pPr>
        <w:spacing w:after="0" w:line="59"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Level 2—Inputs are either directly or indirectly observable and corroborated by market data or are based on quoted prices in markets that are not active. Assets and liabilities carried at level 2 fair value generally include municipal bonds, corporate debt and certain derivatives.</w:t>
      </w:r>
    </w:p>
    <w:p>
      <w:pPr>
        <w:spacing w:after="0" w:line="4" w:lineRule="exact"/>
        <w:rPr>
          <w:rFonts w:ascii="Arial" w:cs="Arial" w:eastAsia="Arial" w:hAnsi="Arial"/>
          <w:sz w:val="16"/>
          <w:szCs w:val="16"/>
          <w:color w:val="auto"/>
        </w:rPr>
      </w:pPr>
    </w:p>
    <w:p>
      <w:pPr>
        <w:ind w:left="900" w:right="28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3—Inputs are unobservable and reflect management’s best estimate of what market participants would use in pricing the asset or liability. Generally assets and liabilities at fair value utilizing level 3 inputs include certain complex over-the-counter derivative contracts and certain other assets and liabilities with inputs that require management’s judgment.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regarding the fair value of financial assets and liabilities, see note 24 in the notes to consolidated financial statements.</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Goodwill and intangible assets. </w:t>
      </w:r>
      <w:r>
        <w:rPr>
          <w:rFonts w:ascii="Arial" w:cs="Arial" w:eastAsia="Arial" w:hAnsi="Arial"/>
          <w:sz w:val="16"/>
          <w:szCs w:val="16"/>
          <w:color w:val="auto"/>
        </w:rPr>
        <w:t>According to guidance on goodwill and other intangible assets, we review goodwill and intangible assets with indefinite lives</w:t>
      </w:r>
      <w:r>
        <w:rPr>
          <w:rFonts w:ascii="Arial" w:cs="Arial" w:eastAsia="Arial" w:hAnsi="Arial"/>
          <w:sz w:val="16"/>
          <w:szCs w:val="16"/>
          <w:b w:val="1"/>
          <w:bCs w:val="1"/>
          <w:color w:val="auto"/>
        </w:rPr>
        <w:t xml:space="preserve"> </w:t>
      </w:r>
      <w:r>
        <w:rPr>
          <w:rFonts w:ascii="Arial" w:cs="Arial" w:eastAsia="Arial" w:hAnsi="Arial"/>
          <w:sz w:val="16"/>
          <w:szCs w:val="16"/>
          <w:color w:val="auto"/>
        </w:rPr>
        <w:t>for impairment on an annual basis and whenever events or circumstances indicate the carrying value may not be recoverable. The provisions of the guidance require that a two-step impairment test be performed on goodwill. In the first step, the fair value of each reporting unit is compared to its carrying amount. If the fair value of the reporting unit exceeds the carrying amount, no impairment exists and we are not required to perform further testing. If the carrying amount exceeds its fair value, the second step must be performed to determine the implied fair value of the reporting unit’s goodwill. If the carrying value of the reporting unit’s goodwill exceeds its implied fair value, then an impairment loss is recorded in an amount equal to that excess. Determining the fair value of a reporting unit is judgmental in nature and involves the use of significant estimates and assumptions. Valuation techniques we use to measure fair value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80" w:right="259" w:bottom="1440" w:gutter="0" w:footer="0" w:header="0"/>
        </w:sectPr>
      </w:pPr>
    </w:p>
    <w:bookmarkStart w:id="62" w:name="page63"/>
    <w:bookmarkEnd w:id="62"/>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 the market approach and the income approach. The market approach encompasses comparable data sets within our peer group, and the income approach includes discounted cash flow measurements using a market discount rate. Our valuation techniques could yield variable results based on changes in assumptions such as the discount rate and long-term growth rate and forecasted revenue and expense.</w:t>
      </w:r>
    </w:p>
    <w:p>
      <w:pPr>
        <w:spacing w:after="0" w:line="140"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color w:val="auto"/>
        </w:rPr>
        <w:t>Indefinite-lived intangible assets are assessed for impairment by comparing their fair values to their carrying values. If the carrying value of an indefinite-lived intangible asset exceeds its fair value, an impairment loss is recognized equal to the difference. Intangible assets subject to amortization are also evaluated for impairment when indicated by a change in circumstances, pursuant to accounting guidance on impairments or disposal of long-lived assets. The impairment testing requires management to estimate the fair value of the assets and record an impairment loss for the excess of the carrying value over the fair value. The estimate of the fair value of all intangible assets is generally determined on the basis of discounted future cash flows. In estimating the fair value, management must make assumptions and projections regarding such items as future cash flows, future revenues, future earnings and other factors. Such assumptions are subject to change as a result of changing economic and competitive conditions.</w:t>
      </w:r>
    </w:p>
    <w:p>
      <w:pPr>
        <w:spacing w:after="0" w:line="112"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b w:val="1"/>
          <w:bCs w:val="1"/>
          <w:color w:val="auto"/>
        </w:rPr>
        <w:t xml:space="preserve">Derivative investments. </w:t>
      </w:r>
      <w:r>
        <w:rPr>
          <w:rFonts w:ascii="Arial" w:cs="Arial" w:eastAsia="Arial" w:hAnsi="Arial"/>
          <w:sz w:val="15"/>
          <w:szCs w:val="15"/>
          <w:color w:val="auto"/>
        </w:rPr>
        <w:t>We use derivative financial instruments for the purpose of hedging exposures to fluctuations in interest rates and foreign currency</w:t>
      </w:r>
      <w:r>
        <w:rPr>
          <w:rFonts w:ascii="Arial" w:cs="Arial" w:eastAsia="Arial" w:hAnsi="Arial"/>
          <w:sz w:val="15"/>
          <w:szCs w:val="15"/>
          <w:b w:val="1"/>
          <w:bCs w:val="1"/>
          <w:color w:val="auto"/>
        </w:rPr>
        <w:t xml:space="preserve"> </w:t>
      </w:r>
      <w:r>
        <w:rPr>
          <w:rFonts w:ascii="Arial" w:cs="Arial" w:eastAsia="Arial" w:hAnsi="Arial"/>
          <w:sz w:val="15"/>
          <w:szCs w:val="15"/>
          <w:color w:val="auto"/>
        </w:rPr>
        <w:t>exchange rates. Derivatives are recorded at fair value in the consolidated balance sheets according to accounting guidance for derivative instruments and hedging activities. The guidance also requires that changes in our derivatives’ fair values be recognized in earnings, unless the instruments are accounted for as hedges. For a derivative designated as a fair value hedge, any gain or loss on the derivative is recognized in earnings in the period of change, to the extent the hedge is effective, together with the offsetting gain or loss on the hedged item attributable to the risk being hedged. We record the effective portions of our derivative financial instruments that are designated as cash flow hedges in accumulated other comprehensive income (loss) in the accompanying consolidated balance sheets. When the hedged item affects earnings, the gain or loss included in accumulated other comprehensive income (loss) is transferred to the same line in the consolidated statements of income as the hedged item. Any ineffective or excluded portion of a hedge is recognized in earnings immediately. Any realized gains and losses from hedges are classified in the consolidated statements of income consistent with the accounting treatment of the items being hedged.</w:t>
      </w:r>
    </w:p>
    <w:p>
      <w:pPr>
        <w:spacing w:after="0" w:line="10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Our revenue recognition policies comply with accounting guidance on revenue recognition. Our revenue is derived primarily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clearing and transaction fees we assess on each contract executed through our trading venues and cleared through our clearing house. Clearing and transaction fees are recognized as revenue when a buy and sell order are matched and when the trade is cleared. On occasion, the customer’s exchange trading privileges may not be properly entered by the clearing firm and incorrect fees are charged for the transactions in the affected accounts. When this information is corrected within the time period allowed by the exchange, a fee adjustment is provided to the clearing firm. An accrual is established for estimated fee adjustments to reflect corrections to customer exchange trading privileges. The accrual is based on the historical pattern of adjustments processed as well as specific adjustment requests. Occasionally market data customers will pay for services in a lump sum payment. When these circumstances occur, revenue is recognized as services are provided.</w:t>
      </w:r>
    </w:p>
    <w:p>
      <w:pPr>
        <w:spacing w:after="0" w:line="11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Calculation of the income tax provision includes an estimate of the income taxes that will be paid for the current year as well as an estimate of</w:t>
      </w:r>
      <w:r>
        <w:rPr>
          <w:rFonts w:ascii="Arial" w:cs="Arial" w:eastAsia="Arial" w:hAnsi="Arial"/>
          <w:sz w:val="16"/>
          <w:szCs w:val="16"/>
          <w:b w:val="1"/>
          <w:bCs w:val="1"/>
          <w:color w:val="auto"/>
        </w:rPr>
        <w:t xml:space="preserve"> </w:t>
      </w:r>
      <w:r>
        <w:rPr>
          <w:rFonts w:ascii="Arial" w:cs="Arial" w:eastAsia="Arial" w:hAnsi="Arial"/>
          <w:sz w:val="16"/>
          <w:szCs w:val="16"/>
          <w:color w:val="auto"/>
        </w:rPr>
        <w:t>income tax liabilities or benefits deferred into future years, as defined by accounting guidance on income taxes and accounting for uncertain tax positions. As required, our deferred tax assets are reviewed to determine if all assets will be realized in future periods. To the extent it is determined that some deferred tax assets may not be fully realized, the assets must be reduced by a valuation allowance. The calculation of our tax provision involves dealing with uncertainties in the application of complex tax regulations. We recognize potential liabilities for anticipated tax audit issues in the United States and other applicable tax jurisdictions using a more-likely-than-not recognition threshold based on the technical merits of the tax position taken or expected to be taken. If payment of these amounts varies from our estimate, our income tax provision would be reduced or increased at the time that determination is made. This determination may not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63" w:name="page64"/>
    <w:bookmarkEnd w:id="63"/>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known for several years. Past tax audits have not resulted in tax adjustments that would result in a material change to the income tax provision in the year the audit was completed. The effective tax rate, defined as the income tax provision as a percentage of income before income taxes, will vary from year to year based on changes to tax rates and regulations. In addition, the effective tax rate will vary with changes to income that are not subject to income tax, such as municipal interest income, and changes in expenses or losses that are not deductible, such as the utilization of foreign net operating losses.</w:t>
      </w:r>
    </w:p>
    <w:p>
      <w:pPr>
        <w:spacing w:after="0" w:line="10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b w:val="1"/>
          <w:bCs w:val="1"/>
          <w:color w:val="auto"/>
        </w:rPr>
        <w:t xml:space="preserve">Internal use software costs. </w:t>
      </w:r>
      <w:r>
        <w:rPr>
          <w:rFonts w:ascii="Arial" w:cs="Arial" w:eastAsia="Arial" w:hAnsi="Arial"/>
          <w:sz w:val="16"/>
          <w:szCs w:val="16"/>
          <w:color w:val="auto"/>
        </w:rPr>
        <w:t>Certain costs for employees and consultants that are incurred in connection with work on development or implementation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software for our internal use are capitalized in accordance with accounting guidance for software development costs. Costs capitalized are for application development or implementation, as required by the accounting guidance, for software projects that will result in significant new functionality and that are generally expected to cost in excess of $0.5 million. The amount capitalized is determined based on the time spent by the individuals completing the eligible software-related activity and the compensation and benefits or consulting fees incurred for these activities. Projects are monitored during the development cycle to assure that they continue to meet the capitalization criteria of the accounting guidance and that the project will be completed and placed in service as intended. Any previously capitalized costs are expensed at the time a decision is made to abandon a software project. Completed internal use software projects, as well as work-in-progress projects, are included as part of property in the consolidated balance sheets. Once complete, the accumulated costs for a particular software project are amortized over the anticipated life of the software, generally three years. Costs capitalized for internal use software will vary from year to year based on our technology-related business requirements.</w:t>
      </w:r>
    </w:p>
    <w:p>
      <w:pPr>
        <w:spacing w:after="0" w:line="115"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We expense stock options using the fair value method under the provisions of the accounting guidance on share-based payments. We</w:t>
      </w:r>
      <w:r>
        <w:rPr>
          <w:rFonts w:ascii="Arial" w:cs="Arial" w:eastAsia="Arial" w:hAnsi="Arial"/>
          <w:sz w:val="16"/>
          <w:szCs w:val="16"/>
          <w:b w:val="1"/>
          <w:bCs w:val="1"/>
          <w:color w:val="auto"/>
        </w:rPr>
        <w:t xml:space="preserve"> </w:t>
      </w:r>
      <w:r>
        <w:rPr>
          <w:rFonts w:ascii="Arial" w:cs="Arial" w:eastAsia="Arial" w:hAnsi="Arial"/>
          <w:sz w:val="16"/>
          <w:szCs w:val="16"/>
          <w:color w:val="auto"/>
        </w:rPr>
        <w:t>have elected the accelerated method for recognizing the expense related to stock grants. Due to this election and the vesting provisions of our stock grants, a greater percentage of the total expense is recognized in the first and second years of the vesting period than would be recorded if we used the straight-line method. We include an estimate of expected forfeitures of stock grants in our expense recognition calculations.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 June 2009, the Financial Accounting Standards Board (FASB) issued guidance that changes the analysis required to determine whether a variable interest gives a company a controlling financial interest in a variable interest entity. This change may result in the consolidation of entities that we currently do not consolidate and requires an ongoing reassessment of the consolidation requirement. In addition, enhanced disclosures are required that will provide the readers of financial statements with more transparent information about a company’s involvement in a variable interest entity. This standard is effective for fiscal years beginning after November 15, 2009. We believe the impact of this standard’s adoption will be immaterial to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Financial Highlights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comparability of our operating results for the periods presented is significantly impacted by our mergers with CBOT Holdings and NYMEX Holdings in July 2007 and August 2008, respectively. In the discussion and analysis that follows, we have quantified the incremental revenue or expense resulting from these transactions wherever such amounts were material and identifiable. While identified amounts may provide indications of general trends, the analysis cannot completely address the effects attributable to integration efforts.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0"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summarizes significant changes in our financial performance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2009-</w:t>
            </w:r>
          </w:p>
        </w:tc>
        <w:tc>
          <w:tcPr>
            <w:tcW w:w="7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w w:val="91"/>
              </w:rPr>
              <w:t>(dollars in millions, except per share data)</w:t>
            </w: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2,612.8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2,561.0</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1,756.1</w:t>
            </w: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Total expenses</w:t>
            </w:r>
          </w:p>
        </w:tc>
        <w:tc>
          <w:tcPr>
            <w:tcW w:w="2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1,023.7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978.8</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704.2</w:t>
            </w:r>
          </w:p>
        </w:tc>
        <w:tc>
          <w:tcPr>
            <w:tcW w:w="70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580" w:type="dxa"/>
            <w:vAlign w:val="bottom"/>
            <w:gridSpan w:val="2"/>
          </w:tcPr>
          <w:p>
            <w:pPr>
              <w:spacing w:after="0"/>
              <w:rPr>
                <w:sz w:val="20"/>
                <w:szCs w:val="20"/>
                <w:color w:val="auto"/>
              </w:rPr>
            </w:pPr>
            <w:r>
              <w:rPr>
                <w:rFonts w:ascii="Arial" w:cs="Arial" w:eastAsia="Arial" w:hAnsi="Arial"/>
                <w:sz w:val="18"/>
                <w:szCs w:val="18"/>
                <w:color w:val="auto"/>
                <w:w w:val="97"/>
              </w:rPr>
              <w:t>Non-operating income (expense)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(151.6)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(334.2)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43.9</w:t>
            </w:r>
          </w:p>
        </w:tc>
        <w:tc>
          <w:tcPr>
            <w:tcW w:w="700" w:type="dxa"/>
            <w:vAlign w:val="bottom"/>
          </w:tcPr>
          <w:p>
            <w:pPr>
              <w:spacing w:after="0"/>
              <w:rPr>
                <w:sz w:val="24"/>
                <w:szCs w:val="2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(55)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825.8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715.5</w:t>
            </w:r>
          </w:p>
        </w:tc>
        <w:tc>
          <w:tcPr>
            <w:tcW w:w="7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658.5</w:t>
            </w:r>
          </w:p>
        </w:tc>
        <w:tc>
          <w:tcPr>
            <w:tcW w:w="700" w:type="dxa"/>
            <w:vAlign w:val="bottom"/>
          </w:tcPr>
          <w:p>
            <w:pPr>
              <w:spacing w:after="0"/>
              <w:rPr>
                <w:sz w:val="24"/>
                <w:szCs w:val="2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15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89"/>
              </w:rPr>
              <w:t>Diluted earnings per common share</w:t>
            </w:r>
          </w:p>
        </w:tc>
        <w:tc>
          <w:tcPr>
            <w:tcW w:w="2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2"/>
        </w:trPr>
        <w:tc>
          <w:tcPr>
            <w:tcW w:w="2580" w:type="dxa"/>
            <w:vAlign w:val="bottom"/>
            <w:gridSpan w:val="2"/>
          </w:tcPr>
          <w:p>
            <w:pPr>
              <w:spacing w:after="0"/>
              <w:rPr>
                <w:sz w:val="20"/>
                <w:szCs w:val="20"/>
                <w:color w:val="auto"/>
              </w:rPr>
            </w:pPr>
            <w:r>
              <w:rPr>
                <w:rFonts w:ascii="Arial" w:cs="Arial" w:eastAsia="Arial" w:hAnsi="Arial"/>
                <w:sz w:val="18"/>
                <w:szCs w:val="18"/>
                <w:color w:val="auto"/>
              </w:rPr>
              <w:t>Cash flows from operations</w:t>
            </w: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1,083.1</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1,197.2</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814.4</w:t>
            </w:r>
          </w:p>
        </w:tc>
        <w:tc>
          <w:tcPr>
            <w:tcW w:w="700" w:type="dxa"/>
            <w:vAlign w:val="bottom"/>
          </w:tcPr>
          <w:p>
            <w:pPr>
              <w:spacing w:after="0"/>
              <w:rPr>
                <w:sz w:val="24"/>
                <w:szCs w:val="24"/>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90" w:lineRule="exact"/>
        <w:rPr>
          <w:sz w:val="20"/>
          <w:szCs w:val="20"/>
          <w:color w:val="auto"/>
        </w:rPr>
      </w:pPr>
    </w:p>
    <w:p>
      <w:pPr>
        <w:ind w:left="900" w:right="1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From 2007 to 2009, the increase in revenues was largely due to the increase in clearing and transaction fees and quotation data fees. These increases were partially offset by a decline in processing services revenues.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Increases in compensation and benefits, amortization of purchased intangibles and licensing and other fee agreements led to higher overall expenses from 2007 to 2009.</w:t>
      </w:r>
    </w:p>
    <w:p>
      <w:pPr>
        <w:spacing w:after="0" w:line="50" w:lineRule="exact"/>
        <w:rPr>
          <w:rFonts w:ascii="Arial" w:cs="Arial" w:eastAsia="Arial" w:hAnsi="Arial"/>
          <w:sz w:val="18"/>
          <w:szCs w:val="18"/>
          <w:color w:val="auto"/>
        </w:rPr>
      </w:pPr>
    </w:p>
    <w:p>
      <w:pPr>
        <w:ind w:left="900" w:right="80" w:hanging="325"/>
        <w:spacing w:after="0" w:line="255"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Non-operating income (expense) decreased in 2009 due to a 2008 impairment charge on our investment in BM&amp;FBOVESPA S.A. (BM&amp;FBOVESPA) of $274.5 million as well as impairment charges on FXMS and certain securities lending assets. This decrease in expense was partially offset by an increase in interest expense and other borrowing costs from 2007 to 2009 due to an increase in debt levels as well as 2009 impairment charges of $46.0 million related to IMAREX and DME. In addition, investment income also decreased from 2007 to 2009 due largely to a decline in rates.</w:t>
      </w:r>
    </w:p>
    <w:p>
      <w:pPr>
        <w:spacing w:after="0" w:line="61" w:lineRule="exact"/>
        <w:rPr>
          <w:rFonts w:ascii="Arial" w:cs="Arial" w:eastAsia="Arial" w:hAnsi="Arial"/>
          <w:sz w:val="18"/>
          <w:szCs w:val="18"/>
          <w:color w:val="auto"/>
        </w:rPr>
      </w:pPr>
    </w:p>
    <w:p>
      <w:pPr>
        <w:ind w:left="900" w:right="60" w:hanging="325"/>
        <w:spacing w:after="0" w:line="294"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2009 effective tax rate remained consistent with the prior year. An additional valuation allowance related to unrealized capital losses increased the effective tax rate in 2009. However, this increase was offset by the favorable impact of a New York City tax law change. In the third quarter of 2008, we recorded a charge for the impact of our new combined state and local tax rates, which was offset by the favorable impact of an Illinois tax law change in the first quarter of 2008 and an increase in our valuation allowance related to unrealized capital losses. Our effective tax rate increased in 2008 due primarily to the increase in our state and local tax rates as a result of our merger with NYMEX Holdings.</w:t>
      </w:r>
    </w:p>
    <w:p>
      <w:pPr>
        <w:spacing w:after="0" w:line="34" w:lineRule="exact"/>
        <w:rPr>
          <w:rFonts w:ascii="Arial" w:cs="Arial" w:eastAsia="Arial" w:hAnsi="Arial"/>
          <w:sz w:val="16"/>
          <w:szCs w:val="16"/>
          <w:color w:val="auto"/>
        </w:rPr>
      </w:pPr>
    </w:p>
    <w:p>
      <w:pPr>
        <w:ind w:left="900" w:right="6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experienced a decline in diluted earnings per share in 2008, despite improved financial performance, due to the impact of common stock issuances as a result of our mergers.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Cash flows from operations are strongly correlated with trading volume on a year-over-year basis.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rPr>
              <w:t>2009-</w:t>
            </w:r>
          </w:p>
        </w:tc>
        <w:tc>
          <w:tcPr>
            <w:tcW w:w="7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272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2008</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560" w:type="dxa"/>
            <w:vAlign w:val="bottom"/>
          </w:tcPr>
          <w:p>
            <w:pPr>
              <w:jc w:val="right"/>
              <w:ind w:right="59"/>
              <w:spacing w:after="0"/>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Clearing and transactions fees</w:t>
            </w:r>
          </w:p>
        </w:tc>
        <w:tc>
          <w:tcPr>
            <w:tcW w:w="2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$2,161.9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$2,115.4</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$1,427.3</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Quotation data fees</w:t>
            </w:r>
          </w:p>
        </w:tc>
        <w:tc>
          <w:tcPr>
            <w:tcW w:w="2980" w:type="dxa"/>
            <w:vAlign w:val="bottom"/>
            <w:gridSpan w:val="3"/>
          </w:tcPr>
          <w:p>
            <w:pPr>
              <w:jc w:val="right"/>
              <w:ind w:right="260"/>
              <w:spacing w:after="0"/>
              <w:rPr>
                <w:sz w:val="20"/>
                <w:szCs w:val="20"/>
                <w:color w:val="auto"/>
              </w:rPr>
            </w:pPr>
            <w:r>
              <w:rPr>
                <w:rFonts w:ascii="Arial" w:cs="Arial" w:eastAsia="Arial" w:hAnsi="Arial"/>
                <w:sz w:val="18"/>
                <w:szCs w:val="18"/>
                <w:color w:val="auto"/>
              </w:rPr>
              <w:t>331.1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279.5</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145.1</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services</w:t>
            </w:r>
          </w:p>
        </w:tc>
        <w:tc>
          <w:tcPr>
            <w:tcW w:w="2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106.4</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(99)</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Access and communication fees</w:t>
            </w:r>
          </w:p>
        </w:tc>
        <w:tc>
          <w:tcPr>
            <w:tcW w:w="2980" w:type="dxa"/>
            <w:vAlign w:val="bottom"/>
            <w:gridSpan w:val="3"/>
          </w:tcPr>
          <w:p>
            <w:pPr>
              <w:jc w:val="right"/>
              <w:ind w:right="260"/>
              <w:spacing w:after="0"/>
              <w:rPr>
                <w:sz w:val="20"/>
                <w:szCs w:val="20"/>
                <w:color w:val="auto"/>
              </w:rPr>
            </w:pPr>
            <w:r>
              <w:rPr>
                <w:rFonts w:ascii="Arial" w:cs="Arial" w:eastAsia="Arial" w:hAnsi="Arial"/>
                <w:sz w:val="18"/>
                <w:szCs w:val="18"/>
                <w:color w:val="auto"/>
              </w:rPr>
              <w:t>45.6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36.5</w:t>
            </w: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73.7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40.8</w:t>
            </w: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3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2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gridSpan w:val="2"/>
            <w:vMerge w:val="restart"/>
          </w:tcPr>
          <w:p>
            <w:pPr>
              <w:jc w:val="right"/>
              <w:ind w:right="700"/>
              <w:spacing w:after="0"/>
              <w:rPr>
                <w:sz w:val="20"/>
                <w:szCs w:val="20"/>
                <w:color w:val="auto"/>
              </w:rPr>
            </w:pPr>
            <w:r>
              <w:rPr>
                <w:rFonts w:ascii="Arial" w:cs="Arial" w:eastAsia="Arial" w:hAnsi="Arial"/>
                <w:sz w:val="18"/>
                <w:szCs w:val="18"/>
                <w:color w:val="auto"/>
              </w:rPr>
              <w:t>2</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221"/>
        </w:trPr>
        <w:tc>
          <w:tcPr>
            <w:tcW w:w="3940" w:type="dxa"/>
            <w:vAlign w:val="bottom"/>
            <w:gridSpan w:val="3"/>
            <w:vMerge w:val="continue"/>
          </w:tcPr>
          <w:p>
            <w:pPr>
              <w:spacing w:after="0"/>
              <w:rPr>
                <w:sz w:val="19"/>
                <w:szCs w:val="19"/>
                <w:color w:val="auto"/>
              </w:rPr>
            </w:pPr>
          </w:p>
        </w:tc>
        <w:tc>
          <w:tcPr>
            <w:tcW w:w="210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2,612.8</w:t>
            </w:r>
          </w:p>
        </w:tc>
        <w:tc>
          <w:tcPr>
            <w:tcW w:w="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2,561.0</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1,756.1</w:t>
            </w:r>
          </w:p>
        </w:tc>
        <w:tc>
          <w:tcPr>
            <w:tcW w:w="126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100" w:type="dxa"/>
            <w:vAlign w:val="bottom"/>
            <w:vMerge w:val="restart"/>
          </w:tcPr>
          <w:p>
            <w:pPr>
              <w:jc w:val="right"/>
              <w:ind w:right="156"/>
              <w:spacing w:after="0"/>
              <w:rPr>
                <w:sz w:val="20"/>
                <w:szCs w:val="20"/>
                <w:color w:val="auto"/>
              </w:rPr>
            </w:pPr>
            <w:r>
              <w:rPr>
                <w:rFonts w:ascii="Arial" w:cs="Arial" w:eastAsia="Arial" w:hAnsi="Arial"/>
                <w:sz w:val="18"/>
                <w:szCs w:val="18"/>
                <w:color w:val="auto"/>
              </w:rPr>
              <w:t>65</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Clearing and Transaction Fees. </w:t>
      </w:r>
      <w:r>
        <w:rPr>
          <w:rFonts w:ascii="Arial" w:cs="Arial" w:eastAsia="Arial" w:hAnsi="Arial"/>
          <w:sz w:val="16"/>
          <w:szCs w:val="16"/>
          <w:color w:val="auto"/>
        </w:rPr>
        <w:t>Revenues increased in 2009 when compared with 2008 and in 2008 when compared with 2007 largely due to the following: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Volume</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following table summarizes average daily trading volume. For CBOT volume information in 2007, average daily volumes have been calculated for the period from July 13 through December 31, 2007. NYMEX product and CME ClearPort services volume in 2008 have been calculated for the period from August 23 through December 31, 2008. All amounts exclude TRAKRS, Swapstream, HuRLO contracts, credit default swaps and auction-traded products.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9"/>
              </w:rPr>
              <w:t>Year-over-Year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000" w:type="dxa"/>
            <w:vAlign w:val="bottom"/>
            <w:gridSpan w:val="4"/>
          </w:tcPr>
          <w:p>
            <w:pPr>
              <w:spacing w:after="0"/>
              <w:rPr>
                <w:sz w:val="20"/>
                <w:szCs w:val="20"/>
                <w:color w:val="auto"/>
              </w:rPr>
            </w:pPr>
            <w:r>
              <w:rPr>
                <w:rFonts w:ascii="Arial" w:cs="Arial" w:eastAsia="Arial" w:hAnsi="Arial"/>
                <w:sz w:val="14"/>
                <w:szCs w:val="14"/>
                <w:b w:val="1"/>
                <w:bCs w:val="1"/>
                <w:color w:val="auto"/>
              </w:rPr>
              <w:t>(amounts in thousands)</w:t>
            </w: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4"/>
                <w:szCs w:val="14"/>
                <w:color w:val="auto"/>
              </w:rPr>
            </w:pPr>
          </w:p>
        </w:tc>
        <w:tc>
          <w:tcPr>
            <w:tcW w:w="480" w:type="dxa"/>
            <w:vAlign w:val="bottom"/>
          </w:tcPr>
          <w:p>
            <w:pPr>
              <w:jc w:val="right"/>
              <w:ind w:right="14"/>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2008</w:t>
            </w:r>
          </w:p>
        </w:tc>
        <w:tc>
          <w:tcPr>
            <w:tcW w:w="72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Product Line Average Daily Volume:</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Interest rate</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4,260</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6,085</w:t>
            </w:r>
          </w:p>
        </w:tc>
        <w:tc>
          <w:tcPr>
            <w:tcW w:w="480" w:type="dxa"/>
            <w:vAlign w:val="bottom"/>
          </w:tcPr>
          <w:p>
            <w:pPr>
              <w:jc w:val="right"/>
              <w:spacing w:after="0"/>
              <w:rPr>
                <w:sz w:val="20"/>
                <w:szCs w:val="20"/>
                <w:color w:val="auto"/>
              </w:rPr>
            </w:pPr>
            <w:r>
              <w:rPr>
                <w:rFonts w:ascii="Arial" w:cs="Arial" w:eastAsia="Arial" w:hAnsi="Arial"/>
                <w:sz w:val="18"/>
                <w:szCs w:val="18"/>
                <w:color w:val="auto"/>
              </w:rPr>
              <w:t>7,093</w:t>
            </w:r>
          </w:p>
        </w:tc>
        <w:tc>
          <w:tcPr>
            <w:tcW w:w="6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2,916</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3,663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Foreign exchange</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624</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623</w:t>
            </w:r>
          </w:p>
        </w:tc>
        <w:tc>
          <w:tcPr>
            <w:tcW w:w="480" w:type="dxa"/>
            <w:vAlign w:val="bottom"/>
          </w:tcPr>
          <w:p>
            <w:pPr>
              <w:jc w:val="right"/>
              <w:spacing w:after="0"/>
              <w:rPr>
                <w:sz w:val="20"/>
                <w:szCs w:val="20"/>
                <w:color w:val="auto"/>
              </w:rPr>
            </w:pPr>
            <w:r>
              <w:rPr>
                <w:rFonts w:ascii="Arial" w:cs="Arial" w:eastAsia="Arial" w:hAnsi="Arial"/>
                <w:sz w:val="18"/>
                <w:szCs w:val="18"/>
                <w:color w:val="auto"/>
              </w:rPr>
              <w:t>569</w:t>
            </w:r>
          </w:p>
        </w:tc>
        <w:tc>
          <w:tcPr>
            <w:tcW w:w="640" w:type="dxa"/>
            <w:vAlign w:val="bottom"/>
          </w:tcPr>
          <w:p>
            <w:pPr>
              <w:spacing w:after="0"/>
              <w:rPr>
                <w:sz w:val="18"/>
                <w:szCs w:val="18"/>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741</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848</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Energy</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1,492</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1,348</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208</w:t>
            </w:r>
          </w:p>
        </w:tc>
        <w:tc>
          <w:tcPr>
            <w:tcW w:w="11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000" w:type="dxa"/>
            <w:vAlign w:val="bottom"/>
            <w:gridSpan w:val="4"/>
            <w:vMerge w:val="restart"/>
          </w:tcPr>
          <w:p>
            <w:pPr>
              <w:spacing w:after="0"/>
              <w:rPr>
                <w:sz w:val="20"/>
                <w:szCs w:val="20"/>
                <w:color w:val="auto"/>
              </w:rPr>
            </w:pPr>
            <w:r>
              <w:rPr>
                <w:rFonts w:ascii="Arial" w:cs="Arial" w:eastAsia="Arial" w:hAnsi="Arial"/>
                <w:sz w:val="18"/>
                <w:szCs w:val="18"/>
                <w:color w:val="auto"/>
              </w:rPr>
              <w:t>Aggregate average daily volume</w:t>
            </w: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2"/>
            <w:vMerge w:val="restart"/>
          </w:tcPr>
          <w:p>
            <w:pPr>
              <w:jc w:val="right"/>
              <w:ind w:right="660"/>
              <w:spacing w:after="0"/>
              <w:rPr>
                <w:sz w:val="20"/>
                <w:szCs w:val="20"/>
                <w:color w:val="auto"/>
              </w:rPr>
            </w:pPr>
            <w:r>
              <w:rPr>
                <w:rFonts w:ascii="Arial" w:cs="Arial" w:eastAsia="Arial" w:hAnsi="Arial"/>
                <w:sz w:val="18"/>
                <w:szCs w:val="18"/>
                <w:color w:val="auto"/>
              </w:rPr>
              <w:t>(20)</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line="20" w:lineRule="exact"/>
              <w:rPr>
                <w:sz w:val="1"/>
                <w:szCs w:val="1"/>
                <w:color w:val="auto"/>
              </w:rPr>
            </w:pPr>
          </w:p>
        </w:tc>
      </w:tr>
      <w:tr>
        <w:trPr>
          <w:trHeight w:val="221"/>
        </w:trPr>
        <w:tc>
          <w:tcPr>
            <w:tcW w:w="6000" w:type="dxa"/>
            <w:vAlign w:val="bottom"/>
            <w:gridSpan w:val="4"/>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10,258</w:t>
            </w:r>
          </w:p>
        </w:tc>
        <w:tc>
          <w:tcPr>
            <w:tcW w:w="64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w w:val="83"/>
              </w:rPr>
              <w:t>12,775</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11,134</w:t>
            </w:r>
          </w:p>
        </w:tc>
        <w:tc>
          <w:tcPr>
            <w:tcW w:w="64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Average Daily Volume by Venue:</w:t>
            </w: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Electronic</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8,290</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w w:val="83"/>
              </w:rPr>
              <w:t>10,180</w:t>
            </w:r>
          </w:p>
        </w:tc>
        <w:tc>
          <w:tcPr>
            <w:tcW w:w="480" w:type="dxa"/>
            <w:vAlign w:val="bottom"/>
          </w:tcPr>
          <w:p>
            <w:pPr>
              <w:jc w:val="right"/>
              <w:spacing w:after="0"/>
              <w:rPr>
                <w:sz w:val="20"/>
                <w:szCs w:val="20"/>
                <w:color w:val="auto"/>
              </w:rPr>
            </w:pPr>
            <w:r>
              <w:rPr>
                <w:rFonts w:ascii="Arial" w:cs="Arial" w:eastAsia="Arial" w:hAnsi="Arial"/>
                <w:sz w:val="18"/>
                <w:szCs w:val="18"/>
                <w:color w:val="auto"/>
              </w:rPr>
              <w:t>8,661</w:t>
            </w:r>
          </w:p>
        </w:tc>
        <w:tc>
          <w:tcPr>
            <w:tcW w:w="6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(19)</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Open outcry</w:t>
            </w: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1,310</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1,943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w:t>
            </w: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Privately negotiated</w:t>
            </w:r>
          </w:p>
        </w:tc>
        <w:tc>
          <w:tcPr>
            <w:tcW w:w="500" w:type="dxa"/>
            <w:vAlign w:val="bottom"/>
          </w:tcPr>
          <w:p>
            <w:pPr>
              <w:jc w:val="right"/>
              <w:spacing w:after="0"/>
              <w:rPr>
                <w:sz w:val="20"/>
                <w:szCs w:val="20"/>
                <w:color w:val="auto"/>
              </w:rPr>
            </w:pPr>
            <w:r>
              <w:rPr>
                <w:rFonts w:ascii="Arial" w:cs="Arial" w:eastAsia="Arial" w:hAnsi="Arial"/>
                <w:sz w:val="18"/>
                <w:szCs w:val="18"/>
                <w:color w:val="auto"/>
              </w:rPr>
              <w:t>164</w:t>
            </w:r>
          </w:p>
        </w:tc>
        <w:tc>
          <w:tcPr>
            <w:tcW w:w="6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208</w:t>
            </w:r>
          </w:p>
        </w:tc>
        <w:tc>
          <w:tcPr>
            <w:tcW w:w="480" w:type="dxa"/>
            <w:vAlign w:val="bottom"/>
          </w:tcPr>
          <w:p>
            <w:pPr>
              <w:jc w:val="right"/>
              <w:spacing w:after="0"/>
              <w:rPr>
                <w:sz w:val="20"/>
                <w:szCs w:val="20"/>
                <w:color w:val="auto"/>
              </w:rPr>
            </w:pPr>
            <w:r>
              <w:rPr>
                <w:rFonts w:ascii="Arial" w:cs="Arial" w:eastAsia="Arial" w:hAnsi="Arial"/>
                <w:sz w:val="18"/>
                <w:szCs w:val="18"/>
                <w:color w:val="auto"/>
              </w:rPr>
              <w:t>197</w:t>
            </w:r>
          </w:p>
        </w:tc>
        <w:tc>
          <w:tcPr>
            <w:tcW w:w="64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exchange-traded volume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12,331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11,134</w:t>
            </w: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Arial" w:cs="Arial" w:eastAsia="Arial" w:hAnsi="Arial"/>
                <w:sz w:val="18"/>
                <w:szCs w:val="18"/>
                <w:color w:val="auto"/>
              </w:rPr>
              <w:t>Total CME ClearPort</w:t>
            </w:r>
          </w:p>
        </w:tc>
        <w:tc>
          <w:tcPr>
            <w:tcW w:w="500" w:type="dxa"/>
            <w:vAlign w:val="bottom"/>
          </w:tcPr>
          <w:p>
            <w:pPr>
              <w:jc w:val="right"/>
              <w:spacing w:after="0"/>
              <w:rPr>
                <w:sz w:val="20"/>
                <w:szCs w:val="20"/>
                <w:color w:val="auto"/>
              </w:rPr>
            </w:pPr>
            <w:r>
              <w:rPr>
                <w:rFonts w:ascii="Arial" w:cs="Arial" w:eastAsia="Arial" w:hAnsi="Arial"/>
                <w:sz w:val="18"/>
                <w:szCs w:val="18"/>
                <w:color w:val="auto"/>
              </w:rPr>
              <w:t>494</w:t>
            </w:r>
          </w:p>
        </w:tc>
        <w:tc>
          <w:tcPr>
            <w:tcW w:w="64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444</w:t>
            </w:r>
          </w:p>
        </w:tc>
        <w:tc>
          <w:tcPr>
            <w:tcW w:w="11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Aggregate average daily volume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10,258</w:t>
            </w:r>
          </w:p>
        </w:tc>
        <w:tc>
          <w:tcPr>
            <w:tcW w:w="6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12,775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11,134</w:t>
            </w: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2"/>
        </w:trPr>
        <w:tc>
          <w:tcPr>
            <w:tcW w:w="6000" w:type="dxa"/>
            <w:vAlign w:val="bottom"/>
            <w:gridSpan w:val="4"/>
          </w:tcPr>
          <w:p>
            <w:pPr>
              <w:spacing w:after="0"/>
              <w:rPr>
                <w:sz w:val="20"/>
                <w:szCs w:val="20"/>
                <w:color w:val="auto"/>
              </w:rPr>
            </w:pPr>
            <w:r>
              <w:rPr>
                <w:rFonts w:ascii="Arial" w:cs="Arial" w:eastAsia="Arial" w:hAnsi="Arial"/>
                <w:sz w:val="18"/>
                <w:szCs w:val="18"/>
                <w:color w:val="auto"/>
              </w:rPr>
              <w:t>Electronic Volume as a Percentage of Total Volume</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81%</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80%</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78%</w:t>
            </w: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60" w:type="dxa"/>
            <w:vAlign w:val="bottom"/>
            <w:tcBorders>
              <w:bottom w:val="single" w:sz="8" w:color="auto"/>
            </w:tcBorders>
            <w:gridSpan w:val="2"/>
          </w:tcPr>
          <w:p>
            <w:pPr>
              <w:spacing w:after="0"/>
              <w:rPr>
                <w:sz w:val="9"/>
                <w:szCs w:val="9"/>
                <w:color w:val="auto"/>
              </w:rPr>
            </w:pPr>
          </w:p>
        </w:tc>
        <w:tc>
          <w:tcPr>
            <w:tcW w:w="484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6000" w:type="dxa"/>
            <w:vAlign w:val="bottom"/>
            <w:gridSpan w:val="4"/>
          </w:tcPr>
          <w:p>
            <w:pPr>
              <w:spacing w:after="0"/>
              <w:rPr>
                <w:sz w:val="20"/>
                <w:szCs w:val="20"/>
                <w:color w:val="auto"/>
              </w:rPr>
            </w:pPr>
            <w:r>
              <w:rPr>
                <w:rFonts w:ascii="Arial" w:cs="Arial" w:eastAsia="Arial" w:hAnsi="Arial"/>
                <w:sz w:val="18"/>
                <w:szCs w:val="18"/>
                <w:color w:val="auto"/>
              </w:rPr>
              <w:t>n.m. not meaningful</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2009, when compared with 2008, the decline in average daily trading volume was largely attributable to a decrease in interest rate products and equity products volume. The addition of the NYMEX product lines in 2008 largely contributed to the increase in average daily volume from 2007 to 2008. In addition, there was a significant increase in overall market volatility in the second half of 2007 and throughout 2008, which we believe contributed to the overall increase in average daily volume from 2007 to 2008, specifically within equity products. We believe the increase in market volatility during that time period was due to concerns surrounding the subprime debt market which evolved into a credit crisis in 2008. Despite the decrease in average daily volume for interest rate products in 2008 when compared with 2007, total overall interest rate product volume increased in 2008 due to the addition of the U.S. Treasury futures and options acquired through the merger with CBOT Holdings in July 2007.</w:t>
      </w:r>
    </w:p>
    <w:p>
      <w:pPr>
        <w:spacing w:after="0" w:line="118"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In the discussion that follows, NYMEX product and CME ClearPort services volume information for the periods prior to August 23, 2008 is provided for comparative purposes only and does not correspond to revenue recognized by CME Group prior to that date. CBOT volume information for periods prior to July 13, 2007 is also provided for comparative purposes only.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Products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overall decrease in interest rate volume from 2007 to 2009 was attributable to the credit crisis. We also believe the Federal Reserve Bank’s zero interest rate policy for short-term interest rates contributed to a decrease in volumes in 2009 when compared with 2008.</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average daily volume and changes in average daily volume relative to the prior periods for our key interest rate products.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2009</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22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6820" w:type="dxa"/>
            <w:vAlign w:val="bottom"/>
            <w:gridSpan w:val="3"/>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2009 - 2008</w:t>
            </w:r>
          </w:p>
        </w:tc>
        <w:tc>
          <w:tcPr>
            <w:tcW w:w="6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2008 - 2007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97"/>
              </w:rPr>
              <w:t>Eurodollar futures</w:t>
            </w:r>
          </w:p>
        </w:tc>
        <w:tc>
          <w:tcPr>
            <w:tcW w:w="54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1,736</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2,360</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2,456</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Eurodollar options</w:t>
            </w:r>
          </w:p>
        </w:tc>
        <w:tc>
          <w:tcPr>
            <w:tcW w:w="400" w:type="dxa"/>
            <w:vAlign w:val="bottom"/>
          </w:tcPr>
          <w:p>
            <w:pPr>
              <w:jc w:val="right"/>
              <w:spacing w:after="0"/>
              <w:rPr>
                <w:sz w:val="20"/>
                <w:szCs w:val="20"/>
                <w:color w:val="auto"/>
              </w:rPr>
            </w:pPr>
            <w:r>
              <w:rPr>
                <w:rFonts w:ascii="Arial" w:cs="Arial" w:eastAsia="Arial" w:hAnsi="Arial"/>
                <w:sz w:val="18"/>
                <w:szCs w:val="18"/>
                <w:color w:val="auto"/>
              </w:rPr>
              <w:t>639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1,237</w:t>
            </w:r>
          </w:p>
        </w:tc>
        <w:tc>
          <w:tcPr>
            <w:tcW w:w="3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(29)</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futures and options:</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420"/>
              <w:spacing w:after="0"/>
              <w:rPr>
                <w:sz w:val="20"/>
                <w:szCs w:val="20"/>
                <w:color w:val="auto"/>
              </w:rPr>
            </w:pPr>
            <w:r>
              <w:rPr>
                <w:rFonts w:ascii="Arial" w:cs="Arial" w:eastAsia="Arial" w:hAnsi="Arial"/>
                <w:sz w:val="18"/>
                <w:szCs w:val="18"/>
                <w:color w:val="auto"/>
              </w:rPr>
              <w:t>10-Year</w:t>
            </w:r>
          </w:p>
        </w:tc>
        <w:tc>
          <w:tcPr>
            <w:tcW w:w="400" w:type="dxa"/>
            <w:vAlign w:val="bottom"/>
          </w:tcPr>
          <w:p>
            <w:pPr>
              <w:jc w:val="right"/>
              <w:spacing w:after="0"/>
              <w:rPr>
                <w:sz w:val="20"/>
                <w:szCs w:val="20"/>
                <w:color w:val="auto"/>
              </w:rPr>
            </w:pPr>
            <w:r>
              <w:rPr>
                <w:rFonts w:ascii="Arial" w:cs="Arial" w:eastAsia="Arial" w:hAnsi="Arial"/>
                <w:sz w:val="18"/>
                <w:szCs w:val="18"/>
                <w:color w:val="auto"/>
              </w:rPr>
              <w:t>913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1,239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1,627</w:t>
            </w:r>
          </w:p>
        </w:tc>
        <w:tc>
          <w:tcPr>
            <w:tcW w:w="3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(26)</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5-Year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tcPr>
          <w:p>
            <w:pPr>
              <w:ind w:left="420"/>
              <w:spacing w:after="0"/>
              <w:rPr>
                <w:sz w:val="20"/>
                <w:szCs w:val="20"/>
                <w:color w:val="auto"/>
              </w:rPr>
            </w:pPr>
            <w:r>
              <w:rPr>
                <w:rFonts w:ascii="Arial" w:cs="Arial" w:eastAsia="Arial" w:hAnsi="Arial"/>
                <w:sz w:val="18"/>
                <w:szCs w:val="18"/>
                <w:color w:val="auto"/>
              </w:rPr>
              <w:t>30-Year</w:t>
            </w:r>
          </w:p>
        </w:tc>
        <w:tc>
          <w:tcPr>
            <w:tcW w:w="400" w:type="dxa"/>
            <w:vAlign w:val="bottom"/>
          </w:tcPr>
          <w:p>
            <w:pPr>
              <w:jc w:val="right"/>
              <w:spacing w:after="0"/>
              <w:rPr>
                <w:sz w:val="20"/>
                <w:szCs w:val="20"/>
                <w:color w:val="auto"/>
              </w:rPr>
            </w:pPr>
            <w:r>
              <w:rPr>
                <w:rFonts w:ascii="Arial" w:cs="Arial" w:eastAsia="Arial" w:hAnsi="Arial"/>
                <w:sz w:val="18"/>
                <w:szCs w:val="18"/>
                <w:color w:val="auto"/>
              </w:rPr>
              <w:t>292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38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(32)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2-Year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We believe that the zero interest rate policy and increased risk aversion by market participants following the credit crisis contributed to the decrease in Eurodollar futures and options from 2007 to 2009. We believe this has reduced certain customers’ ability or need to assume and maintain positions.</w:t>
      </w:r>
    </w:p>
    <w:p>
      <w:pPr>
        <w:spacing w:after="0" w:line="8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believe that the overall decline in U.S. Treasury note futures and options volume from 2007 to 2009 was attributable to the credit crisis, which resulted in reduced corporate debt issuances, reduced mortgage issuances and refinancing activity, a slowdown in the U.S. Treasury cash market trading as well as the Federal Reserve Bank’s purchase of U.S. Treasury securities. The decline in 2009 when compared with 2008 was also attributable to the zero interest rate policy, which we believe reduced market participants’ need to hedge interest rate risk. In 2008, when compared with 2007, we believe the credit crisis contributed to some fixed income market participants shifting from long-term debt to short-term debt, which led to a decrease in volumes for products on the long end of the yield curve relative to products on the short end of the yield curve.</w:t>
      </w:r>
    </w:p>
    <w:p>
      <w:pPr>
        <w:spacing w:after="0" w:line="12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During the second half of 2009, overall interest rate product volume increased relative to the first half of 2009. We believe that improved economic conditions contributed to the increase in volume.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Products</w:t>
      </w:r>
    </w:p>
    <w:p>
      <w:pPr>
        <w:spacing w:after="0" w:line="90"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During the second half of 2007 through the first quarter of 2009, there was significant volatility in the equity markets, which we believe was attributable to concerns regarding the credit crisis. Average volatility, as measured by the CBOE Volatility Index, increased to 33% in 2008 from 18% in 2007. Average volatility decreased to 27% in the last three quarters of 2009 from 52% from the fourth quarter of 2008 through the first quarter of 2009.</w:t>
      </w:r>
    </w:p>
    <w:p>
      <w:pPr>
        <w:spacing w:after="0" w:line="1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Average daily volume for E-mini equity products decreased by 19% to 2.6 million contracts per day in 2009 when compared with 2008. The decline in volume was primarily attributable to the decline in E-mini S&amp;P 500 contracts, which decreased by 12% to an average of 2.3 million contracts per day when compared with 2008. Volume for the E-mini NASDAQ-100 contracts decreased by 28% to an average of 0.3 million contracts per day when compared with 2008. We believe that the decline in E-mini S&amp;P 500 contracts and E-mini NASDAQ-100 contracts decreased due to the decline in volatility in the second quarter through the fourth quarter of 2009 when compared with the fourth quarter of 2008 and the first quarter of 2009. In addition, the decline in volume was attributable to the termination of our license to list Russell-based contracts. Volume for the Russell-based contracts averaged 0.3 million contracts per day for January 1 through September 22, 2008.</w:t>
      </w:r>
    </w:p>
    <w:p>
      <w:pPr>
        <w:spacing w:after="0" w:line="147"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2008, average daily volume for our E-mini equity products increased by 37% to 3.3 million contracts when compared with 2007. This increase included growth in E-mini S&amp;P 500 contracts, which grew by 52% to an average of 2.6 million contracts per day when compared with 2007. We believe the growth in equity trading volume in 2008 when compared with 2007 was attributable to the increase in volatility. The increase was partially offset by the termination of our license to list Russell-based contracts. Volume for the Russell-based contracts was 0.3 million per day in 2007.</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80"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Foreign Exchange Products</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table summarizes average daily volume and changes in average daily volume relative to the prior periods for our key foreign exchange futures and options products.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(amounts in thousands)</w:t>
            </w:r>
          </w:p>
        </w:tc>
        <w:tc>
          <w:tcPr>
            <w:tcW w:w="6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2009</w:t>
            </w: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106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2007</w:t>
            </w:r>
          </w:p>
        </w:tc>
        <w:tc>
          <w:tcPr>
            <w:tcW w:w="21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1420" w:type="dxa"/>
            <w:vAlign w:val="bottom"/>
            <w:gridSpan w:val="2"/>
            <w:vMerge w:val="continue"/>
          </w:tcPr>
          <w:p>
            <w:pPr>
              <w:spacing w:after="0"/>
              <w:rPr>
                <w:sz w:val="12"/>
                <w:szCs w:val="12"/>
                <w:color w:val="auto"/>
              </w:rPr>
            </w:pPr>
          </w:p>
        </w:tc>
        <w:tc>
          <w:tcPr>
            <w:tcW w:w="616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2009 - 2008</w:t>
            </w:r>
          </w:p>
        </w:tc>
        <w:tc>
          <w:tcPr>
            <w:tcW w:w="6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2008 - 2007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Euro</w:t>
            </w:r>
          </w:p>
        </w:tc>
        <w:tc>
          <w:tcPr>
            <w:tcW w:w="59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225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223</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177</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British pound</w:t>
            </w:r>
          </w:p>
        </w:tc>
        <w:tc>
          <w:tcPr>
            <w:tcW w:w="61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84</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21</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Japanese yen</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125</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Australian dollar</w:t>
            </w:r>
          </w:p>
        </w:tc>
        <w:tc>
          <w:tcPr>
            <w:tcW w:w="61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43</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Canadian dollar</w:t>
            </w:r>
          </w:p>
        </w:tc>
        <w:tc>
          <w:tcPr>
            <w:tcW w:w="6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50</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believe that the volume for our Euro products has remained flat and the Japanese yen products has declined due to the convergence of interest rates towards zero between the European, United States and Japanese markets. The increase in volume for the British pound, Australian dollar and Canadian dollar products was attributable to a divergence between interest rates in the United States and interest rates in the British, Australian and Canadian markets. Trading volume for foreign exchange products increased in 2008 when compared with 2007 due largely to increased volatility of the U.S. dollar relative to other major currencies, particularly the euro and the Japanese yen.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Products</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believe a decrease in market volatility and decreased demand for commodities products as a result of the credit crisis caused the overall decline in volume for commodities products in 2009 when compared with 2008. We believe the credit crisis has reduced certain customers’ ability or need to assume and maintain positions.</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increase in CBOT corn and soybean products contributed to an increase in overall commodities trading volume in 2008 when compared with 2007. During 2008, volume for basic corn products increased by 17% to an average of 320,000 contracts per day. Average daily volume for basic soybean products grew by 16% to 183,000 contracts per day during 2008. We believe that the increases in volume were due primarily to changes in global supply and demand resulting in increased volatility as well as increased use of commodities as an asset class.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Energy Products</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Energy products primarily consist of crude oil, natural gas, power and other energy-related exchange-traded contracts and over-the-counter contracts cleared through CME ClearPort. Average daily volume for energy contracts cleared through CME ClearPort increased by 16% to an average of 0.5 million per day in 2009 when compared with 2008, including the period prior to our merger. We believe the increase was due to market participants seeking to mitigate counterparty risk on their over-the-counter exposures through central counter party clearing.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Products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Metal products generally include gold, silver and other precious and base metals. We believe metal products volume decreased by 4% to an average of 0.2 million contracts per day in 2009 when compared with 2008, including the period prior to our merger, due largely to lower volatility and decreased demand for metal products as a result of the credit crisis.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Average Rate per Contract</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CBOT total volume and fees have been included beginning July 13, 2007. NYMEX total volume and fees have been included beginning August 23, 2008. All amounts in the following table exclude TRAKRS, Swapstream, HuRLO contracts, credit default swaps and auction-traded products.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6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40" w:type="dxa"/>
            <w:vAlign w:val="bottom"/>
            <w:vMerge w:val="restart"/>
          </w:tcPr>
          <w:p>
            <w:pPr>
              <w:spacing w:after="0"/>
              <w:rPr>
                <w:sz w:val="14"/>
                <w:szCs w:val="14"/>
                <w:color w:val="auto"/>
              </w:rPr>
            </w:pPr>
          </w:p>
        </w:tc>
        <w:tc>
          <w:tcPr>
            <w:tcW w:w="62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6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21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592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2009-2008</w:t>
            </w:r>
          </w:p>
        </w:tc>
        <w:tc>
          <w:tcPr>
            <w:tcW w:w="74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2008-2007</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Volume (in millions)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2,584.9</w:t>
            </w: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2,978.5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2,249.6</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Clearing and Transaction Fees (in millions)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$2,161.7</w:t>
            </w:r>
          </w:p>
        </w:tc>
        <w:tc>
          <w:tcPr>
            <w:tcW w:w="1360" w:type="dxa"/>
            <w:vAlign w:val="bottom"/>
            <w:gridSpan w:val="3"/>
          </w:tcPr>
          <w:p>
            <w:pPr>
              <w:jc w:val="right"/>
              <w:ind w:right="500"/>
              <w:spacing w:after="0"/>
              <w:rPr>
                <w:sz w:val="20"/>
                <w:szCs w:val="20"/>
                <w:color w:val="auto"/>
              </w:rPr>
            </w:pPr>
            <w:r>
              <w:rPr>
                <w:rFonts w:ascii="Arial" w:cs="Arial" w:eastAsia="Arial" w:hAnsi="Arial"/>
                <w:sz w:val="18"/>
                <w:szCs w:val="18"/>
                <w:color w:val="auto"/>
              </w:rPr>
              <w:t>$2,114.7</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$1,426.2</w:t>
            </w:r>
          </w:p>
        </w:tc>
        <w:tc>
          <w:tcPr>
            <w:tcW w:w="500" w:type="dxa"/>
            <w:vAlign w:val="bottom"/>
          </w:tcPr>
          <w:p>
            <w:pPr>
              <w:spacing w:after="0"/>
              <w:rPr>
                <w:sz w:val="18"/>
                <w:szCs w:val="18"/>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Average Rate per Contract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0.836</w:t>
            </w: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0.710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0.634</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The average rate per contract increased in 2009 when compared with 2008 due to the addition of NYMEX products and CME ClearPort services to our existing product line, which had an average rate per contract of $1.512 and $2.051, respectively, in 2009. Additionally, the average rate per contract increased due to a lower portion of interest rate products as a percentage of total volume compared with equity products, which have a higher rate per contract. As a percentage of volume, equity products trading volume increased by 2% in 2009, while interest rate products volume decreased by 4% when compared with 2008.</w:t>
      </w:r>
    </w:p>
    <w:p>
      <w:pPr>
        <w:spacing w:after="0" w:line="9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During 2008, the addition of NYMEX products and ClearPort services to our existing product lines was the primary contributor to an increase in the overall rate per contract when compared with 2007 as NYMEX products and CME ClearPort average rate per contract was $1.466 and $2.062 for the period August 23 through December 31, 2008. The increase in average rate per contract when compared with 2007 was also attributable to a lower portion of CME interest rate products as a percentage of total volume compared with CME equity products, which have a higher rate per contract. As a percentage of total volume, CME equity products trading volume increased by 9% in 2008, while CME interest rate products trading volume decreased by 10% when compared with 2007. In addition, the overall increase in the average rate per contract was partially attributable to the full year impact in 2008 of the average rate per contract for CBOT products. The average rate per contract for CBOT products in 2008 was $0.712. The increase in average rate per contract during 2008 was partially offset by a decrease in the average rate per contract for the E-mini S&amp;P futures and options because incremental volume exceeded the CME Globex fee cap.</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Volume/Rate Analysis</w:t>
      </w:r>
    </w:p>
    <w:p>
      <w:pPr>
        <w:spacing w:after="0" w:line="90"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Average rate per contract is impacted by our rate structure, which includes volume-based incentives; product mix; trading venue, and the percentage of trading volume executed by customers who are members compared with non-member customers. Due to the relationship between average rate per contract and volume, the change in revenues attributable to changes in each is only an approximation. Using the total volume and average rate per contract data provided in the table above, we estimate that clearing and transaction fees revenue increased by $376.1 million due to the rise in average rate per contract and decreased by $329.1 million due to the decline in total volume, resulting in a net increase in revenues in 2009 of $47.0 million when compared with 2008. In 2008, we estimate that clearing and transaction fees revenue increased by $517.5 million due to an increase in total volume and increased by $171.0 million due to the increase in average rate per contract, resulting in a total increase in revenues of $688.5 million when compared with 2007.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bill a substantial portion of our clearing and transaction fees to our clearing firms. The majority of clearing and transaction fees received from clearing firms represent charges for trades executed and cleared on behalf of their customers. As of December 31, 2009, we had approximately 140 clearing firms. One firm represented 11% and one firm represented 10% of our clearing and transaction fees revenue in 2009. One firm represented 12% and one firm represented 10% of our clearing and transaction fee revenue in 2008. In 2007, one firm represented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69" w:name="page70"/>
    <w:bookmarkEnd w:id="69"/>
    <w:p>
      <w:pPr>
        <w:jc w:val="both"/>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approximately 11% of clearing and transaction fees revenue. Should a clearing firm withdraw, we believe that the customer portion of the firm’s trading activity would likely transfer to another clearing firm of the exchange. Therefore, we do not believe we are exposed to significant risk from the loss of revenue received from a particular clearing firm.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Quotation Data Fees. </w:t>
      </w:r>
      <w:r>
        <w:rPr>
          <w:rFonts w:ascii="Arial" w:cs="Arial" w:eastAsia="Arial" w:hAnsi="Arial"/>
          <w:sz w:val="18"/>
          <w:szCs w:val="18"/>
          <w:color w:val="auto"/>
        </w:rPr>
        <w:t>The increase in revenues in the periods presented were attributable to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ind w:left="2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57"/>
              <w:spacing w:after="0" w:line="129" w:lineRule="exact"/>
              <w:rPr>
                <w:sz w:val="20"/>
                <w:szCs w:val="20"/>
                <w:color w:val="auto"/>
              </w:rPr>
            </w:pPr>
            <w:r>
              <w:rPr>
                <w:rFonts w:ascii="Arial" w:cs="Arial" w:eastAsia="Arial" w:hAnsi="Arial"/>
                <w:sz w:val="14"/>
                <w:szCs w:val="14"/>
                <w:b w:val="1"/>
                <w:bCs w:val="1"/>
                <w:color w:val="auto"/>
                <w:w w:val="94"/>
              </w:rPr>
              <w:t>2009-</w:t>
            </w:r>
          </w:p>
        </w:tc>
        <w:tc>
          <w:tcPr>
            <w:tcW w:w="3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4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 except monthly fee per device)</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7"/>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estimated monthly basic device screen count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414,000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349,000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219,000</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65,000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Basic device monthly fee per device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increase in revenues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Due to an increase in screen counts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43.4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Due to an increase in monthly fee per device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Data feed surcharges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Vendor licensing fees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Vendor audit assessments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CME, CBOT and NYMEX services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CMA services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Incremental revenues of $59.2 million and $36.0 million generated from the NYMEX services in 2009 and 2008, which are included in the table above, contributed to the increase in overall revenues. In 2009, incremental revenues from NYMEX were partially offset by a decrease in CME and CBOT revenues when compared with 2008. Average basic device screen counts for existing CME and CBOT customers declined in 2009 due largely to cost-cutting initiatives at customer firms. The decrease in vendor audit assessments in 2009 was due to a $4.4 million assessment recognized in 2008 as a result of an audit of customer-reported device counts. This represented revenue that would have otherwise been recognized in prior periods. Revenues from CMA services include fees for data services provided to CMA customers subsequent to our acquisition of CMA in March 2008.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2010, all users of our basic service will pay $61 per month for each device.</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two largest resellers of our market data represented approximately 55%, 56% and 67% of our quotation data fees in 2009, 2008 and 2007, respectively.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quotation data fees directly to us.</w:t>
      </w:r>
    </w:p>
    <w:p>
      <w:pPr>
        <w:spacing w:after="0" w:line="10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color w:val="auto"/>
        </w:rPr>
        <w:t xml:space="preserve">Processing Services. </w:t>
      </w:r>
      <w:r>
        <w:rPr>
          <w:rFonts w:ascii="Arial" w:cs="Arial" w:eastAsia="Arial" w:hAnsi="Arial"/>
          <w:sz w:val="18"/>
          <w:szCs w:val="18"/>
          <w:color w:val="auto"/>
        </w:rPr>
        <w:t>The decrease in revenues over the periods presented was attributable to the termination of our prior service agreements with CBOT and</w:t>
      </w:r>
      <w:r>
        <w:rPr>
          <w:rFonts w:ascii="Arial" w:cs="Arial" w:eastAsia="Arial" w:hAnsi="Arial"/>
          <w:sz w:val="18"/>
          <w:szCs w:val="18"/>
          <w:b w:val="1"/>
          <w:bCs w:val="1"/>
          <w:color w:val="auto"/>
        </w:rPr>
        <w:t xml:space="preserve"> </w:t>
      </w:r>
      <w:r>
        <w:rPr>
          <w:rFonts w:ascii="Arial" w:cs="Arial" w:eastAsia="Arial" w:hAnsi="Arial"/>
          <w:sz w:val="18"/>
          <w:szCs w:val="18"/>
          <w:color w:val="auto"/>
        </w:rPr>
        <w:t>NYMEX as a result of the mergers. In 2008 and 2007, we recognized revenue of $45.7 million and $56.4 million from our trade matching agreement with NYMEX, which was terminated on August 22, 2008. Our clearing agreement with CBOT, which was terminated on July 12, 2007, generated revenues of $48.2 million in 2007. In addition, the operations of FXMS terminated in the fourth quarter of 2008. As a result, we recognized incremental revenues of $6.4 million, when compared with 2007, primarily related to fees paid by FXMS for clearing and trade matching services which would have otherwise been recognized through January 2012.</w:t>
      </w:r>
    </w:p>
    <w:p>
      <w:pPr>
        <w:spacing w:after="0" w:line="139" w:lineRule="exact"/>
        <w:rPr>
          <w:sz w:val="20"/>
          <w:szCs w:val="20"/>
          <w:color w:val="auto"/>
        </w:rPr>
      </w:pPr>
    </w:p>
    <w:p>
      <w:pPr>
        <w:ind w:right="40"/>
        <w:spacing w:after="0" w:line="378" w:lineRule="auto"/>
        <w:rPr>
          <w:sz w:val="20"/>
          <w:szCs w:val="20"/>
          <w:color w:val="auto"/>
        </w:rPr>
      </w:pPr>
      <w:r>
        <w:rPr>
          <w:rFonts w:ascii="Arial" w:cs="Arial" w:eastAsia="Arial" w:hAnsi="Arial"/>
          <w:sz w:val="15"/>
          <w:szCs w:val="15"/>
          <w:b w:val="1"/>
          <w:bCs w:val="1"/>
          <w:color w:val="auto"/>
        </w:rPr>
        <w:t xml:space="preserve">Access and Communication Fees. </w:t>
      </w:r>
      <w:r>
        <w:rPr>
          <w:rFonts w:ascii="Arial" w:cs="Arial" w:eastAsia="Arial" w:hAnsi="Arial"/>
          <w:sz w:val="15"/>
          <w:szCs w:val="15"/>
          <w:color w:val="auto"/>
        </w:rPr>
        <w:t>The increase in revenues from 2007 to 2008 was attributable to the telecommunication services provided to CBOT customers</w:t>
      </w:r>
      <w:r>
        <w:rPr>
          <w:rFonts w:ascii="Arial" w:cs="Arial" w:eastAsia="Arial" w:hAnsi="Arial"/>
          <w:sz w:val="15"/>
          <w:szCs w:val="15"/>
          <w:b w:val="1"/>
          <w:bCs w:val="1"/>
          <w:color w:val="auto"/>
        </w:rPr>
        <w:t xml:space="preserve"> </w:t>
      </w:r>
      <w:r>
        <w:rPr>
          <w:rFonts w:ascii="Arial" w:cs="Arial" w:eastAsia="Arial" w:hAnsi="Arial"/>
          <w:sz w:val="15"/>
          <w:szCs w:val="15"/>
          <w:color w:val="auto"/>
        </w:rPr>
        <w:t>subsequent to our merger with CBOT Holdings in July 2007. The ongoing upgrade of customer bandwidth connections and expansion of our co-location program</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80" w:right="239" w:bottom="1440" w:gutter="0" w:footer="0" w:header="0"/>
        </w:sectPr>
      </w:pPr>
    </w:p>
    <w:bookmarkStart w:id="70" w:name="page71"/>
    <w:bookmarkEnd w:id="70"/>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contributed to growth in revenues from 2007 through 2009. The increase in 2009 when compared with 2008 was partially offset by a decrease in trading floor-related fees resulting from the consolidation of our Chicago trading floors in mid-2008.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Revenues. </w:t>
      </w:r>
      <w:r>
        <w:rPr>
          <w:rFonts w:ascii="Arial" w:cs="Arial" w:eastAsia="Arial" w:hAnsi="Arial"/>
          <w:sz w:val="18"/>
          <w:szCs w:val="18"/>
          <w:color w:val="auto"/>
        </w:rPr>
        <w:t>Annual increases (decreases) in other revenues consisted primarily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680" w:type="dxa"/>
            <w:vAlign w:val="bottom"/>
            <w:gridSpan w:val="4"/>
          </w:tcPr>
          <w:p>
            <w:pPr>
              <w:ind w:left="160"/>
              <w:spacing w:after="0"/>
              <w:rPr>
                <w:sz w:val="20"/>
                <w:szCs w:val="20"/>
                <w:color w:val="auto"/>
              </w:rPr>
            </w:pPr>
            <w:r>
              <w:rPr>
                <w:rFonts w:ascii="Arial" w:cs="Arial" w:eastAsia="Arial" w:hAnsi="Arial"/>
                <w:sz w:val="14"/>
                <w:szCs w:val="14"/>
                <w:b w:val="1"/>
                <w:bCs w:val="1"/>
                <w:color w:val="auto"/>
                <w:w w:val="96"/>
              </w:rPr>
              <w:t>Year-over-Year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2008-</w:t>
            </w:r>
          </w:p>
        </w:tc>
        <w:tc>
          <w:tcPr>
            <w:tcW w:w="8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9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1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8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NYMEX rental income and other building-related revenues</w:t>
            </w:r>
          </w:p>
        </w:tc>
        <w:tc>
          <w:tcPr>
            <w:tcW w:w="404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$ 8.9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Interest Earnings Facility programs</w:t>
            </w:r>
          </w:p>
        </w:tc>
        <w:tc>
          <w:tcPr>
            <w:tcW w:w="4040" w:type="dxa"/>
            <w:vAlign w:val="bottom"/>
            <w:gridSpan w:val="3"/>
          </w:tcPr>
          <w:p>
            <w:pPr>
              <w:jc w:val="right"/>
              <w:ind w:right="880"/>
              <w:spacing w:after="0"/>
              <w:rPr>
                <w:sz w:val="20"/>
                <w:szCs w:val="20"/>
                <w:color w:val="auto"/>
              </w:rPr>
            </w:pPr>
            <w:r>
              <w:rPr>
                <w:rFonts w:ascii="Arial" w:cs="Arial" w:eastAsia="Arial" w:hAnsi="Arial"/>
                <w:sz w:val="18"/>
                <w:szCs w:val="18"/>
                <w:color w:val="auto"/>
              </w:rPr>
              <w:t>0.7</w:t>
            </w: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CBOT rental income and other building-related revenues</w:t>
            </w:r>
          </w:p>
        </w:tc>
        <w:tc>
          <w:tcPr>
            <w:tcW w:w="404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FXMS</w:t>
            </w:r>
          </w:p>
        </w:tc>
        <w:tc>
          <w:tcPr>
            <w:tcW w:w="4040" w:type="dxa"/>
            <w:vAlign w:val="bottom"/>
            <w:gridSpan w:val="3"/>
          </w:tcPr>
          <w:p>
            <w:pPr>
              <w:jc w:val="right"/>
              <w:ind w:right="820"/>
              <w:spacing w:after="0"/>
              <w:rPr>
                <w:sz w:val="20"/>
                <w:szCs w:val="20"/>
                <w:color w:val="auto"/>
              </w:rPr>
            </w:pPr>
            <w:r>
              <w:rPr>
                <w:rFonts w:ascii="Arial" w:cs="Arial" w:eastAsia="Arial" w:hAnsi="Arial"/>
                <w:sz w:val="18"/>
                <w:szCs w:val="18"/>
                <w:color w:val="auto"/>
              </w:rPr>
              <w:t>(1.9)</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From 2007 to 2009, the IEF programs generated additional revenues due to an increase in the average funds invested by our clearing firm members in these programs. In addition, revenues generated from CBOT’s building operations declined in 2009 as a result of a tenant termination fee recognized in the fourth quarter of 2008. Due to the termination of FXMS’s operations in the fourth quarter of 2008, we recognized additional revenues for fees paid by FXMS for billing and regulatory services. This contributed to lower revenues in 2009 and higher revenues in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4"/>
              </w:rPr>
              <w:t>Year-over-Year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Change</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2009-</w:t>
            </w:r>
          </w:p>
        </w:tc>
        <w:tc>
          <w:tcPr>
            <w:tcW w:w="54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4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9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2007</w:t>
            </w:r>
          </w:p>
        </w:tc>
        <w:tc>
          <w:tcPr>
            <w:tcW w:w="760" w:type="dxa"/>
            <w:vAlign w:val="bottom"/>
            <w:gridSpan w:val="4"/>
          </w:tcPr>
          <w:p>
            <w:pPr>
              <w:jc w:val="right"/>
              <w:spacing w:after="0"/>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4"/>
                <w:szCs w:val="14"/>
                <w:color w:val="auto"/>
              </w:rPr>
            </w:pPr>
          </w:p>
        </w:tc>
        <w:tc>
          <w:tcPr>
            <w:tcW w:w="400" w:type="dxa"/>
            <w:vAlign w:val="bottom"/>
            <w:gridSpan w:val="2"/>
          </w:tcPr>
          <w:p>
            <w:pPr>
              <w:ind w:left="100"/>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351.0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$317.6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300" w:type="dxa"/>
            <w:vAlign w:val="bottom"/>
            <w:gridSpan w:val="5"/>
            <w:shd w:val="clear" w:color="auto" w:fill="CCEEFF"/>
          </w:tcPr>
          <w:p>
            <w:pPr>
              <w:jc w:val="right"/>
              <w:ind w:right="332"/>
              <w:spacing w:after="0"/>
              <w:rPr>
                <w:sz w:val="20"/>
                <w:szCs w:val="20"/>
                <w:color w:val="auto"/>
              </w:rPr>
            </w:pPr>
            <w:r>
              <w:rPr>
                <w:rFonts w:ascii="Arial" w:cs="Arial" w:eastAsia="Arial" w:hAnsi="Arial"/>
                <w:sz w:val="18"/>
                <w:szCs w:val="18"/>
                <w:color w:val="auto"/>
              </w:rPr>
              <w:t>11%</w:t>
            </w: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Communications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47.0</w:t>
            </w:r>
          </w:p>
        </w:tc>
        <w:tc>
          <w:tcPr>
            <w:tcW w:w="500" w:type="dxa"/>
            <w:vAlign w:val="bottom"/>
          </w:tcPr>
          <w:p>
            <w:pPr>
              <w:jc w:val="right"/>
              <w:spacing w:after="0"/>
              <w:rPr>
                <w:sz w:val="20"/>
                <w:szCs w:val="20"/>
                <w:color w:val="auto"/>
              </w:rPr>
            </w:pPr>
            <w:r>
              <w:rPr>
                <w:rFonts w:ascii="Arial" w:cs="Arial" w:eastAsia="Arial" w:hAnsi="Arial"/>
                <w:sz w:val="18"/>
                <w:szCs w:val="18"/>
                <w:color w:val="auto"/>
              </w:rPr>
              <w:t>52.3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1300" w:type="dxa"/>
            <w:vAlign w:val="bottom"/>
            <w:gridSpan w:val="5"/>
          </w:tcPr>
          <w:p>
            <w:pPr>
              <w:jc w:val="right"/>
              <w:ind w:right="412"/>
              <w:spacing w:after="0"/>
              <w:rPr>
                <w:sz w:val="20"/>
                <w:szCs w:val="20"/>
                <w:color w:val="auto"/>
              </w:rPr>
            </w:pPr>
            <w:r>
              <w:rPr>
                <w:rFonts w:ascii="Arial" w:cs="Arial" w:eastAsia="Arial" w:hAnsi="Arial"/>
                <w:sz w:val="18"/>
                <w:szCs w:val="18"/>
                <w:color w:val="auto"/>
              </w:rPr>
              <w:t>(10)</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300" w:type="dxa"/>
            <w:vAlign w:val="bottom"/>
            <w:gridSpan w:val="5"/>
            <w:shd w:val="clear" w:color="auto" w:fill="CCEEFF"/>
          </w:tcPr>
          <w:p>
            <w:pPr>
              <w:jc w:val="right"/>
              <w:ind w:right="412"/>
              <w:spacing w:after="0"/>
              <w:rPr>
                <w:sz w:val="20"/>
                <w:szCs w:val="20"/>
                <w:color w:val="auto"/>
              </w:rPr>
            </w:pPr>
            <w:r>
              <w:rPr>
                <w:rFonts w:ascii="Arial" w:cs="Arial" w:eastAsia="Arial" w:hAnsi="Arial"/>
                <w:sz w:val="18"/>
                <w:szCs w:val="18"/>
                <w:color w:val="auto"/>
              </w:rPr>
              <w:t>(23)</w:t>
            </w: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Professional fees and outside services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85.1</w:t>
            </w:r>
          </w:p>
        </w:tc>
        <w:tc>
          <w:tcPr>
            <w:tcW w:w="500" w:type="dxa"/>
            <w:vAlign w:val="bottom"/>
          </w:tcPr>
          <w:p>
            <w:pPr>
              <w:jc w:val="right"/>
              <w:spacing w:after="0"/>
              <w:rPr>
                <w:sz w:val="20"/>
                <w:szCs w:val="20"/>
                <w:color w:val="auto"/>
              </w:rPr>
            </w:pPr>
            <w:r>
              <w:rPr>
                <w:rFonts w:ascii="Arial" w:cs="Arial" w:eastAsia="Arial" w:hAnsi="Arial"/>
                <w:sz w:val="18"/>
                <w:szCs w:val="18"/>
                <w:color w:val="auto"/>
              </w:rPr>
              <w:t>71.9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125.1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5"/>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Depreciation and amortization</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126.3</w:t>
            </w:r>
          </w:p>
        </w:tc>
        <w:tc>
          <w:tcPr>
            <w:tcW w:w="500" w:type="dxa"/>
            <w:vAlign w:val="bottom"/>
          </w:tcPr>
          <w:p>
            <w:pPr>
              <w:jc w:val="right"/>
              <w:spacing w:after="0"/>
              <w:rPr>
                <w:sz w:val="20"/>
                <w:szCs w:val="20"/>
                <w:color w:val="auto"/>
              </w:rPr>
            </w:pPr>
            <w:r>
              <w:rPr>
                <w:rFonts w:ascii="Arial" w:cs="Arial" w:eastAsia="Arial" w:hAnsi="Arial"/>
                <w:sz w:val="18"/>
                <w:szCs w:val="18"/>
                <w:color w:val="auto"/>
              </w:rPr>
              <w:t>137.3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105.7</w:t>
            </w:r>
          </w:p>
        </w:tc>
        <w:tc>
          <w:tcPr>
            <w:tcW w:w="1300" w:type="dxa"/>
            <w:vAlign w:val="bottom"/>
            <w:gridSpan w:val="5"/>
          </w:tcPr>
          <w:p>
            <w:pPr>
              <w:jc w:val="right"/>
              <w:ind w:right="412"/>
              <w:spacing w:after="0"/>
              <w:rPr>
                <w:sz w:val="20"/>
                <w:szCs w:val="20"/>
                <w:color w:val="auto"/>
              </w:rPr>
            </w:pPr>
            <w:r>
              <w:rPr>
                <w:rFonts w:ascii="Arial" w:cs="Arial" w:eastAsia="Arial" w:hAnsi="Arial"/>
                <w:sz w:val="18"/>
                <w:szCs w:val="18"/>
                <w:color w:val="auto"/>
              </w:rPr>
              <w:t>(8)</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5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Licensing and other fee agreements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89.2</w:t>
            </w:r>
          </w:p>
        </w:tc>
        <w:tc>
          <w:tcPr>
            <w:tcW w:w="500" w:type="dxa"/>
            <w:vAlign w:val="bottom"/>
          </w:tcPr>
          <w:p>
            <w:pPr>
              <w:jc w:val="right"/>
              <w:spacing w:after="0"/>
              <w:rPr>
                <w:sz w:val="20"/>
                <w:szCs w:val="20"/>
                <w:color w:val="auto"/>
              </w:rPr>
            </w:pPr>
            <w:r>
              <w:rPr>
                <w:rFonts w:ascii="Arial" w:cs="Arial" w:eastAsia="Arial" w:hAnsi="Arial"/>
                <w:sz w:val="18"/>
                <w:szCs w:val="18"/>
                <w:color w:val="auto"/>
              </w:rPr>
              <w:t>70.3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27</w:t>
            </w:r>
          </w:p>
        </w:tc>
        <w:tc>
          <w:tcPr>
            <w:tcW w:w="540" w:type="dxa"/>
            <w:vAlign w:val="bottom"/>
          </w:tcPr>
          <w:p>
            <w:pPr>
              <w:spacing w:after="0"/>
              <w:rPr>
                <w:sz w:val="18"/>
                <w:szCs w:val="18"/>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Other</w:t>
            </w:r>
          </w:p>
        </w:tc>
        <w:tc>
          <w:tcPr>
            <w:tcW w:w="1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300" w:type="dxa"/>
            <w:vAlign w:val="bottom"/>
            <w:gridSpan w:val="5"/>
          </w:tcPr>
          <w:p>
            <w:pPr>
              <w:jc w:val="right"/>
              <w:ind w:right="412"/>
              <w:spacing w:after="0"/>
              <w:rPr>
                <w:sz w:val="20"/>
                <w:szCs w:val="20"/>
                <w:color w:val="auto"/>
              </w:rPr>
            </w:pPr>
            <w:r>
              <w:rPr>
                <w:rFonts w:ascii="Arial" w:cs="Arial" w:eastAsia="Arial" w:hAnsi="Arial"/>
                <w:sz w:val="18"/>
                <w:szCs w:val="18"/>
                <w:color w:val="auto"/>
              </w:rPr>
              <w:t>(24)</w:t>
            </w:r>
          </w:p>
        </w:tc>
        <w:tc>
          <w:tcPr>
            <w:tcW w:w="500" w:type="dxa"/>
            <w:vAlign w:val="bottom"/>
            <w:gridSpan w:val="3"/>
          </w:tcPr>
          <w:p>
            <w:pPr>
              <w:jc w:val="right"/>
              <w:ind w:right="1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1,023.7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978.8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704.2</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gridSpan w:val="2"/>
          </w:tcPr>
          <w:p>
            <w:pPr>
              <w:spacing w:after="0"/>
              <w:rPr>
                <w:sz w:val="8"/>
                <w:szCs w:val="8"/>
                <w:color w:val="auto"/>
              </w:rPr>
            </w:pPr>
          </w:p>
        </w:tc>
        <w:tc>
          <w:tcPr>
            <w:tcW w:w="39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5140" w:type="dxa"/>
            <w:vAlign w:val="bottom"/>
            <w:gridSpan w:val="4"/>
          </w:tcPr>
          <w:p>
            <w:pPr>
              <w:spacing w:after="0"/>
              <w:rPr>
                <w:sz w:val="20"/>
                <w:szCs w:val="20"/>
                <w:color w:val="auto"/>
              </w:rPr>
            </w:pPr>
            <w:r>
              <w:rPr>
                <w:rFonts w:ascii="Arial" w:cs="Arial" w:eastAsia="Arial" w:hAnsi="Arial"/>
                <w:sz w:val="18"/>
                <w:szCs w:val="18"/>
                <w:color w:val="auto"/>
              </w:rPr>
              <w:t>n.m. not meaningful</w:t>
            </w: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120" w:type="dxa"/>
            <w:vAlign w:val="bottom"/>
            <w:gridSpan w:val="8"/>
          </w:tcPr>
          <w:p>
            <w:pPr>
              <w:spacing w:after="0"/>
              <w:rPr>
                <w:sz w:val="20"/>
                <w:szCs w:val="20"/>
                <w:color w:val="auto"/>
              </w:rPr>
            </w:pPr>
            <w:r>
              <w:rPr>
                <w:rFonts w:ascii="Arial" w:cs="Arial" w:eastAsia="Arial" w:hAnsi="Arial"/>
                <w:sz w:val="18"/>
                <w:szCs w:val="18"/>
                <w:b w:val="1"/>
                <w:bCs w:val="1"/>
                <w:color w:val="auto"/>
                <w:w w:val="92"/>
              </w:rPr>
              <w:t xml:space="preserve">Compensation and Benefits. </w:t>
            </w:r>
            <w:r>
              <w:rPr>
                <w:rFonts w:ascii="Arial" w:cs="Arial" w:eastAsia="Arial" w:hAnsi="Arial"/>
                <w:sz w:val="18"/>
                <w:szCs w:val="18"/>
                <w:color w:val="auto"/>
                <w:w w:val="92"/>
              </w:rPr>
              <w:t>Annual increases (decreases) in expenses consisted primarily of the following:</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8"/>
          </w:tcPr>
          <w:p>
            <w:pPr>
              <w:jc w:val="right"/>
              <w:ind w:right="260"/>
              <w:spacing w:after="0"/>
              <w:rPr>
                <w:sz w:val="20"/>
                <w:szCs w:val="20"/>
                <w:color w:val="auto"/>
              </w:rPr>
            </w:pPr>
            <w:r>
              <w:rPr>
                <w:rFonts w:ascii="Arial" w:cs="Arial" w:eastAsia="Arial" w:hAnsi="Arial"/>
                <w:sz w:val="14"/>
                <w:szCs w:val="14"/>
                <w:b w:val="1"/>
                <w:bCs w:val="1"/>
                <w:color w:val="auto"/>
                <w:w w:val="95"/>
              </w:rPr>
              <w:t>Year-over-Year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2009-</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gridSpan w:val="3"/>
          </w:tcPr>
          <w:p>
            <w:pPr>
              <w:ind w:left="100"/>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4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headcount</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5"/>
              </w:rPr>
              <w:t>$ 45.5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Non-qualified deferred compensation plan</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salaries, benefits and employer taxes</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Bonus</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rPr>
              <w:t>(4.1)</w:t>
            </w:r>
          </w:p>
        </w:tc>
        <w:tc>
          <w:tcPr>
            <w:tcW w:w="5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00" w:right="32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Average headcount increased by 10% or about 200 employees in 2009 and 22% or about 380 employees in 2008. The increases resulted from the addition of approximately 400 employees in our merger with NYMEX Holdings and approximately 690 employees in our merger with CBOT Holdings,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71" w:name="page72"/>
    <w:bookmarkEnd w:id="71"/>
    <w:p>
      <w:pPr>
        <w:ind w:left="920" w:right="36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impacts of which were partially offset by our restructuring plans. Additionally, headcount increased by 50 employees as a result of the CMA acquisition in March 2008. As of December 31, 2009, 2008 and 2007, we had approximately 2,260, 2,300 and 1,970 employees, respectively.</w:t>
      </w:r>
    </w:p>
    <w:p>
      <w:pPr>
        <w:spacing w:after="0" w:line="18" w:lineRule="exact"/>
        <w:rPr>
          <w:sz w:val="20"/>
          <w:szCs w:val="20"/>
          <w:color w:val="auto"/>
        </w:rPr>
      </w:pPr>
    </w:p>
    <w:p>
      <w:pPr>
        <w:ind w:left="90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increase in our non-qualified deferred compensation plan liability in 2009 also contributed to an increase in expenses when compared with 2008. In 2008 when compared with 2007, the decrease in our liability contributed to a decrease in expenses. These impacts do not affect net income because of an equal and offsetting change in investment income.</w:t>
      </w:r>
    </w:p>
    <w:p>
      <w:pPr>
        <w:spacing w:after="0" w:line="59"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Salary increases and rising pension and healthcare costs contributed to increases in average salaries, benefits and employer taxes from 2007 to 2009. Salary increases in 2009 were largely due to staff promotions.</w:t>
      </w:r>
    </w:p>
    <w:p>
      <w:pPr>
        <w:spacing w:after="0" w:line="50"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Bonus expense increased in 2009 due primarily to an increase in headcount during the year largely offset by a decline in performance relative to our 2009 cash earnings target compared with 2008 relative to our 2008 cash earnings target. The increases in expenses in 2008 were partially offset by a decrease in bonus expense due primarily to a decline in performance relative to our 2008 cash earnings target compared with 2007 relative to our 2007 cash earnings target.</w:t>
      </w:r>
    </w:p>
    <w:p>
      <w:pPr>
        <w:spacing w:after="0" w:line="62" w:lineRule="exact"/>
        <w:rPr>
          <w:rFonts w:ascii="Arial" w:cs="Arial" w:eastAsia="Arial" w:hAnsi="Arial"/>
          <w:sz w:val="18"/>
          <w:szCs w:val="18"/>
          <w:color w:val="auto"/>
        </w:rPr>
      </w:pPr>
    </w:p>
    <w:p>
      <w:pPr>
        <w:ind w:left="900" w:right="60" w:hanging="325"/>
        <w:spacing w:after="0" w:line="323" w:lineRule="auto"/>
        <w:tabs>
          <w:tab w:leader="none" w:pos="9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Increases in total expense in 2009 were partially offset by a decrease in stock-based compensation due to our decision to delay annual stock grants for 2009 until the third quarter. The additional expense related to the June 2008 grant and the conversion of stock options previously granted to NYMEX Holdings’ employees partially offset the impact of this delay. Stock-based compensation increased in 2008 due primarily to the accelerated vesting of stock options previously granted to NYMEX Holdings’ employees and the full impact of the expense related to the June 2007 grant.</w:t>
      </w:r>
    </w:p>
    <w:p>
      <w:pPr>
        <w:spacing w:after="0" w:line="9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 xml:space="preserve">Communications. </w:t>
      </w:r>
      <w:r>
        <w:rPr>
          <w:rFonts w:ascii="Arial" w:cs="Arial" w:eastAsia="Arial" w:hAnsi="Arial"/>
          <w:sz w:val="18"/>
          <w:szCs w:val="18"/>
          <w:color w:val="auto"/>
        </w:rPr>
        <w:t>The elimination of costs incurred to support our CBOT metal products on e-CBOT, CBOT’s legacy electronic trading platform that was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as of July 2008, as well as improved network efficiencies as a result of the consolidation of trading systems and floor operations in Chicago contributed to a decline in expenses in 2009 when compared with 2008. The decrease was partially offset by incremental expenses of $3.0 million generated by NYMEX operations in 2009 when compared with 2008.</w:t>
      </w:r>
    </w:p>
    <w:p>
      <w:pPr>
        <w:spacing w:after="0" w:line="14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increase in expenses in 2008 when compared with 2007 was primarily due to the costs incurred to upgrade bandwidth for customers and consolidate our trading floor operations. In addition, we incurred a full year of NYMEX communications expense during 2009.</w:t>
      </w:r>
    </w:p>
    <w:p>
      <w:pPr>
        <w:spacing w:after="0" w:line="126" w:lineRule="exact"/>
        <w:rPr>
          <w:sz w:val="20"/>
          <w:szCs w:val="20"/>
          <w:color w:val="auto"/>
        </w:rPr>
      </w:pPr>
    </w:p>
    <w:p>
      <w:pPr>
        <w:ind w:right="340"/>
        <w:spacing w:after="0" w:line="339" w:lineRule="auto"/>
        <w:rPr>
          <w:sz w:val="20"/>
          <w:szCs w:val="20"/>
          <w:color w:val="auto"/>
        </w:rPr>
      </w:pPr>
      <w:r>
        <w:rPr>
          <w:rFonts w:ascii="Arial" w:cs="Arial" w:eastAsia="Arial" w:hAnsi="Arial"/>
          <w:sz w:val="16"/>
          <w:szCs w:val="16"/>
          <w:b w:val="1"/>
          <w:bCs w:val="1"/>
          <w:color w:val="auto"/>
        </w:rPr>
        <w:t xml:space="preserve">Technology Support Services. </w:t>
      </w:r>
      <w:r>
        <w:rPr>
          <w:rFonts w:ascii="Arial" w:cs="Arial" w:eastAsia="Arial" w:hAnsi="Arial"/>
          <w:sz w:val="16"/>
          <w:szCs w:val="16"/>
          <w:color w:val="auto"/>
        </w:rPr>
        <w:t>The decreases in expenses in 2009 when compared with 2008 were largely due to the termination of maintenance and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for e-CBOT in July 2008. The declines in expenses were partially offset by incremental expenses generated by NYMEX operations.</w:t>
      </w:r>
    </w:p>
    <w:p>
      <w:pPr>
        <w:spacing w:after="0" w:line="8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increase in expenses in 2008 when compared with 2007 was due to increases in software and hardware maintenance contracts, including the maintenance and support of the e-CBOT electronic trading platform, and increases in software.</w:t>
      </w:r>
    </w:p>
    <w:p>
      <w:pPr>
        <w:spacing w:after="0" w:line="12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Professional Fees and Outside Services. </w:t>
      </w:r>
      <w:r>
        <w:rPr>
          <w:rFonts w:ascii="Arial" w:cs="Arial" w:eastAsia="Arial" w:hAnsi="Arial"/>
          <w:sz w:val="18"/>
          <w:szCs w:val="18"/>
          <w:color w:val="auto"/>
        </w:rPr>
        <w:t>Costs incurred to support various strategic initiatives, including our efforts to provide clearing services for credit</w:t>
      </w:r>
      <w:r>
        <w:rPr>
          <w:rFonts w:ascii="Arial" w:cs="Arial" w:eastAsia="Arial" w:hAnsi="Arial"/>
          <w:sz w:val="18"/>
          <w:szCs w:val="18"/>
          <w:b w:val="1"/>
          <w:bCs w:val="1"/>
          <w:color w:val="auto"/>
        </w:rPr>
        <w:t xml:space="preserve"> </w:t>
      </w:r>
      <w:r>
        <w:rPr>
          <w:rFonts w:ascii="Arial" w:cs="Arial" w:eastAsia="Arial" w:hAnsi="Arial"/>
          <w:sz w:val="18"/>
          <w:szCs w:val="18"/>
          <w:color w:val="auto"/>
        </w:rPr>
        <w:t>default swaps and other over-the-counter products, led to growth in expenses in 2009 when compared with 2008. In addition, the increase in expenses was attributable to consulting services and other outside services associated with ongoing NYMEX operations. The increase in 2009 was partially offset by a decrease in expenses as the result of additional temporary staffing and consulting services in 2008 due to infrastructure development, product support and various strategic initiatives.</w:t>
      </w:r>
    </w:p>
    <w:p>
      <w:pPr>
        <w:spacing w:after="0" w:line="14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2008, when compared with 2007, the increases in technology-related and other professional fees, net of amounts capitalized for internally developed software, were due primarily to consulting services used to supplement our merger integration efforts as well as non-capitalizable software development costs and expenses incurred to support our strategic initiatives.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80" w:right="259" w:bottom="1440" w:gutter="0" w:footer="0" w:header="0"/>
        </w:sectPr>
      </w:pPr>
    </w:p>
    <w:bookmarkStart w:id="72" w:name="page73"/>
    <w:bookmarkEnd w:id="72"/>
    <w:p>
      <w:pPr>
        <w:ind w:right="50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fees increased in 2008 when compared with 2007 due to class action lawsuits filed in connection with the NYMEX Holdings merger. The increase in expenses was partially offset by higher legal fees in 2007 due to litigation costs related to Louisiana Municipal Police Employee’s Retirement System (LAMPERS) and CBOE proceedings resulting from our merger with CBOT Holdings, as well as the ongoing antitrust suit filed by Eurex U.S.</w:t>
      </w:r>
    </w:p>
    <w:p>
      <w:pPr>
        <w:spacing w:after="0" w:line="101"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 xml:space="preserve">Amortization of Purchased Intangibles. </w:t>
      </w:r>
      <w:r>
        <w:rPr>
          <w:rFonts w:ascii="Arial" w:cs="Arial" w:eastAsia="Arial" w:hAnsi="Arial"/>
          <w:sz w:val="18"/>
          <w:szCs w:val="18"/>
          <w:color w:val="auto"/>
        </w:rPr>
        <w:t>Amortization increased from 2007 to 2009 due primarily to the amortization of intangible assets acquired in our</w:t>
      </w:r>
      <w:r>
        <w:rPr>
          <w:rFonts w:ascii="Arial" w:cs="Arial" w:eastAsia="Arial" w:hAnsi="Arial"/>
          <w:sz w:val="18"/>
          <w:szCs w:val="18"/>
          <w:b w:val="1"/>
          <w:bCs w:val="1"/>
          <w:color w:val="auto"/>
        </w:rPr>
        <w:t xml:space="preserve"> </w:t>
      </w:r>
      <w:r>
        <w:rPr>
          <w:rFonts w:ascii="Arial" w:cs="Arial" w:eastAsia="Arial" w:hAnsi="Arial"/>
          <w:sz w:val="18"/>
          <w:szCs w:val="18"/>
          <w:color w:val="auto"/>
        </w:rPr>
        <w:t>mergers with CBOT Holdings and NYMEX Holdings, completed in July 2007 and August 2008, respectively.</w:t>
      </w:r>
    </w:p>
    <w:p>
      <w:pPr>
        <w:spacing w:after="0" w:line="12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Declines in expenses in 2009, when compared with 2008, were attributable primarily to trading floor consolidation and systems</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in 2008 as well as capital expenditure reductions in 2009. The decreases were partially offset by incremental depreciation expense related to assets acquired in our merger with NYMEX Holdings in August 2008 and incremental depreciation expense on our new data center building that we have been depreciating since August 2009. Expenses increased in 2008 compared with 2007 due to assets acquired in our mergers with NYMEX Holdings and CBOT Holdings. In addition, we accelerated depreciation in 2008 on various CBOT technology-related and trading floor assets as well as certain NYMEX technology-related assets.</w:t>
      </w:r>
    </w:p>
    <w:p>
      <w:pPr>
        <w:spacing w:after="0" w:line="14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Property additions are summarized below. Technology-related assets include purchases of computers and related equipment, software, the cost of developing internal use software and the build-out of our data centers. The decrease in total property additions and technology-related assets as a percentage of total additions during 2009, when compared with 2008, was due to our efforts to reduce equipment and software purchases in 2009. This decrease was partially offset by an increase in purchases of assets associated with our new data center, which we began capitalizing in early 2008. Total additions related to our new data center for 2008 and 2009 totaled $83.6 million, including $50.2 million in 2009. The useful lives associated with the new data center range from 10 to 39 years. Increases in property additions in 2008, when compared with 2007, were due primarily to spending for the development of our new data center and the development of our Chicago office space.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Year-over-Year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Borders>
              <w:top w:val="single" w:sz="8" w:color="auto"/>
            </w:tcBorders>
          </w:tcPr>
          <w:p>
            <w:pPr>
              <w:jc w:val="right"/>
              <w:ind w:right="47"/>
              <w:spacing w:after="0" w:line="129"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26"/>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4"/>
                <w:szCs w:val="14"/>
                <w:color w:val="auto"/>
              </w:rPr>
            </w:pPr>
          </w:p>
        </w:tc>
        <w:tc>
          <w:tcPr>
            <w:tcW w:w="540" w:type="dxa"/>
            <w:vAlign w:val="bottom"/>
          </w:tcPr>
          <w:p>
            <w:pPr>
              <w:jc w:val="right"/>
              <w:ind w:right="67"/>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520" w:type="dxa"/>
            <w:vAlign w:val="bottom"/>
          </w:tcPr>
          <w:p>
            <w:pPr>
              <w:jc w:val="right"/>
              <w:ind w:right="4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Total property additions, including landlord-funded leasehold improvements</w:t>
            </w:r>
          </w:p>
        </w:tc>
        <w:tc>
          <w:tcPr>
            <w:tcW w:w="14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$157.9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$200.1</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$163.7</w:t>
            </w:r>
          </w:p>
        </w:tc>
        <w:tc>
          <w:tcPr>
            <w:tcW w:w="6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Technology-related assets as a percentage of total property additions</w:t>
            </w:r>
          </w:p>
        </w:tc>
        <w:tc>
          <w:tcPr>
            <w:tcW w:w="1480" w:type="dxa"/>
            <w:vAlign w:val="bottom"/>
            <w:gridSpan w:val="3"/>
          </w:tcPr>
          <w:p>
            <w:pPr>
              <w:jc w:val="right"/>
              <w:ind w:right="480"/>
              <w:spacing w:after="0"/>
              <w:rPr>
                <w:sz w:val="20"/>
                <w:szCs w:val="20"/>
                <w:color w:val="auto"/>
              </w:rPr>
            </w:pPr>
            <w:r>
              <w:rPr>
                <w:rFonts w:ascii="Arial" w:cs="Arial" w:eastAsia="Arial" w:hAnsi="Arial"/>
                <w:sz w:val="18"/>
                <w:szCs w:val="18"/>
                <w:color w:val="auto"/>
              </w:rPr>
              <w:t>65%</w:t>
            </w: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72%</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77%</w:t>
            </w: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Occupancy and Building Operations. </w:t>
      </w:r>
      <w:r>
        <w:rPr>
          <w:rFonts w:ascii="Arial" w:cs="Arial" w:eastAsia="Arial" w:hAnsi="Arial"/>
          <w:sz w:val="16"/>
          <w:szCs w:val="16"/>
          <w:color w:val="auto"/>
        </w:rPr>
        <w:t>Increases in expenses from 2007 to 2009 were attributable primarily to commercial real estate acquired in our merger</w:t>
      </w:r>
      <w:r>
        <w:rPr>
          <w:rFonts w:ascii="Arial" w:cs="Arial" w:eastAsia="Arial" w:hAnsi="Arial"/>
          <w:sz w:val="16"/>
          <w:szCs w:val="16"/>
          <w:b w:val="1"/>
          <w:bCs w:val="1"/>
          <w:color w:val="auto"/>
        </w:rPr>
        <w:t xml:space="preserve"> </w:t>
      </w:r>
      <w:r>
        <w:rPr>
          <w:rFonts w:ascii="Arial" w:cs="Arial" w:eastAsia="Arial" w:hAnsi="Arial"/>
          <w:sz w:val="16"/>
          <w:szCs w:val="16"/>
          <w:color w:val="auto"/>
        </w:rPr>
        <w:t>with NYMEX Holdings. Expenses associated with the acquired property include utilities, maintenance, property taxes and insurance expenses. These increases in 2009 were partially offset by a decrease resulting from a reduction in temporary space in our Chicago headquarters.</w:t>
      </w:r>
    </w:p>
    <w:p>
      <w:pPr>
        <w:spacing w:after="0" w:line="10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addition, rent expense increases in 2008, when compared with 2007, were due to additional office space in London, Hong Kong, Japan and Singapore as well as property acquired through the merger with CBOT Holdings. Additionally, the property for our new data center was purchased in 2008, resulting in increased occupancy expense.</w:t>
      </w:r>
    </w:p>
    <w:p>
      <w:pPr>
        <w:spacing w:after="0" w:line="134"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b w:val="1"/>
          <w:bCs w:val="1"/>
          <w:color w:val="auto"/>
        </w:rPr>
        <w:t xml:space="preserve">Licensing and Other Fee Agreements. </w:t>
      </w:r>
      <w:r>
        <w:rPr>
          <w:rFonts w:ascii="Arial" w:cs="Arial" w:eastAsia="Arial" w:hAnsi="Arial"/>
          <w:sz w:val="16"/>
          <w:szCs w:val="16"/>
          <w:color w:val="auto"/>
        </w:rPr>
        <w:t>The incremental expense generated from broker rebates, royalty fees and other licensing fees on NYMEX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contributed to the increases when compared with 2008. Total broker rebates were $39.3 million and $13.6 million in 2009 and 2008, respectively. Increases in 2009 were partially offset by decreases in licensing fees for E-mini and standard equity products of $8.4 million due to declines in trading volume. Fee sharing expenses also decreased $1.2 million in 2009 when compared with 2008 due primarily to the sale of CBOT metals products in September 2008.</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80" w:right="239" w:bottom="1440" w:gutter="0" w:footer="0" w:header="0"/>
        </w:sectPr>
      </w:pPr>
    </w:p>
    <w:bookmarkStart w:id="73" w:name="page74"/>
    <w:bookmarkEnd w:id="73"/>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2008, higher average daily trading volume for certain licensed products and additional royalty fees and broker rebates on NYMEX products contributed to additional expenses when compared with 2007. In addition, licensing fees on E-mini S&amp;P and on E-mini NASDAQ-100 products contributed to the increase in 2008.</w:t>
      </w:r>
    </w:p>
    <w:p>
      <w:pPr>
        <w:spacing w:after="0" w:line="134" w:lineRule="exact"/>
        <w:rPr>
          <w:sz w:val="20"/>
          <w:szCs w:val="20"/>
          <w:color w:val="auto"/>
        </w:rPr>
      </w:pPr>
    </w:p>
    <w:p>
      <w:pPr>
        <w:ind w:right="80"/>
        <w:spacing w:after="0" w:line="339" w:lineRule="auto"/>
        <w:rPr>
          <w:sz w:val="20"/>
          <w:szCs w:val="20"/>
          <w:color w:val="auto"/>
        </w:rPr>
      </w:pPr>
      <w:r>
        <w:rPr>
          <w:rFonts w:ascii="Arial" w:cs="Arial" w:eastAsia="Arial" w:hAnsi="Arial"/>
          <w:sz w:val="15"/>
          <w:szCs w:val="15"/>
          <w:b w:val="1"/>
          <w:bCs w:val="1"/>
          <w:color w:val="auto"/>
        </w:rPr>
        <w:t xml:space="preserve">Restructuring. </w:t>
      </w:r>
      <w:r>
        <w:rPr>
          <w:rFonts w:ascii="Arial" w:cs="Arial" w:eastAsia="Arial" w:hAnsi="Arial"/>
          <w:sz w:val="15"/>
          <w:szCs w:val="15"/>
          <w:color w:val="auto"/>
        </w:rPr>
        <w:t>This expense consisted primarily of severance to transitional CBOT and NYMEX employees, severance to CME employees, retention bonuses</w:t>
      </w:r>
      <w:r>
        <w:rPr>
          <w:rFonts w:ascii="Arial" w:cs="Arial" w:eastAsia="Arial" w:hAnsi="Arial"/>
          <w:sz w:val="15"/>
          <w:szCs w:val="15"/>
          <w:b w:val="1"/>
          <w:bCs w:val="1"/>
          <w:color w:val="auto"/>
        </w:rPr>
        <w:t xml:space="preserve"> </w:t>
      </w:r>
      <w:r>
        <w:rPr>
          <w:rFonts w:ascii="Arial" w:cs="Arial" w:eastAsia="Arial" w:hAnsi="Arial"/>
          <w:sz w:val="15"/>
          <w:szCs w:val="15"/>
          <w:color w:val="auto"/>
        </w:rPr>
        <w:t>and associated payroll taxes as well as outplacement costs and post-employment healthcare subsidies. The restructuring program related to the CBOT Holdings merger was substantially complete by July 2008. The restructuring program related to the NYMEX Holdings merger was substantially complete by August 2009.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Expenses. </w:t>
      </w:r>
      <w:r>
        <w:rPr>
          <w:rFonts w:ascii="Arial" w:cs="Arial" w:eastAsia="Arial" w:hAnsi="Arial"/>
          <w:sz w:val="18"/>
          <w:szCs w:val="18"/>
          <w:color w:val="auto"/>
        </w:rPr>
        <w:t>Annual increases (decreases) in other expenses consisted primarily of the following:</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60" w:type="dxa"/>
            <w:vAlign w:val="bottom"/>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7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4"/>
              </w:rPr>
              <w:t>2008-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7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 on Swapstream operations</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87"/>
              </w:rPr>
              <w:t>$(11.9)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Marketing, advertising and other costs due to the mergers and other strategic initiatives</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(9.0)</w:t>
            </w: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transaction (gains) losses primarily related to the Brazilian real and British pound</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CMA in-process research and development costs recorded in 2008</w:t>
            </w:r>
          </w:p>
        </w:tc>
        <w:tc>
          <w:tcPr>
            <w:tcW w:w="1240" w:type="dxa"/>
            <w:vAlign w:val="bottom"/>
            <w:gridSpan w:val="2"/>
          </w:tcPr>
          <w:p>
            <w:pPr>
              <w:jc w:val="right"/>
              <w:ind w:right="720"/>
              <w:spacing w:after="0"/>
              <w:rPr>
                <w:sz w:val="20"/>
                <w:szCs w:val="20"/>
                <w:color w:val="auto"/>
              </w:rPr>
            </w:pPr>
            <w:r>
              <w:rPr>
                <w:rFonts w:ascii="Arial" w:cs="Arial" w:eastAsia="Arial" w:hAnsi="Arial"/>
                <w:sz w:val="18"/>
                <w:szCs w:val="18"/>
                <w:color w:val="auto"/>
              </w:rPr>
              <w:t>(3.7)</w:t>
            </w: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sale of CBOT metals trading products recorded in 2008</w:t>
            </w:r>
          </w:p>
        </w:tc>
        <w:tc>
          <w:tcPr>
            <w:tcW w:w="12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In addition, the company’s expense reduction efforts contributed to the decreases in expenses in 2009 when compared with 2008. The decreases in expenses in 2009 were partially offset by incremental expenses incurred as part of the NYMEX Holdings merger, increases in other state and local taxes, bank fees and litigation settlements, including the CBOE ERP settlement. In 2008, a higher level of general and administrative expenses resulting from our mergers also contributed to an increase in expenses when compared with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4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2009-</w:t>
            </w:r>
          </w:p>
        </w:tc>
        <w:tc>
          <w:tcPr>
            <w:tcW w:w="7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2008-</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2009</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2007</w:t>
            </w:r>
          </w:p>
        </w:tc>
        <w:tc>
          <w:tcPr>
            <w:tcW w:w="60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2008</w:t>
            </w:r>
          </w:p>
        </w:tc>
        <w:tc>
          <w:tcPr>
            <w:tcW w:w="74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Impairment of long-term investments</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(274.5)</w:t>
            </w:r>
          </w:p>
        </w:tc>
        <w:tc>
          <w:tcPr>
            <w:tcW w:w="10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(83)</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(losses) on derivative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5"/>
              </w:rPr>
              <w:t>(100)</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Securities lending interest income</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121.5</w:t>
            </w:r>
          </w:p>
        </w:tc>
        <w:tc>
          <w:tcPr>
            <w:tcW w:w="60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(93)</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lending interest and other costs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(115.9)</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5"/>
              </w:rPr>
              <w:t>(100)</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Interest and other borrowing costs</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(133.9)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(3.6)</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137</w:t>
            </w:r>
          </w:p>
        </w:tc>
        <w:tc>
          <w:tcPr>
            <w:tcW w:w="74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Guarantee of exercise rights privileges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(17.2)</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Equity in losses of unconsolidated subsidiaries</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(14.0)</w:t>
            </w: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(79)</w:t>
            </w: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Non-Operating</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gridSpan w:val="2"/>
            <w:vMerge w:val="restart"/>
          </w:tcPr>
          <w:p>
            <w:pPr>
              <w:jc w:val="right"/>
              <w:ind w:right="680"/>
              <w:spacing w:after="0"/>
              <w:rPr>
                <w:sz w:val="20"/>
                <w:szCs w:val="20"/>
                <w:color w:val="auto"/>
              </w:rPr>
            </w:pPr>
            <w:r>
              <w:rPr>
                <w:rFonts w:ascii="Arial" w:cs="Arial" w:eastAsia="Arial" w:hAnsi="Arial"/>
                <w:sz w:val="18"/>
                <w:szCs w:val="18"/>
                <w:color w:val="auto"/>
              </w:rPr>
              <w:t>(55)</w:t>
            </w:r>
          </w:p>
        </w:tc>
        <w:tc>
          <w:tcPr>
            <w:tcW w:w="580" w:type="dxa"/>
            <w:vAlign w:val="bottom"/>
            <w:gridSpan w:val="2"/>
            <w:vMerge w:val="restart"/>
          </w:tcPr>
          <w:p>
            <w:pPr>
              <w:ind w:left="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22"/>
        </w:trPr>
        <w:tc>
          <w:tcPr>
            <w:tcW w:w="632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(151.6)</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(334.2)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43.9</w:t>
            </w:r>
          </w:p>
        </w:tc>
        <w:tc>
          <w:tcPr>
            <w:tcW w:w="6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not meaningful</w:t>
      </w:r>
    </w:p>
    <w:p>
      <w:pPr>
        <w:spacing w:after="0" w:line="16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Investment Income. </w:t>
      </w:r>
      <w:r>
        <w:rPr>
          <w:rFonts w:ascii="Arial" w:cs="Arial" w:eastAsia="Arial" w:hAnsi="Arial"/>
          <w:sz w:val="18"/>
          <w:szCs w:val="18"/>
          <w:color w:val="auto"/>
        </w:rPr>
        <w:t>From 2007 to 2009, investment income declined due primarily to decreases in market interest rates throughout 2008 resulting from rate</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reductions by the Federal Open Market Committee. The decline due to interest rates was partially offset by an increase in the invested portion of clearing firms’ cash from performance bonds and security deposits.</w:t>
      </w:r>
    </w:p>
    <w:p>
      <w:pPr>
        <w:spacing w:after="0" w:line="13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Annualized average rates of return and average investment balances indicated in the table below include the portion of clearing firms’ cash performance bonds and security deposits we chose to invest and other short-term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74" w:name="page75"/>
    <w:bookmarkEnd w:id="74"/>
    <w:p>
      <w:pPr>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classified as either cash and cash equivalents or marketable securities in our consolidated balance sheets. The increase in average investment balance for clearing firms’ cash during 2009, when compared with prior years, was a result of firms choosing to meet a greater proportion of their performance bond requirements with cash instead of securities. The average balance of other short-term investments is a function of anticipated or possible short-term cash needs, prevailing interest rates, our investment policy and alternative investment choices.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4"/>
              </w:rPr>
              <w:t>Year-over-Year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80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00" w:type="dxa"/>
            <w:vAlign w:val="bottom"/>
          </w:tcPr>
          <w:p>
            <w:pPr>
              <w:spacing w:after="0"/>
              <w:rPr>
                <w:sz w:val="14"/>
                <w:szCs w:val="14"/>
                <w:color w:val="auto"/>
              </w:rPr>
            </w:pPr>
          </w:p>
        </w:tc>
        <w:tc>
          <w:tcPr>
            <w:tcW w:w="520" w:type="dxa"/>
            <w:vAlign w:val="bottom"/>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2007</w:t>
            </w:r>
          </w:p>
        </w:tc>
        <w:tc>
          <w:tcPr>
            <w:tcW w:w="56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2009-2008</w:t>
            </w:r>
          </w:p>
        </w:tc>
        <w:tc>
          <w:tcPr>
            <w:tcW w:w="4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Invested portion of clearing firms’ cash:</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Annual average rate of return</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(1.92)%</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investment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4,434.4</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4,018.1</w:t>
            </w:r>
          </w:p>
        </w:tc>
        <w:tc>
          <w:tcPr>
            <w:tcW w:w="4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$ 143.2</w:t>
            </w:r>
          </w:p>
        </w:tc>
        <w:tc>
          <w:tcPr>
            <w:tcW w:w="0" w:type="dxa"/>
            <w:vAlign w:val="bottom"/>
          </w:tcPr>
          <w:p>
            <w:pPr>
              <w:spacing w:after="0"/>
              <w:rPr>
                <w:sz w:val="1"/>
                <w:szCs w:val="1"/>
                <w:color w:val="auto"/>
              </w:rPr>
            </w:pPr>
          </w:p>
        </w:tc>
      </w:tr>
      <w:tr>
        <w:trPr>
          <w:trHeight w:val="282"/>
        </w:trPr>
        <w:tc>
          <w:tcPr>
            <w:tcW w:w="5800" w:type="dxa"/>
            <w:vAlign w:val="bottom"/>
            <w:gridSpan w:val="3"/>
          </w:tcPr>
          <w:p>
            <w:pPr>
              <w:spacing w:after="0"/>
              <w:rPr>
                <w:sz w:val="20"/>
                <w:szCs w:val="20"/>
                <w:color w:val="auto"/>
              </w:rPr>
            </w:pPr>
            <w:r>
              <w:rPr>
                <w:rFonts w:ascii="Arial" w:cs="Arial" w:eastAsia="Arial" w:hAnsi="Arial"/>
                <w:sz w:val="18"/>
                <w:szCs w:val="18"/>
                <w:color w:val="auto"/>
              </w:rPr>
              <w:t>Change in income due to rate</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(85.2)</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income due to balance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4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2"/>
        </w:trPr>
        <w:tc>
          <w:tcPr>
            <w:tcW w:w="5800" w:type="dxa"/>
            <w:vAlign w:val="bottom"/>
            <w:gridSpan w:val="3"/>
          </w:tcPr>
          <w:p>
            <w:pPr>
              <w:spacing w:after="0"/>
              <w:rPr>
                <w:sz w:val="20"/>
                <w:szCs w:val="20"/>
                <w:color w:val="auto"/>
              </w:rPr>
            </w:pPr>
            <w:r>
              <w:rPr>
                <w:rFonts w:ascii="Arial" w:cs="Arial" w:eastAsia="Arial" w:hAnsi="Arial"/>
                <w:sz w:val="18"/>
                <w:szCs w:val="18"/>
                <w:b w:val="1"/>
                <w:bCs w:val="1"/>
                <w:color w:val="auto"/>
              </w:rPr>
              <w:t>Other short-term investments: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average rate of return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Average investment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479.9</w:t>
            </w: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1,082.2</w:t>
            </w: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w w:val="86"/>
              </w:rPr>
              <w:t>1,290.7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(602.3)</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80" w:type="dxa"/>
            <w:vAlign w:val="bottom"/>
          </w:tcPr>
          <w:p>
            <w:pPr>
              <w:spacing w:after="0"/>
              <w:rPr>
                <w:sz w:val="5"/>
                <w:szCs w:val="5"/>
                <w:color w:val="auto"/>
              </w:rPr>
            </w:pPr>
          </w:p>
        </w:tc>
        <w:tc>
          <w:tcPr>
            <w:tcW w:w="4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income due to rate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Change in income due to balance</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(17.3)</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spacing w:after="0" w:line="323" w:lineRule="auto"/>
        <w:rPr>
          <w:sz w:val="20"/>
          <w:szCs w:val="20"/>
          <w:color w:val="auto"/>
        </w:rPr>
      </w:pPr>
      <w:r>
        <w:rPr>
          <w:rFonts w:ascii="Arial" w:cs="Arial" w:eastAsia="Arial" w:hAnsi="Arial"/>
          <w:sz w:val="15"/>
          <w:szCs w:val="15"/>
          <w:color w:val="auto"/>
        </w:rPr>
        <w:t>The analysis presented in the table above does not include income (loss) on insurance contracts or gains (losses) on marketable securities related to our non-qualified deferred compensation plans. We recognized $4.5 million, $(8.2) million and $(2.2) million in gains (losses) on marketable securities associated with our deferred compensation plans in 2009, 2008, and 2007, respectively. We exclude the impact of the marketable securities related to our non-qualified deferred compensation plan from this analysis because gains and losses from these securities are offset by an equal amount of compensation and benefits expense.</w:t>
      </w:r>
    </w:p>
    <w:p>
      <w:pPr>
        <w:spacing w:after="0" w:line="9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Dividend income from our investments in BM&amp;FBOVESPA and TMX Group Inc. stock is also excluded from the table above. Dividend income was $15.8 million and $13.3 million in 2009 and 2008, respectively. We did not earn dividend income in 2007.</w:t>
      </w:r>
    </w:p>
    <w:p>
      <w:pPr>
        <w:spacing w:after="0" w:line="126"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Impairment of Long-Term Investments. </w:t>
      </w:r>
      <w:r>
        <w:rPr>
          <w:rFonts w:ascii="Arial" w:cs="Arial" w:eastAsia="Arial" w:hAnsi="Arial"/>
          <w:sz w:val="16"/>
          <w:szCs w:val="16"/>
          <w:color w:val="auto"/>
        </w:rPr>
        <w:t>We assess our equity investments for other-than-temporary impairment on a quarterly basis. At December 31, 2009 we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our investment in DME was impaired due to the excess of our carrying value over the estimated fair value. As a result we recognized an impairment charge of $23.6 million. At September 30, 2009, we determined that our investment in IMAREX was impaired due to an extended and significant decline in the market price of its stock. As a result we recognized an impairment charge of $22.4 million. During 2008 we determined that our investment in BM&amp;FBOVESPA was impaired due to an extended decline in the market price of BM&amp;F stock. As a result we recognized an impairment loss of $274.5 million.</w:t>
      </w:r>
    </w:p>
    <w:p>
      <w:pPr>
        <w:spacing w:after="0" w:line="10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color w:val="auto"/>
        </w:rPr>
        <w:t xml:space="preserve">Gains (Losses) on Derivative Investments. </w:t>
      </w:r>
      <w:r>
        <w:rPr>
          <w:rFonts w:ascii="Arial" w:cs="Arial" w:eastAsia="Arial" w:hAnsi="Arial"/>
          <w:sz w:val="16"/>
          <w:szCs w:val="16"/>
          <w:color w:val="auto"/>
        </w:rPr>
        <w:t>The net gain (loss) on derivative investments recognized in 2008 was primarily due to the loss on a put option</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purchased to hedge our risk of changes in the fair value of BM&amp;FBOVESPA stock resulting from foreign currency exchange rate fluctuations between the U.S. dollar and the Brazilian real. We entered into the put option with Lehman Brothers Special Financing Inc. in February 2008 and we terminated the contract in September 2008 when Lehman Brothers Holdings Inc. filed for bankruptcy.</w:t>
      </w:r>
    </w:p>
    <w:p>
      <w:pPr>
        <w:spacing w:after="0" w:line="10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Securities Lending Income and Expense. </w:t>
      </w:r>
      <w:r>
        <w:rPr>
          <w:rFonts w:ascii="Arial" w:cs="Arial" w:eastAsia="Arial" w:hAnsi="Arial"/>
          <w:sz w:val="18"/>
          <w:szCs w:val="18"/>
          <w:color w:val="auto"/>
        </w:rPr>
        <w:t>During 2009, CME’s securities lending program remained suspended as the high volatility in the credit markets and</w:t>
      </w:r>
      <w:r>
        <w:rPr>
          <w:rFonts w:ascii="Arial" w:cs="Arial" w:eastAsia="Arial" w:hAnsi="Arial"/>
          <w:sz w:val="18"/>
          <w:szCs w:val="18"/>
          <w:b w:val="1"/>
          <w:bCs w:val="1"/>
          <w:color w:val="auto"/>
        </w:rPr>
        <w:t xml:space="preserve"> </w:t>
      </w:r>
      <w:r>
        <w:rPr>
          <w:rFonts w:ascii="Arial" w:cs="Arial" w:eastAsia="Arial" w:hAnsi="Arial"/>
          <w:sz w:val="18"/>
          <w:szCs w:val="18"/>
          <w:color w:val="auto"/>
        </w:rPr>
        <w:t>extreme demand for U.S. Treasury securities continued. Expenses decreased in 2008, when compared with 2007, due primarily to the curtailment, and at times suspension, of our securities lending program due to increasing volatility in the credit markets and demand for U.S. Treasury securities. This resulted in a decline in the average daily balance of funds invested in 2008 when compared with 2007. The increase in spread between the average rate earned and the average rate paid during 2008 was due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75" w:name="page76"/>
    <w:bookmarkEnd w:id="75"/>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combination of an increase in demand for U.S. Treasury securities, which affects the rate paid, and a lag effect from changing interest rates in the reinvested cash in money market funds, which affects the rate earned. The decrease in 2008 overall revenue and expense was attributable to the decline in average funds invested as well as the Federal Open Market Committee’s interest rate reductions.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8"/>
              </w:rPr>
              <w:t>Year-over-Year 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Borders>
              <w:top w:val="single" w:sz="8" w:color="auto"/>
            </w:tcBorders>
          </w:tcPr>
          <w:p>
            <w:pPr>
              <w:jc w:val="right"/>
              <w:ind w:right="1"/>
              <w:spacing w:after="0" w:line="129" w:lineRule="exact"/>
              <w:rPr>
                <w:sz w:val="20"/>
                <w:szCs w:val="20"/>
                <w:color w:val="auto"/>
              </w:rPr>
            </w:pPr>
            <w:r>
              <w:rPr>
                <w:rFonts w:ascii="Arial" w:cs="Arial" w:eastAsia="Arial" w:hAnsi="Arial"/>
                <w:sz w:val="14"/>
                <w:szCs w:val="14"/>
                <w:b w:val="1"/>
                <w:bCs w:val="1"/>
                <w:color w:val="auto"/>
              </w:rPr>
              <w:t>2009-</w:t>
            </w:r>
          </w:p>
        </w:tc>
        <w:tc>
          <w:tcPr>
            <w:tcW w:w="5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440" w:type="dxa"/>
            <w:vAlign w:val="bottom"/>
            <w:gridSpan w:val="3"/>
          </w:tcPr>
          <w:p>
            <w:pPr>
              <w:spacing w:after="0"/>
              <w:rPr>
                <w:sz w:val="20"/>
                <w:szCs w:val="20"/>
                <w:color w:val="auto"/>
              </w:rPr>
            </w:pPr>
            <w:r>
              <w:rPr>
                <w:rFonts w:ascii="Arial" w:cs="Arial" w:eastAsia="Arial" w:hAnsi="Arial"/>
                <w:sz w:val="14"/>
                <w:szCs w:val="14"/>
                <w:b w:val="1"/>
                <w:bCs w:val="1"/>
                <w:color w:val="auto"/>
              </w:rPr>
              <w:t>(dollars in billions)</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2007</w:t>
            </w:r>
          </w:p>
        </w:tc>
        <w:tc>
          <w:tcPr>
            <w:tcW w:w="740" w:type="dxa"/>
            <w:vAlign w:val="bottom"/>
          </w:tcPr>
          <w:p>
            <w:pPr>
              <w:spacing w:after="0"/>
              <w:rPr>
                <w:sz w:val="14"/>
                <w:szCs w:val="14"/>
                <w:color w:val="auto"/>
              </w:rPr>
            </w:pPr>
          </w:p>
        </w:tc>
        <w:tc>
          <w:tcPr>
            <w:tcW w:w="480" w:type="dxa"/>
            <w:vAlign w:val="bottom"/>
          </w:tcPr>
          <w:p>
            <w:pPr>
              <w:jc w:val="right"/>
              <w:ind w:right="21"/>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daily balance of funds invested</w:t>
            </w:r>
          </w:p>
        </w:tc>
        <w:tc>
          <w:tcPr>
            <w:tcW w:w="2400" w:type="dxa"/>
            <w:vAlign w:val="bottom"/>
            <w:gridSpan w:val="3"/>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$ 0.9</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$ 2.3</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 (0.9)</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Annual average rate earned</w:t>
            </w:r>
          </w:p>
        </w:tc>
        <w:tc>
          <w:tcPr>
            <w:tcW w:w="160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3.40%</w:t>
            </w: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5.27%</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(3.40)%</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average rate paid</w:t>
            </w:r>
          </w:p>
        </w:tc>
        <w:tc>
          <w:tcPr>
            <w:tcW w:w="160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2.77</w:t>
            </w:r>
          </w:p>
        </w:tc>
        <w:tc>
          <w:tcPr>
            <w:tcW w:w="1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5.03</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(2.77)</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color w:val="auto"/>
              </w:rPr>
              <w:t>Net earned from securities lending</w:t>
            </w:r>
          </w:p>
        </w:tc>
        <w:tc>
          <w:tcPr>
            <w:tcW w:w="1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gridSpan w:val="3"/>
            <w:vMerge w:val="continue"/>
          </w:tcPr>
          <w:p>
            <w:pPr>
              <w:spacing w:after="0"/>
              <w:rPr>
                <w:sz w:val="19"/>
                <w:szCs w:val="19"/>
                <w:color w:val="auto"/>
              </w:rPr>
            </w:pPr>
          </w:p>
        </w:tc>
        <w:tc>
          <w:tcPr>
            <w:tcW w:w="1600" w:type="dxa"/>
            <w:vAlign w:val="bottom"/>
          </w:tcPr>
          <w:p>
            <w:pPr>
              <w:spacing w:after="0"/>
              <w:rPr>
                <w:sz w:val="19"/>
                <w:szCs w:val="19"/>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 %</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0.63%</w:t>
            </w: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0.24%</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(0.63)%</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table above does not include activity from the NYMEX securities lending program, which closed in June 2009. Under the program, securities lending interest income and expense totaled $2.8 million and $0.4 million, respectively, for 2009. For 2008, securities lending interest income and expense totaled $6.9 million and $1.7 million, respectively. In 2008, we also recognized an impairment loss of $18.3 million on a corporate debt security held in the NYMEX securities lending portfolio.</w:t>
      </w:r>
    </w:p>
    <w:p>
      <w:pPr>
        <w:spacing w:after="0" w:line="143"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In addition, securities lending interest expense for 2009 included a $0.3 million recovery of a $6.0 million impairment charge related to the CME securities lending program that was previously recognized in the third quarter of 2008. The table above does not include this recovery or the initial charge.</w:t>
      </w:r>
    </w:p>
    <w:p>
      <w:pPr>
        <w:spacing w:after="0" w:line="79"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Interest and Other Borrowing Costs. </w:t>
      </w:r>
      <w:r>
        <w:rPr>
          <w:rFonts w:ascii="Arial" w:cs="Arial" w:eastAsia="Arial" w:hAnsi="Arial"/>
          <w:sz w:val="16"/>
          <w:szCs w:val="16"/>
          <w:color w:val="auto"/>
        </w:rPr>
        <w:t>The increases in interest and other borrowing costs in 2009 and 2008 were due to higher average debt levels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which were the result of debt issued in August 2008 in conjunction with the NYMEX Holdings merger. These borrowings consisted of commercial paper and short- and long-term notes. Prior to August 2008, borrowings consisted only of commercial paper.</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40" w:type="dxa"/>
            <w:vAlign w:val="bottom"/>
            <w:vMerge w:val="restart"/>
          </w:tcPr>
          <w:p>
            <w:pPr>
              <w:spacing w:after="0"/>
              <w:rPr>
                <w:sz w:val="14"/>
                <w:szCs w:val="14"/>
                <w:color w:val="auto"/>
              </w:rPr>
            </w:pP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62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220" w:type="dxa"/>
            <w:vAlign w:val="bottom"/>
            <w:vMerge w:val="restart"/>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20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Borders>
              <w:bottom w:val="single" w:sz="8" w:color="auto"/>
            </w:tcBorders>
            <w:vMerge w:val="continue"/>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2009-2008</w:t>
            </w: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2008-2007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borrowings outstanding (in millions)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$2,841.8</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5"/>
              </w:rPr>
              <w:t>$1,296.1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5"/>
              </w:rPr>
              <w:t>$1,545.7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$1,231.9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Weighted average effective yield</w:t>
            </w:r>
          </w:p>
        </w:tc>
        <w:tc>
          <w:tcPr>
            <w:tcW w:w="2240" w:type="dxa"/>
            <w:vAlign w:val="bottom"/>
            <w:gridSpan w:val="3"/>
          </w:tcPr>
          <w:p>
            <w:pPr>
              <w:jc w:val="right"/>
              <w:ind w:right="420"/>
              <w:spacing w:after="0"/>
              <w:rPr>
                <w:sz w:val="20"/>
                <w:szCs w:val="20"/>
                <w:color w:val="auto"/>
              </w:rPr>
            </w:pPr>
            <w:r>
              <w:rPr>
                <w:rFonts w:ascii="Arial" w:cs="Arial" w:eastAsia="Arial" w:hAnsi="Arial"/>
                <w:sz w:val="18"/>
                <w:szCs w:val="18"/>
                <w:color w:val="auto"/>
              </w:rPr>
              <w:t>4.23%</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4.95%</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0.65%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borrowing</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5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Total cost of borrowing includes interest, commitment fees, discount accretion and debt issuance costs. In February 2009, we terminated our revolving bridge facility. Total debt issuance costs recognized for the bridge facility during the first quarter of 2009 were $7.6 million, including $4.6 million of accelerated costs resulting from the facility’s termination.</w:t>
      </w:r>
    </w:p>
    <w:p>
      <w:pPr>
        <w:spacing w:after="0" w:line="13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color w:val="auto"/>
        </w:rPr>
        <w:t xml:space="preserve">Guarantee of Exercise Right Privileges. </w:t>
      </w:r>
      <w:r>
        <w:rPr>
          <w:rFonts w:ascii="Arial" w:cs="Arial" w:eastAsia="Arial" w:hAnsi="Arial"/>
          <w:sz w:val="16"/>
          <w:szCs w:val="16"/>
          <w:color w:val="auto"/>
        </w:rPr>
        <w:t>Under the terms of our merger with CBOT Holdings, holders that did not elect to sell their ERPs to us were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a minimum guaranteed payment of up to $250,000 upon resolution of the lawsuit between CBOT and CBOE. Our liability under the guarantee, which was recorded at fair value in other liabilities in our consolidated balance sheets, was estimated at $1.2 million and $14.0 million at December 31, 2008 and 2007, respectively. In December 2009, final approval of the settlement occurred and we reduced our liability to zero. Following the resolution of the lawsuit, we also adjusted the value of the 159 ERPs that we hold to the expected settlement value. The liability decreased during 2008 due to a reassessment of possible outcomes of the litigation which resulted in a gain for 2008. The expense in 2007 was due to the establishment of the liability.</w:t>
      </w:r>
    </w:p>
    <w:p>
      <w:pPr>
        <w:spacing w:after="0" w:line="11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Equity in Losses of Unconsolidated Subsidiaries. </w:t>
      </w:r>
      <w:r>
        <w:rPr>
          <w:rFonts w:ascii="Arial" w:cs="Arial" w:eastAsia="Arial" w:hAnsi="Arial"/>
          <w:sz w:val="18"/>
          <w:szCs w:val="18"/>
          <w:color w:val="auto"/>
        </w:rPr>
        <w:t>The termination of our investment in FXMS, our joint venture with Reuters, in the fourth quarter of 2008</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contributed to the decrease in losses in 2009 when compared with 2008. In 2008, we recognized losses from our investment in FXMS of $26.5 million including a $15.9</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80" w:right="239" w:bottom="1440" w:gutter="0" w:footer="0" w:header="0"/>
        </w:sectPr>
      </w:pPr>
    </w:p>
    <w:bookmarkStart w:id="76" w:name="page77"/>
    <w:bookmarkEnd w:id="7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million write off of our recorded investment in FXMS and our portion of the remaining capital needed to wind down operations. Losses in 2009 included our share of losses from our investments in DME, Green Exchange Holdings LLC and OneChicago. The decision to terminate our investment in FXMS resulted in an increase in losses in 2008 when compared with 2007.</w:t>
      </w:r>
    </w:p>
    <w:p>
      <w:pPr>
        <w:spacing w:after="0" w:line="134"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Other Non-Operating Expense. </w:t>
      </w:r>
      <w:r>
        <w:rPr>
          <w:rFonts w:ascii="Arial" w:cs="Arial" w:eastAsia="Arial" w:hAnsi="Arial"/>
          <w:sz w:val="18"/>
          <w:szCs w:val="18"/>
          <w:color w:val="auto"/>
        </w:rPr>
        <w:t>The reduction in expenses was attributable to additional expenses in 2008 due to transfer and other transaction fees related to</w:t>
      </w:r>
      <w:r>
        <w:rPr>
          <w:rFonts w:ascii="Arial" w:cs="Arial" w:eastAsia="Arial" w:hAnsi="Arial"/>
          <w:sz w:val="18"/>
          <w:szCs w:val="18"/>
          <w:b w:val="1"/>
          <w:bCs w:val="1"/>
          <w:color w:val="auto"/>
        </w:rPr>
        <w:t xml:space="preserve"> </w:t>
      </w:r>
      <w:r>
        <w:rPr>
          <w:rFonts w:ascii="Arial" w:cs="Arial" w:eastAsia="Arial" w:hAnsi="Arial"/>
          <w:sz w:val="18"/>
          <w:szCs w:val="18"/>
          <w:color w:val="auto"/>
        </w:rPr>
        <w:t>our investment in BM&amp;FBOVESPA in the first quarter of 2008.</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effective tax rate was 42.6% in 2009 compared with 42.7% in 2008 and 39.9% in 2007. In 2009, the rate increased as a result of an additional valuation allowance of $64.4 million related to unrealized capital losses partially offset by a $38.9 million reduction in net deferred tax liabilities related to a New York City tax law change enacted in 2009. In 2008, the rate reflected a $48.3 million charge to record the impact of our new combined state and local tax rate on our existing net deferred tax liabilities, partially offset by a first quarter 2008 Illinois tax law change that resulted in a $38.6 million reduction in net deferred tax liabilities. The increase in rates during 2009 and 2008, when compared with 2007, was due primarily to the state and local tax impact of our merger with NYMEX Holdings in August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Cash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Until we began our commercial paper program in mid-2007, we historically met our funding requirements with cash generated by our</w:t>
      </w:r>
      <w:r>
        <w:rPr>
          <w:rFonts w:ascii="Arial" w:cs="Arial" w:eastAsia="Arial" w:hAnsi="Arial"/>
          <w:sz w:val="18"/>
          <w:szCs w:val="18"/>
          <w:i w:val="1"/>
          <w:iCs w:val="1"/>
          <w:color w:val="auto"/>
        </w:rPr>
        <w:t xml:space="preserve"> </w:t>
      </w:r>
      <w:r>
        <w:rPr>
          <w:rFonts w:ascii="Arial" w:cs="Arial" w:eastAsia="Arial" w:hAnsi="Arial"/>
          <w:sz w:val="18"/>
          <w:szCs w:val="18"/>
          <w:color w:val="auto"/>
        </w:rPr>
        <w:t>ongoing operations. While our cost structure is primarily fixed in the short term, our sources of operating cash are largely dependent on trading volume levels. We believe that our existing cash, cash equivalents and marketable securities and cash generated from operations will be sufficient to cover our working capital needs, capital expenditures, and other commitments. However, it is possible that we may need to raise additional funds to finance our activities through future public debt offerings or by borrowing money from financial institutions.</w:t>
      </w:r>
    </w:p>
    <w:p>
      <w:pPr>
        <w:spacing w:after="0" w:line="14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Cash will also be required for operating leases and non-cancelable contractual obligations as well as commitments reflected as liabilities in our consolidated balance sheet at December 31, 2009. These commitments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7"/>
              </w:rPr>
              <w:t>Operating</w:t>
            </w:r>
          </w:p>
        </w:tc>
        <w:tc>
          <w:tcPr>
            <w:tcW w:w="5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5"/>
              </w:rPr>
              <w:t>Total</w:t>
            </w:r>
            <w:r>
              <w:rPr>
                <w:rFonts w:ascii="Arial" w:cs="Arial" w:eastAsia="Arial" w:hAnsi="Arial"/>
                <w:sz w:val="22"/>
                <w:szCs w:val="22"/>
                <w:b w:val="1"/>
                <w:bCs w:val="1"/>
                <w:color w:val="auto"/>
                <w:w w:val="85"/>
                <w:vertAlign w:val="superscript"/>
              </w:rPr>
              <w:t>(a)</w:t>
            </w:r>
          </w:p>
        </w:tc>
        <w:tc>
          <w:tcPr>
            <w:tcW w:w="0" w:type="dxa"/>
            <w:vAlign w:val="bottom"/>
          </w:tcPr>
          <w:p>
            <w:pPr>
              <w:spacing w:after="0"/>
              <w:rPr>
                <w:sz w:val="1"/>
                <w:szCs w:val="1"/>
                <w:color w:val="auto"/>
              </w:rPr>
            </w:pPr>
          </w:p>
        </w:tc>
      </w:tr>
      <w:tr>
        <w:trPr>
          <w:trHeight w:val="161"/>
        </w:trPr>
        <w:tc>
          <w:tcPr>
            <w:tcW w:w="746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w w:val="79"/>
              </w:rPr>
              <w:t>Leases</w:t>
            </w:r>
          </w:p>
        </w:tc>
        <w:tc>
          <w:tcPr>
            <w:tcW w:w="5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Obligations</w:t>
            </w:r>
          </w:p>
        </w:tc>
        <w:tc>
          <w:tcPr>
            <w:tcW w:w="28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6"/>
              </w:rPr>
              <w:t>Liabilities</w:t>
            </w:r>
          </w:p>
        </w:tc>
        <w:tc>
          <w:tcPr>
            <w:tcW w:w="2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Year</w:t>
            </w:r>
          </w:p>
        </w:tc>
        <w:tc>
          <w:tcPr>
            <w:tcW w:w="6740" w:type="dxa"/>
            <w:vAlign w:val="bottom"/>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2010</w:t>
            </w:r>
          </w:p>
        </w:tc>
        <w:tc>
          <w:tcPr>
            <w:tcW w:w="44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19.9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39.0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2011-2012</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2013-2014</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39.0</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133.7</w:t>
            </w:r>
          </w:p>
        </w:tc>
        <w:tc>
          <w:tcPr>
            <w:tcW w:w="0" w:type="dxa"/>
            <w:vAlign w:val="bottom"/>
          </w:tcPr>
          <w:p>
            <w:pPr>
              <w:spacing w:after="0"/>
              <w:rPr>
                <w:sz w:val="1"/>
                <w:szCs w:val="1"/>
                <w:color w:val="auto"/>
              </w:rPr>
            </w:pPr>
          </w:p>
        </w:tc>
      </w:tr>
      <w:tr>
        <w:trPr>
          <w:trHeight w:val="222"/>
        </w:trPr>
        <w:tc>
          <w:tcPr>
            <w:tcW w:w="7460" w:type="dxa"/>
            <w:vAlign w:val="bottom"/>
            <w:gridSpan w:val="4"/>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235.0</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r>
              <w:rPr>
                <w:rFonts w:ascii="Arial" w:cs="Arial" w:eastAsia="Arial" w:hAnsi="Arial"/>
                <w:sz w:val="18"/>
                <w:szCs w:val="18"/>
                <w:u w:val="single" w:color="auto"/>
                <w:color w:val="auto"/>
              </w:rPr>
              <w:t>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39.0</w:t>
            </w:r>
          </w:p>
        </w:tc>
        <w:tc>
          <w:tcPr>
            <w:tcW w:w="3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Gross unrecognized tax liabilities, including interest and penalties, of $51.3 million determined under accounting guidance for uncertain tax positions are not included in the commitment table due to uncertainty about the date of their settlement.</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Future capital expenditures for technology are anticipated as we continue to support our growth through investment in increased system capacity and performance and through technological initiatives on our electronic trading platforms. Each year capital expenditures are incurred for improvements to and expansion of our offices, remote data centers, telecommunications capabilities and other operating equipment. In 2010, we expect capital expenditures to total between $180 million and $200 million. We continue to monitor our capital needs and may revise our forecasted expenditures as necessary in the future.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77" w:name="page78"/>
    <w:bookmarkEnd w:id="77"/>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intend to continue to pay a regular quarterly dividend to our shareholders. The decision to pay a dividend, however, remains within the discretion of our board of directors and may be affected by various factors, including our earnings, financial condition, capital requirements, levels of indebtedness and other considerations our board of directors deems relevant as well as our debt instruments as discussed below. CME Group and its subsidiaries are also required to comply with restrictions contained in the General Corporation Laws of its state of incorporation which could also limit its (or their) ability to declare and pay dividends. In 2009, our quarterly dividend remained at $1.15 per share. For 2010, our quarterly dividend target is expected to remain at this level. On February 2, 2010, the board of directors declared a regular quarterly dividend of $1.15 per share payable on March 25, 2010, to shareholders of record on March 10, 2010. Assuming no changes in the number of shares outstanding, the 2010 dividend payment will total approximately $76.6 million.</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u w:val="single" w:color="auto"/>
          <w:color w:val="auto"/>
        </w:rPr>
        <w:t>Sources and Uses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provided by operating activities was $1.1 billion in 2009 compared with $1.2 billion in 2008. Net cash provided by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decreased due primarily to decreased profitability excluding impairment charges. In 2009, net cash provided by operating activities was $257.3 million higher than net income. This increase was due primarily to $126.3 million of depreciation and amortization and $125.1 million of amortization of purchased intangibles.</w:t>
      </w:r>
    </w:p>
    <w:p>
      <w:pPr>
        <w:spacing w:after="0" w:line="1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cash provided by investing activities was $544.8 million in 2009 compared with net cash used in investing activities of $3.7 billion in 2008. The increase in cash was due primarily to cash paid to shareholders in our merger with NYMEX Holdings in 2008 of $2.8 billion, net of cash received, and a payment of $612.0 million for the termination of certain NYMEX membership rights in conjunction with the merger. The increase in cash was also due to a $315.8 million net decrease in NYMEX securities lending program investments and a $382.4 million increase in proceeds from maturities of marketable securities, net of purchases in 2009.</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 cash used in financing activities was $1.7 billion in 2009 compared with cash provided by financing activities of $2.0 billion in 2008. The increase in cash used relative to the prior period was due primarily to new issuances of debt of $2.9 billion in 2008 in conjunction with our merger with NYMEX Holdings compared with net debt reductions of $900.1 million in 2009.</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u w:val="single" w:color="auto"/>
          <w:color w:val="auto"/>
        </w:rPr>
        <w:t>Debt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We maintain public debt of $1.8 billion, consisting of $300.0 million of floating rate notes due in 2010, $750.0 million of 5.40% fixed rate</w:t>
      </w:r>
      <w:r>
        <w:rPr>
          <w:rFonts w:ascii="Arial" w:cs="Arial" w:eastAsia="Arial" w:hAnsi="Arial"/>
          <w:sz w:val="16"/>
          <w:szCs w:val="16"/>
          <w:i w:val="1"/>
          <w:iCs w:val="1"/>
          <w:color w:val="auto"/>
        </w:rPr>
        <w:t xml:space="preserve"> </w:t>
      </w:r>
      <w:r>
        <w:rPr>
          <w:rFonts w:ascii="Arial" w:cs="Arial" w:eastAsia="Arial" w:hAnsi="Arial"/>
          <w:sz w:val="16"/>
          <w:szCs w:val="16"/>
          <w:color w:val="auto"/>
        </w:rPr>
        <w:t>notes due in 2013 and $750.0 million of 5.75% fixed rate notes due in 2014. The floating rate notes due in 2010 accrue interest at the London Interbank Offered Rate (LIBOR) plus 0.65%. We entered into an interest-rate swap agreement that effectively fixed the rate at 3.92% for the floating rate notes due in 2010. The proceeds from the debt issuances were used to finance our merger with NYMEX Holdings and to repay any outstanding commercial paper borrowings that were backstopped by our 364-day revolving bridge facility as well as for general corporate purposes. We terminated the bridge facility on February 10, 2009. In August 2009, we repaid $250.0 million of floating rate notes upon their maturity.</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also maintain a $1.4 billion senior credit facility with various financial institutions, which includes a term loan of $420.5 million and a revolving credit facility of $945.5 million. On September 30, 2009, we amended this agreement to reduce the aggregate amount of revolving credit facility commitments to $945.5 million from $995.5 million and to reduce the minimum required amount of each request for an increase in revolving commitments from $25.0 million to $10.0 million. As long as we are not in default under the senior credit facility, we have the option to increase the facility from time to time by an aggregate amount of up to $1.1 billion, to a total of $2.5 billion of revolving loans, with only the consent of the agent and the lenders providing the additional funds. Proceeds from the senior credit facility were used to pay fees and expenses and finance our merger with NYMEX Holdings; to pay fees and expenses in connection with the refinancing of existing debt of NYMEX Holdings; to finance dividends and stock repurchases, and to support issuances of commercial paper. The revolving credit facility expires on August 21, 2011.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2009, we have excess borrowing capacity for general corporate purposes of approximately $845.5 million.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78" w:name="page79"/>
    <w:bookmarkEnd w:id="78"/>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maintain a 364-day revolving line of credit with a consortium of banks to be used in certain situations by our clearing house. The line of credit, which was renewed in December 2009, provides for borrowings of up to $1.0 billion. This line of credit is collateralized by clearing firm security deposits held by us in the form of U.S. Treasury or agency securities, as well as security deposit funds in the IEF and any performance bond deposits of a clearing firm that may default on its obligation. The line of credit can only be drawn on to the extent it is collateralized. At December 31, 2009, security deposit collateral available was $2.4 billion. We have the option to request an increase in the line from $1.0 billion to $1.5 billion with the participating banks’ approval.</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of December 31, 2009, we maintained an AA long-term credit rating and an A1+ short-term credit rating with Standard &amp; Poor’s (S&amp;P). We maintained an Aa3 long-term credit rating and a P1 short-term credit rating with Moody’s Investor Service. The outlook for our ratings is considered stable by S&amp;P and Moody’s. Given our ability to pay down debt levels and refinance existing debt facilities if necessary, we expect to maintain an investment grade rating. If our ratings are downgraded due to a change in control which results in a downgrade below investment grade, we are required to make an offer to repurchase our fixed and floating rate notes at a price equal to 101% of the principal amount, plus accrued and unpaid interest.</w:t>
      </w:r>
    </w:p>
    <w:p>
      <w:pPr>
        <w:spacing w:after="0" w:line="116"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indentures governing our floating and fixed rate notes, our 364-day revolving line of credit for $1.0 billion and our senior credit facility for $1.4 billion due 2011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10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For example, under our senior credit facility, we are required to remain in compliance with a consolidated net worth test, defined as our consolidated shareholders’ equity as of June 30, 2008 on a pro forma basis to give effect to the NYMEX Holdings merger and to give effect to the share repurchases made and special dividends paid, but only up to the amount of such repurchases and dividends publicly announced and made or paid within 18 months after August 22, 2008 (and in no event greater than $1.5 billion in the aggregate for such repurchases and dividends), multiplied by 0.65.</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our 364-day revolving line of credit contains a requirement that CME remain in compliance with a consolidated tangible net worth test, defined as consolidated shareholder’s equity less intangible assets (as defined in the agreement), of not less than $125.0 million. In the event that CME elects to increase the facility, the minimum consolidated tangible net worth test will increase ratably up to $187.5 million.</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including CME, in order to provide a portion of the funds which it uses to pay dividends to its shareholders.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we are in compliance with the various covenant requirements of all our debt facilities.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To satisfy our performance bond obligation with Singapore Exchange Limited, we may pledge CME-owned U.S. Treasury securities in lieu of, or in combination with, irrevocable letters of credit. At December 31, 2009, the letters of credit totaled $83.0 million. CME also guarantees a $5.0 million standby letter of credit for GFX. The beneficiary of this letter of credit is the clearing firm that is used by GFX to execute and maintain its futures position. The letter of credit would be utilized in the event that GFX defaults in meeting performance bond requirements to its clearing firm.</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u w:val="single" w:color="auto"/>
          <w:color w:val="auto"/>
        </w:rPr>
        <w:t>Off-Balance Sheet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December 31, 2009, we did not have any significant off-balance sheet arrangements as defined by the regulations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and Exchange Commission.</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Cash and cash equivalents totaled $260.6 million at December 31, 2009 and $297.9 million at December 31, 2008. The balance</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in cash and cash equivalents is a function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280" w:right="259" w:bottom="1440" w:gutter="0" w:footer="0" w:header="0"/>
        </w:sectPr>
      </w:pPr>
    </w:p>
    <w:bookmarkStart w:id="79" w:name="page80"/>
    <w:bookmarkEnd w:id="79"/>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anticipated or possible short-term cash needs, prevailing interest rates, our investment policy and alternative investment choices. In June 2008, we approved a repurchase of up to $1.1 billion of CME Group Class A common stock over a period of 18 months, which expired in December 2009. In January 2009, we suspended this program as we devoted our excess cash flows to debt reduction.</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practice is to have our pension plan 100% funded at each year end on a projected benefit obligation basis, while also satisfying any minimum required contribution and obtaining the maximum tax deduction. Based on our actuarial projections, we estimate that a $14.3 million contribution in 2010 will allow us to meet our funding goal. However, the amount of the actual contribution is contingent on the actual rate of return on our plan assets during 2010 and the December 31, 2010 discount rate.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color w:val="auto"/>
        </w:rPr>
        <w:t>Net current deferred tax assets of $23.8 million and $95.5 million are included in other current assets at December 31, 2009 and December 31, 2008,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Total net current deferred tax assets include primarily unrealized losses and accrued expenses.</w:t>
      </w:r>
    </w:p>
    <w:p>
      <w:pPr>
        <w:spacing w:after="0" w:line="16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Net long-term deferred tax liabilities were $7.6 billion and $7.7 billion at December 31, 2009 and December 31, 2008, respectively. Net deferred tax liabilities are primarily the result of purchase accounting for intangible assets in our mergers with CBOT Holdings and NYMEX Holdings.</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have a long-term deferred tax asset of $145.9 million included within our domestic long-term deferred tax liability. This deferred tax asset is for an unrealized capital loss incurred in Brazil related to our investment in BM&amp;FBOVESPA. As of December 31, 2009, we do not believe that we currently meet the more-likely-than-not threshold that would allow us to fully realize the value of the unrealized capital loss. As a result, a partial valuation allowance of $64.5 million has been provided for the amount of the unrealized capital loss that exceeds potential capital gains that could be used to offset the capital loss in future periods. We also have a long-term deferred tax asset related to Brazilian taxes of $127.1 million for an unrealized capital loss incurred in Brazil related to our investment in BM&amp;FBOVESPA. A full valuation allowance of $127.1 million has been provided because we do not believe that we currently meet the more-likely-than-not threshold that would allow us to realize the value of the unrealized capital loss in Brazil in the future. Valuation allowances of $51.6 million have also been provided for additional unrealized capital losses on various other investments.</w:t>
      </w:r>
    </w:p>
    <w:p>
      <w:pPr>
        <w:spacing w:after="0" w:line="118"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Net long-term deferred tax assets also include a $21.2 million deferred tax asset for foreign net operating losses related to Swapstream. Our assessment at December 31, 2009 was that we did not currently meet the more-likely-than-not threshold that would allow us to realize the value of acquired and accumulated foreign net operating losses in the future. As a result, the $21.2 million deferred tax assets arising from these net operating losses has been fully reserved.</w:t>
      </w:r>
    </w:p>
    <w:p>
      <w:pPr>
        <w:spacing w:after="0" w:line="8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Each clearing firm is required to deposit and maintain a specified performance bond balance, which is determined by parameters established by the risk management department of the clearing house and may fluctuate over time. Performance bond requirements can be satisfied with a variety of approved investments and cash. Cash performance bonds and security deposits are included in our consolidated balance sheets. With the exception of the portion of securities deposited that are utilized in our securities lending program, clearing firm deposits, other than those retained in the form of cash, are not included in our consolidated balance sheets. Securities lending transactions utilize a portion of the securities that clearing firms have deposited to satisfy their proprietary performance bond requirements. Securities lending activity fluctuates based on the amount of securities that clearing firms have deposited and the demand for securities lending activity in the particular securities available to us. As a result of these factors, the balances in cash performance bonds and security deposits, as well as the balances in our securities lending program, may fluctuate significantly over time. The performance bonds and security deposits for NYMEX clearing firms have been included in total performance bonds and security deposits subsequent to the merger with NYMEX Holdings in August 2008.</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performance bonds and security deposits and collateral from securities lending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6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performance bonds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$ 5,834.6</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17,296.1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Cash security deposits</w:t>
            </w:r>
          </w:p>
        </w:tc>
        <w:tc>
          <w:tcPr>
            <w:tcW w:w="360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Performance collateral for delivery</w:t>
            </w:r>
          </w:p>
        </w:tc>
        <w:tc>
          <w:tcPr>
            <w:tcW w:w="29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Cash Performance Bonds and Security Deposits</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5,981.9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17,653.5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Collateral from securities lending activity</w:t>
            </w:r>
          </w:p>
        </w:tc>
        <w:tc>
          <w:tcPr>
            <w:tcW w:w="2900" w:type="dxa"/>
            <w:vAlign w:val="bottom"/>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$ 5,981.9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18,080.4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We are required under the Commodity Exchange Act to segregate cash and securities deposited by clearing firms on behalf of customers. In addition, our exchange rules require a segregation of all funds and securities deposited by clearing firms from exchange operating funds and marketable securities. As with cash performance bonds and security deposits, these balances will fluctuate due to the investment choices available to clearing firms and the change in total deposits required. Securities, at fair value, and IEF funds were deposited for the following purposes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70,511.5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96,220.5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Security deposits</w:t>
            </w: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2,652.2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3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Performance collateral for delivery</w:t>
            </w:r>
          </w:p>
        </w:tc>
        <w:tc>
          <w:tcPr>
            <w:tcW w:w="3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73,386.8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98,410.3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u w:val="single" w:color="auto"/>
          <w:color w:val="auto"/>
        </w:rPr>
        <w:t>Fair Value Measurements</w:t>
      </w:r>
      <w:r>
        <w:rPr>
          <w:rFonts w:ascii="Arial" w:cs="Arial" w:eastAsia="Arial" w:hAnsi="Arial"/>
          <w:sz w:val="16"/>
          <w:szCs w:val="16"/>
          <w:color w:val="auto"/>
        </w:rPr>
        <w:t>. We use a three-level framework in order to determine the fair value of financial assets and liabilities. In general, we use quoted prices</w:t>
      </w:r>
      <w:r>
        <w:rPr>
          <w:rFonts w:ascii="Arial" w:cs="Arial" w:eastAsia="Arial" w:hAnsi="Arial"/>
          <w:sz w:val="16"/>
          <w:szCs w:val="16"/>
          <w:i w:val="1"/>
          <w:iCs w:val="1"/>
          <w:color w:val="auto"/>
        </w:rPr>
        <w:t xml:space="preserve"> </w:t>
      </w:r>
      <w:r>
        <w:rPr>
          <w:rFonts w:ascii="Arial" w:cs="Arial" w:eastAsia="Arial" w:hAnsi="Arial"/>
          <w:sz w:val="16"/>
          <w:szCs w:val="16"/>
          <w:color w:val="auto"/>
        </w:rPr>
        <w:t>in active markets for identical assets to determine fair values of marketable securities, securities lending collateral and equity investments. Level 1 assets include U.S. Treasury securities, exchange-traded mutual funds, repurchase agreements and publicly-traded equity securities. If quoted prices are not available to determine fair value, we use other inputs that are observable either directly or indirectly. Assets included in level 2 consist primarily of U.S. Government agency securities, municipal bonds, asset-backed securities and certain corporate bonds. Level 3 assets include certain corporate bonds and asset-backed securities. These assets have been valued using valuation models with inputs that are both observable and unobservable. The unobservable inputs used in these models are significant to the fair value of the investments and require management’s judgment.</w:t>
      </w:r>
    </w:p>
    <w:p>
      <w:pPr>
        <w:spacing w:after="0" w:line="11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We determine the fair value of our interest rate swap contracts, considered level 2 assets, using standard valuation models that are based on market-based observable inputs including forward and spot exchange rates and interest rate curves.</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fair value of our liability for the guarantee of ERPs was derived using probability-weighted Black-Scholes option values for various scenarios. The liability is included in level 3 because management uses significant unobservable inputs including probability, expected return and volatility factors to determine its fair value.</w:t>
      </w:r>
    </w:p>
    <w:p>
      <w:pPr>
        <w:spacing w:after="0" w:line="14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December 31, 2009 are classified in their entirety based on the lowest level of input that is significant to the asset or liability’s fair value measurement.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80"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79"/>
              </w:rPr>
              <w:t>Level 1</w:t>
            </w:r>
          </w:p>
        </w:tc>
        <w:tc>
          <w:tcPr>
            <w:tcW w:w="3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w w:val="84"/>
              </w:rPr>
              <w:t>Level 3</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at Fair Value:</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420" w:type="dxa"/>
            <w:vAlign w:val="bottom"/>
          </w:tcPr>
          <w:p>
            <w:pPr>
              <w:spacing w:after="0"/>
              <w:rPr>
                <w:sz w:val="20"/>
                <w:szCs w:val="20"/>
                <w:color w:val="auto"/>
              </w:rPr>
            </w:pPr>
            <w:r>
              <w:rPr>
                <w:rFonts w:ascii="Arial" w:cs="Arial" w:eastAsia="Arial" w:hAnsi="Arial"/>
                <w:sz w:val="18"/>
                <w:szCs w:val="18"/>
                <w:color w:val="auto"/>
                <w:w w:val="79"/>
              </w:rPr>
              <w:t>$ 28.5</w:t>
            </w: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$ 14.1</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investments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3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60" w:type="dxa"/>
            <w:vAlign w:val="bottom"/>
            <w:gridSpan w:val="3"/>
          </w:tcPr>
          <w:p>
            <w:pPr>
              <w:spacing w:after="0"/>
              <w:rPr>
                <w:sz w:val="20"/>
                <w:szCs w:val="20"/>
                <w:color w:val="auto"/>
              </w:rPr>
            </w:pPr>
            <w:r>
              <w:rPr>
                <w:rFonts w:ascii="Arial" w:cs="Arial" w:eastAsia="Arial" w:hAnsi="Arial"/>
                <w:sz w:val="18"/>
                <w:szCs w:val="18"/>
                <w:color w:val="auto"/>
              </w:rPr>
              <w:t>Total Assets at Fair Value</w:t>
            </w:r>
          </w:p>
        </w:tc>
        <w:tc>
          <w:tcPr>
            <w:tcW w:w="420" w:type="dxa"/>
            <w:vAlign w:val="bottom"/>
          </w:tcPr>
          <w:p>
            <w:pPr>
              <w:spacing w:after="0"/>
              <w:rPr>
                <w:sz w:val="20"/>
                <w:szCs w:val="20"/>
                <w:color w:val="auto"/>
              </w:rPr>
            </w:pPr>
            <w:r>
              <w:rPr>
                <w:rFonts w:ascii="Arial" w:cs="Arial" w:eastAsia="Arial" w:hAnsi="Arial"/>
                <w:sz w:val="18"/>
                <w:szCs w:val="18"/>
                <w:color w:val="auto"/>
                <w:w w:val="79"/>
              </w:rPr>
              <w:t>$ 94.7</w:t>
            </w:r>
          </w:p>
        </w:tc>
        <w:tc>
          <w:tcPr>
            <w:tcW w:w="1080" w:type="dxa"/>
            <w:vAlign w:val="bottom"/>
            <w:gridSpan w:val="3"/>
          </w:tcPr>
          <w:p>
            <w:pPr>
              <w:ind w:left="320"/>
              <w:spacing w:after="0"/>
              <w:rPr>
                <w:sz w:val="20"/>
                <w:szCs w:val="20"/>
                <w:color w:val="auto"/>
              </w:rPr>
            </w:pPr>
            <w:r>
              <w:rPr>
                <w:rFonts w:ascii="Arial" w:cs="Arial" w:eastAsia="Arial" w:hAnsi="Arial"/>
                <w:sz w:val="18"/>
                <w:szCs w:val="18"/>
                <w:color w:val="auto"/>
              </w:rPr>
              <w:t>$ 14.1</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at Fair Value:</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gridSpan w:val="2"/>
          </w:tcPr>
          <w:p>
            <w:pPr>
              <w:ind w:left="420"/>
              <w:spacing w:after="0"/>
              <w:rPr>
                <w:sz w:val="20"/>
                <w:szCs w:val="20"/>
                <w:color w:val="auto"/>
              </w:rPr>
            </w:pPr>
            <w:r>
              <w:rPr>
                <w:rFonts w:ascii="Arial" w:cs="Arial" w:eastAsia="Arial" w:hAnsi="Arial"/>
                <w:sz w:val="18"/>
                <w:szCs w:val="18"/>
                <w:color w:val="auto"/>
              </w:rPr>
              <w:t>Interest rate swap contracts</w:t>
            </w:r>
          </w:p>
        </w:tc>
        <w:tc>
          <w:tcPr>
            <w:tcW w:w="420" w:type="dxa"/>
            <w:vAlign w:val="bottom"/>
          </w:tcPr>
          <w:p>
            <w:pPr>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$ 26.3</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 —</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79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$ 26.3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assets and liabilities at fair value on a recurring basis using significant unobservable inputs (level 3) during 2009.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Guarantee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4"/>
              </w:rPr>
              <w:t>Asset-</w:t>
            </w:r>
          </w:p>
        </w:tc>
        <w:tc>
          <w:tcPr>
            <w:tcW w:w="34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CBOE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500"/>
              <w:spacing w:after="0" w:line="135" w:lineRule="exact"/>
              <w:rPr>
                <w:sz w:val="20"/>
                <w:szCs w:val="20"/>
                <w:color w:val="auto"/>
              </w:rPr>
            </w:pPr>
            <w:r>
              <w:rPr>
                <w:rFonts w:ascii="Arial" w:cs="Arial" w:eastAsia="Arial" w:hAnsi="Arial"/>
                <w:sz w:val="14"/>
                <w:szCs w:val="14"/>
                <w:b w:val="1"/>
                <w:bCs w:val="1"/>
                <w:color w:val="auto"/>
                <w:w w:val="80"/>
              </w:rPr>
              <w:t>Backed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ERP</w:t>
            </w:r>
          </w:p>
        </w:tc>
        <w:tc>
          <w:tcPr>
            <w:tcW w:w="0" w:type="dxa"/>
            <w:vAlign w:val="bottom"/>
          </w:tcPr>
          <w:p>
            <w:pPr>
              <w:spacing w:after="0"/>
              <w:rPr>
                <w:sz w:val="1"/>
                <w:szCs w:val="1"/>
                <w:color w:val="auto"/>
              </w:rPr>
            </w:pPr>
          </w:p>
        </w:tc>
      </w:tr>
      <w:tr>
        <w:trPr>
          <w:trHeight w:val="176"/>
        </w:trPr>
        <w:tc>
          <w:tcPr>
            <w:tcW w:w="934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02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Security</w:t>
            </w:r>
            <w:r>
              <w:rPr>
                <w:rFonts w:ascii="Arial" w:cs="Arial" w:eastAsia="Arial" w:hAnsi="Arial"/>
                <w:sz w:val="20"/>
                <w:szCs w:val="20"/>
                <w:b w:val="1"/>
                <w:bCs w:val="1"/>
                <w:color w:val="auto"/>
                <w:vertAlign w:val="superscript"/>
              </w:rPr>
              <w:t>(1)</w:t>
            </w:r>
          </w:p>
        </w:tc>
        <w:tc>
          <w:tcPr>
            <w:tcW w:w="34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Liability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asset (liability) at January 1,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Realized and unrealized gains (losses):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Included in non-operating income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asset (liability) at December 31,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340" w:type="dxa"/>
            <w:vAlign w:val="bottom"/>
            <w:gridSpan w:val="4"/>
            <w:vMerge w:val="restart"/>
          </w:tcPr>
          <w:p>
            <w:pPr>
              <w:spacing w:after="0"/>
              <w:rPr>
                <w:sz w:val="20"/>
                <w:szCs w:val="20"/>
                <w:color w:val="auto"/>
              </w:rPr>
            </w:pPr>
            <w:r>
              <w:rPr>
                <w:rFonts w:ascii="Arial" w:cs="Arial" w:eastAsia="Arial" w:hAnsi="Arial"/>
                <w:sz w:val="18"/>
                <w:szCs w:val="18"/>
                <w:color w:val="auto"/>
                <w:w w:val="96"/>
              </w:rPr>
              <w:t>Total unrealized gains (losses) related to financial assets and liabilities in the consolidated balance sheet at December 31,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34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20" w:type="dxa"/>
            <w:vAlign w:val="bottom"/>
            <w:gridSpan w:val="2"/>
          </w:tcPr>
          <w:p>
            <w:pPr>
              <w:jc w:val="right"/>
              <w:ind w:right="52"/>
              <w:spacing w:after="0"/>
              <w:rPr>
                <w:sz w:val="20"/>
                <w:szCs w:val="20"/>
                <w:color w:val="auto"/>
              </w:rPr>
            </w:pPr>
            <w:r>
              <w:rPr>
                <w:rFonts w:ascii="Arial" w:cs="Arial" w:eastAsia="Arial" w:hAnsi="Arial"/>
                <w:sz w:val="18"/>
                <w:szCs w:val="18"/>
                <w:color w:val="auto"/>
              </w:rPr>
              <w:t>2009</w:t>
            </w:r>
          </w:p>
        </w:tc>
        <w:tc>
          <w:tcPr>
            <w:tcW w:w="440" w:type="dxa"/>
            <w:vAlign w:val="bottom"/>
          </w:tcPr>
          <w:p>
            <w:pPr>
              <w:spacing w:after="0"/>
              <w:rPr>
                <w:sz w:val="19"/>
                <w:szCs w:val="19"/>
                <w:color w:val="auto"/>
              </w:rPr>
            </w:pPr>
          </w:p>
        </w:tc>
        <w:tc>
          <w:tcPr>
            <w:tcW w:w="81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This asset-backed security was transferred from the securities lending program investment portfolio to the marketable securities portfolio during June 2009.</w:t>
      </w:r>
    </w:p>
    <w:p>
      <w:pPr>
        <w:spacing w:after="0" w:line="20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During 2009, we recorded an impairment on our investment in DME. The investment is considered an asset valued at fair value on a non-recurring basis using significant unobservable inputs (level 3). The following is a reconciliation of the asset: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61"/>
        </w:trPr>
        <w:tc>
          <w:tcPr>
            <w:tcW w:w="97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in DME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the asset at January 1, 2009</w:t>
            </w:r>
          </w:p>
        </w:tc>
        <w:tc>
          <w:tcPr>
            <w:tcW w:w="9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Transfers into level 3</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and unrealized gains (losses):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60" w:type="dxa"/>
            <w:vAlign w:val="bottom"/>
            <w:gridSpan w:val="2"/>
          </w:tcPr>
          <w:p>
            <w:pPr>
              <w:jc w:val="right"/>
              <w:ind w:right="6220"/>
              <w:spacing w:after="0"/>
              <w:rPr>
                <w:sz w:val="20"/>
                <w:szCs w:val="20"/>
                <w:color w:val="auto"/>
              </w:rPr>
            </w:pPr>
            <w:r>
              <w:rPr>
                <w:rFonts w:ascii="Arial" w:cs="Arial" w:eastAsia="Arial" w:hAnsi="Arial"/>
                <w:sz w:val="18"/>
                <w:szCs w:val="18"/>
                <w:color w:val="auto"/>
              </w:rPr>
              <w:t>Included in non-operating income (expense)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the asset at December 31, 2009</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gridSpan w:val="3"/>
            <w:vMerge w:val="restart"/>
          </w:tcPr>
          <w:p>
            <w:pPr>
              <w:spacing w:after="0"/>
              <w:rPr>
                <w:sz w:val="20"/>
                <w:szCs w:val="20"/>
                <w:color w:val="auto"/>
              </w:rPr>
            </w:pPr>
            <w:r>
              <w:rPr>
                <w:rFonts w:ascii="Arial" w:cs="Arial" w:eastAsia="Arial" w:hAnsi="Arial"/>
                <w:sz w:val="18"/>
                <w:szCs w:val="18"/>
                <w:color w:val="auto"/>
                <w:w w:val="96"/>
              </w:rPr>
              <w:t>Total unrealized gains (losses) related to financial assets and liabilities in the consolidated balance sheet at December 31, 2009</w:t>
            </w: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780" w:type="dxa"/>
            <w:vAlign w:val="bottom"/>
            <w:gridSpan w:val="3"/>
            <w:vMerge w:val="continue"/>
          </w:tcPr>
          <w:p>
            <w:pPr>
              <w:spacing w:after="0"/>
              <w:rPr>
                <w:sz w:val="18"/>
                <w:szCs w:val="18"/>
                <w:color w:val="auto"/>
              </w:rPr>
            </w:pPr>
          </w:p>
        </w:tc>
        <w:tc>
          <w:tcPr>
            <w:tcW w:w="980" w:type="dxa"/>
            <w:vAlign w:val="bottom"/>
            <w:gridSpan w:val="2"/>
          </w:tcPr>
          <w:p>
            <w:pPr>
              <w:ind w:left="8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780" w:type="dxa"/>
            <w:vAlign w:val="bottom"/>
            <w:gridSpan w:val="3"/>
            <w:vMerge w:val="restart"/>
          </w:tcPr>
          <w:p>
            <w:pPr>
              <w:jc w:val="right"/>
              <w:ind w:right="3980"/>
              <w:spacing w:after="0"/>
              <w:rPr>
                <w:sz w:val="20"/>
                <w:szCs w:val="20"/>
                <w:color w:val="auto"/>
              </w:rPr>
            </w:pPr>
            <w:r>
              <w:rPr>
                <w:rFonts w:ascii="Arial" w:cs="Arial" w:eastAsia="Arial" w:hAnsi="Arial"/>
                <w:sz w:val="18"/>
                <w:szCs w:val="18"/>
                <w:color w:val="auto"/>
              </w:rPr>
              <w:t>82</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780" w:type="dxa"/>
            <w:vAlign w:val="bottom"/>
            <w:gridSpan w:val="3"/>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2" w:name="page83"/>
    <w:bookmarkEnd w:id="82"/>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various market risks, including those caused by changes in interest rates, credit, foreign currency exchange rates, and equity prices.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Debt outstanding at December 31, 2009 consisted of fixed rate borrowings of $1.6 billion and variable rate borrowings of $0.7 billion. Commercial paper is included in fixed rate borrowings; however, because maturities for commercial paper are generally less than 90 days, commercial paper is considered subject to interest rate fluctuations. Borrowings subject to variable interest rate fluctuations were as follows as of December 31, 2009:</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Stated</w:t>
            </w:r>
          </w:p>
        </w:tc>
        <w:tc>
          <w:tcPr>
            <w:tcW w:w="0" w:type="dxa"/>
            <w:vAlign w:val="bottom"/>
          </w:tcPr>
          <w:p>
            <w:pPr>
              <w:spacing w:after="0"/>
              <w:rPr>
                <w:sz w:val="1"/>
                <w:szCs w:val="1"/>
                <w:color w:val="auto"/>
              </w:rPr>
            </w:pPr>
          </w:p>
        </w:tc>
      </w:tr>
      <w:tr>
        <w:trPr>
          <w:trHeight w:val="161"/>
        </w:trPr>
        <w:tc>
          <w:tcPr>
            <w:tcW w:w="932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 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tcBorders>
              <w:right w:val="single" w:sz="8" w:color="auto"/>
            </w:tcBorders>
            <w:shd w:val="clear" w:color="auto" w:fill="000000"/>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3"/>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Floating rate notes due August 2010</w:t>
            </w:r>
            <w:r>
              <w:rPr>
                <w:rFonts w:ascii="Arial" w:cs="Arial" w:eastAsia="Arial" w:hAnsi="Arial"/>
                <w:sz w:val="11"/>
                <w:szCs w:val="11"/>
                <w:color w:val="auto"/>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299.8</w:t>
            </w:r>
          </w:p>
        </w:tc>
        <w:tc>
          <w:tcPr>
            <w:tcW w:w="640" w:type="dxa"/>
            <w:vAlign w:val="bottom"/>
          </w:tcPr>
          <w:p>
            <w:pPr>
              <w:spacing w:after="0"/>
              <w:rPr>
                <w:sz w:val="18"/>
                <w:szCs w:val="18"/>
                <w:color w:val="auto"/>
              </w:rPr>
            </w:pPr>
          </w:p>
        </w:tc>
        <w:tc>
          <w:tcPr>
            <w:tcW w:w="960" w:type="dxa"/>
            <w:vAlign w:val="bottom"/>
            <w:gridSpan w:val="2"/>
          </w:tcPr>
          <w:p>
            <w:pPr>
              <w:ind w:left="46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due August 2011</w:t>
            </w:r>
            <w:r>
              <w:rPr>
                <w:rFonts w:ascii="Arial" w:cs="Arial" w:eastAsia="Arial" w:hAnsi="Arial"/>
                <w:sz w:val="11"/>
                <w:szCs w:val="11"/>
                <w:color w:val="auto"/>
              </w:rPr>
              <w:t>(2)</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2"/>
        </w:trPr>
        <w:tc>
          <w:tcPr>
            <w:tcW w:w="9320" w:type="dxa"/>
            <w:vAlign w:val="bottom"/>
            <w:gridSpan w:val="3"/>
          </w:tcPr>
          <w:p>
            <w:pPr>
              <w:spacing w:after="0"/>
              <w:rPr>
                <w:sz w:val="20"/>
                <w:szCs w:val="20"/>
                <w:color w:val="auto"/>
              </w:rPr>
            </w:pPr>
            <w:r>
              <w:rPr>
                <w:rFonts w:ascii="Arial" w:cs="Arial" w:eastAsia="Arial" w:hAnsi="Arial"/>
                <w:sz w:val="18"/>
                <w:szCs w:val="18"/>
                <w:color w:val="auto"/>
              </w:rPr>
              <w:t>Total debt subject to variable interest fluctuations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820.3</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8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both"/>
        <w:ind w:left="460" w:right="180" w:hanging="452"/>
        <w:spacing w:after="0" w:line="253"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2010 notes bear interest at a floating rate equal to three-month LIBOR plus 0.65% per year. In September 2008, we entered into an interest-rate swap agreement that modifies the variable interest obligation associated with these notes so that the interest payable on the notes effectively becomes fixed at a rate of 3.92% beginning with the interest accrued after November 6, 2008.</w:t>
      </w:r>
    </w:p>
    <w:p>
      <w:pPr>
        <w:ind w:left="460" w:right="60" w:hanging="452"/>
        <w:spacing w:after="0" w:line="255"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term loan bears interest at a floating rate equal to three-month LIBOR plus 1.00% per year. In September 2008, we entered into an interest-rate swap agreement that modifies the variable interest obligation associated with this facility so that the interest payable effectively becomes fixed at a rate of 4.72% beginning with the interest accrued after October 22, 2008.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clearing house acts as the counterparty to all trades consummated on or through our exchange as well as through third-party exchanges and over-the-counter markets for which we provide clearing services. As a result, we are exposed to significant credit risk of third parties, including our clearing firms. We are also exposed, indirectly, to the credit risk of customers of our clearing firms. These parties may default on their obligations due to bankruptcy, lack of liquidity, operational failure or other reasons.</w:t>
      </w:r>
    </w:p>
    <w:p>
      <w:pPr>
        <w:spacing w:after="0" w:line="14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order to ensure performance, we establish and monitor financial requirements for our clearing firms. We set minimum performance bond requirements for our traded products. We typically hold performance bond collateral to cover at least 95% of price changes for a given product within a given historical period. Our clearing house marks-to-market all open positions at least twice a day, and more often if market volatility warrants; providing both participants in a transaction with an accounting of their financial obligations under the contract. This allows our clearing house to identify quickly any clearing firms that may not be able to satisfy the financial obligations resulting from changes in the prices of their open contracts before those financial obligations become exceptionally large and jeopardize the ability of our clearing house to ensure performance of their open positions. This transparency makes it difficult for traders to hide losses or disguise unusual profits. In select circumstances where CME has introduced clearing services to newer markets, positions are marked-to-market daily, with the capability to mark-to-market more frequently as market conditions warrant.</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Although we have policies and procedures to help ensure that our clearing firms can satisfy their obligations, these policies and procedures may not succeed in detecting problems or preventing defaults. We also have in place various measures intended to enable us to cover any default and maintain liquidity. In the unlikely event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4" w:right="239" w:bottom="1440" w:gutter="0" w:footer="0" w:header="0"/>
        </w:sectPr>
      </w:pPr>
    </w:p>
    <w:bookmarkStart w:id="83" w:name="page84"/>
    <w:bookmarkEnd w:id="8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payment default by a clearing firm, we would first apply assets of that clearing firm to cover its payment obligation. These assets include security deposits, performance bonds and any other available assets, such as proceeds from the sale of Class A common stock and trading rights (at CME, CBOT, NYMEX and/or COMEX as applicable) owned by or assigned to the clearing firm. In addition, we would make a demand for payment pursuant to any applicable guarantee provided to the exchange by the parent of a clearing firm. Thereafter, if the payment default remains unsatisfied, we would use our surplus funds, security deposits of other clearing firms and funds collected through an assessment against all other solvent clearing firms to satisfy the deficit. We maintain a $1.0 billion 364-day revolving line of credit with a consortium of banks. We have the option to increase the facility from $1.0 billion to $1.5 billion, subject to approval by the participating banks. We are required to post additional collateral in connection with any such increase. This line of credit may also be utilized if there is a temporary disruption with the domestic payments system that would delay settlement payments between our clearing house and clearing firms. The credit agreement requires us to pledge clearing firm security deposits held by us in the form of U.S. Treasury or agency securities, as well as security deposit funds in our IEF program to the line of credit custodian prior to drawing on the line. Performance bond collateral of a defaulting clearing firm may also be used to secure a draw on the 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shows the available assets of our clearing house at December 31, 2009 in the event of a payment default by a clearing firm: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1"/>
              </w:rPr>
              <w:t>CME Clearing House</w:t>
            </w:r>
          </w:p>
        </w:tc>
        <w:tc>
          <w:tcPr>
            <w:tcW w:w="0" w:type="dxa"/>
            <w:vAlign w:val="bottom"/>
          </w:tcPr>
          <w:p>
            <w:pPr>
              <w:spacing w:after="0"/>
              <w:rPr>
                <w:sz w:val="1"/>
                <w:szCs w:val="1"/>
                <w:color w:val="auto"/>
              </w:rPr>
            </w:pPr>
          </w:p>
        </w:tc>
      </w:tr>
      <w:tr>
        <w:trPr>
          <w:trHeight w:val="161"/>
        </w:trPr>
        <w:tc>
          <w:tcPr>
            <w:tcW w:w="1016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Available 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Aggregate Performance Bond Deposits by All Clearing Firms</w:t>
            </w:r>
            <w:r>
              <w:rPr>
                <w:rFonts w:ascii="Arial" w:cs="Arial" w:eastAsia="Arial" w:hAnsi="Arial"/>
                <w:sz w:val="11"/>
                <w:szCs w:val="11"/>
                <w:color w:val="auto"/>
              </w:rPr>
              <w:t>(1)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76,346.1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160" w:type="dxa"/>
            <w:vAlign w:val="bottom"/>
            <w:gridSpan w:val="4"/>
          </w:tcPr>
          <w:p>
            <w:pPr>
              <w:spacing w:after="0"/>
              <w:rPr>
                <w:sz w:val="20"/>
                <w:szCs w:val="20"/>
                <w:color w:val="auto"/>
              </w:rPr>
            </w:pPr>
            <w:r>
              <w:rPr>
                <w:rFonts w:ascii="Arial" w:cs="Arial" w:eastAsia="Arial" w:hAnsi="Arial"/>
                <w:sz w:val="18"/>
                <w:szCs w:val="18"/>
                <w:color w:val="auto"/>
              </w:rPr>
              <w:t>CME Surplus Funds</w:t>
            </w:r>
            <w:r>
              <w:rPr>
                <w:rFonts w:ascii="Arial" w:cs="Arial" w:eastAsia="Arial" w:hAnsi="Arial"/>
                <w:sz w:val="11"/>
                <w:szCs w:val="11"/>
                <w:color w:val="auto"/>
              </w:rPr>
              <w:t>(2)</w:t>
            </w:r>
          </w:p>
        </w:tc>
        <w:tc>
          <w:tcPr>
            <w:tcW w:w="12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Security Deposits of Clearing Firms</w:t>
            </w:r>
            <w:r>
              <w:rPr>
                <w:rFonts w:ascii="Arial" w:cs="Arial" w:eastAsia="Arial" w:hAnsi="Arial"/>
                <w:sz w:val="11"/>
                <w:szCs w:val="11"/>
                <w:color w:val="auto"/>
              </w:rPr>
              <w:t>(3)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Limited Assessment Powers</w:t>
            </w:r>
            <w:r>
              <w:rPr>
                <w:rFonts w:ascii="Arial" w:cs="Arial" w:eastAsia="Arial" w:hAnsi="Arial"/>
                <w:sz w:val="11"/>
                <w:szCs w:val="11"/>
                <w:color w:val="auto"/>
              </w:rPr>
              <w:t>(4)</w:t>
            </w: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Minimum Total Assets Available for Default</w:t>
            </w:r>
            <w:r>
              <w:rPr>
                <w:rFonts w:ascii="Arial" w:cs="Arial" w:eastAsia="Arial" w:hAnsi="Arial"/>
                <w:sz w:val="11"/>
                <w:szCs w:val="11"/>
                <w:color w:val="auto"/>
              </w:rPr>
              <w:t>(5)</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9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53"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Aggregate performance bond deposits by all clearing firms includes cash performance bond deposits of $5.8 billion and the market value of the securities deposited to satisfy performance bond requirements. In the event of a default, we also have the ability to use the Class A shares and membership shares pledged by members.</w:t>
      </w:r>
    </w:p>
    <w:p>
      <w:pPr>
        <w:ind w:left="460" w:right="16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CME surplus funds represent the amount of CME’s working capital reduced by an amount necessary to support CME’s short-term operations. Our target for surplus funds is $100.0 million with amounts in excess of this target generally paid as a dividend from CME to CME Group on a quarterly basis based on prior quarter-end balances.</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Security deposits of clearing firms include security deposits required of clearing firms, but do not include any excess deposits held by our exchange at the direction of the clearing firms.</w:t>
      </w:r>
    </w:p>
    <w:p>
      <w:pPr>
        <w:ind w:left="460" w:right="20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event of a clearing firm default, if a loss continues to exist after the utilization of the assets of the defaulted firm, our surplus funds and the security deposits of non-defaulting firms, we have the right to assess all non-defaulting clearing members up to 2.75 times their existing security deposit requirements.</w:t>
      </w:r>
    </w:p>
    <w:p>
      <w:pPr>
        <w:spacing w:after="0" w:line="1"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aggregate minimum resources available to satisfy any obligations not met by a defaulting firm able to clear CME, CBOT, NYMEX and COMEX products subsequent to the liquidation of the defaulting firm’s performance bond collateral.</w:t>
      </w:r>
    </w:p>
    <w:p>
      <w:pPr>
        <w:spacing w:after="0" w:line="13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Despite these safeguards, we cannot assure you that these measures will be sufficient to protect us from a default or that we will not be materially and adversely affected in the event of a significant default.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9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Although our foreign operations have expanded as a result of recent business combinations, our exposure to foreign currency exchange rate risk resulting from ongoing foreign operations is not expected to be material to our financial condition or operating results.</w:t>
      </w:r>
    </w:p>
    <w:p>
      <w:pPr>
        <w:spacing w:after="0" w:line="132"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are also exposed to foreign exchange rate risk related to the equity investments noted under Equity Price Risk. Any foreign currency exchange rate risk related to these investments is reflected in the Equity Price Risk section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8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Price Risk</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hold certain investments in equity securities for strategic purposes. Investments subject to equity price risks are generally recorded as available for sale at their fair value. Equity securities whose sale is restricted for greater than 12 months are carried at original cost, net of impairment charges, until the restriction is within 12 months of expiration at which time they are recorded at fair value.</w:t>
      </w:r>
    </w:p>
    <w:p>
      <w:pPr>
        <w:spacing w:after="0" w:line="14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Fair values for publicly-traded equity investments are based on quoted market prices. Fair values are subject to fluctuation and, consequently, the amount realized in the subsequent sale of an investment may differ significantly from its current reported value. Fluctuation in the market price of a security may result from perceived changes in the underlying economic characteristics of the issuer, the relative price of alternative investments and general market conditions.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our equity investments at December 31, 2009. Equity investments are included in other assets in our consolidated 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rPr>
              <w:t>Cost</w:t>
            </w:r>
          </w:p>
        </w:tc>
        <w:tc>
          <w:tcPr>
            <w:tcW w:w="50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Carrying</w:t>
            </w:r>
          </w:p>
        </w:tc>
        <w:tc>
          <w:tcPr>
            <w:tcW w:w="4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Gain (Loss),</w:t>
            </w:r>
          </w:p>
        </w:tc>
        <w:tc>
          <w:tcPr>
            <w:tcW w:w="0" w:type="dxa"/>
            <w:vAlign w:val="bottom"/>
          </w:tcPr>
          <w:p>
            <w:pPr>
              <w:spacing w:after="0"/>
              <w:rPr>
                <w:sz w:val="1"/>
                <w:szCs w:val="1"/>
                <w:color w:val="auto"/>
              </w:rPr>
            </w:pPr>
          </w:p>
        </w:tc>
      </w:tr>
      <w:tr>
        <w:trPr>
          <w:trHeight w:val="161"/>
        </w:trPr>
        <w:tc>
          <w:tcPr>
            <w:tcW w:w="7600" w:type="dxa"/>
            <w:vAlign w:val="bottom"/>
            <w:gridSpan w:val="3"/>
          </w:tcPr>
          <w:p>
            <w:pPr>
              <w:spacing w:after="0"/>
              <w:rPr>
                <w:sz w:val="20"/>
                <w:szCs w:val="20"/>
                <w:color w:val="auto"/>
              </w:rPr>
            </w:pPr>
            <w:r>
              <w:rPr>
                <w:rFonts w:ascii="Arial" w:cs="Arial" w:eastAsia="Arial" w:hAnsi="Arial"/>
                <w:sz w:val="14"/>
                <w:szCs w:val="14"/>
                <w:b w:val="1"/>
                <w:bCs w:val="1"/>
                <w:color w:val="auto"/>
              </w:rPr>
              <w:t>(dollars in millions)</w:t>
            </w: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Basis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rPr>
              <w:t>Value</w:t>
            </w:r>
          </w:p>
        </w:tc>
        <w:tc>
          <w:tcPr>
            <w:tcW w:w="4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Net of Tax</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BM&amp;FBOVESPA S.A.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$262.9</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$710.8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$ 262.9</w:t>
            </w:r>
          </w:p>
        </w:tc>
        <w:tc>
          <w:tcPr>
            <w:tcW w:w="1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270.5</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TMX Group Inc.</w:t>
            </w:r>
          </w:p>
        </w:tc>
        <w:tc>
          <w:tcPr>
            <w:tcW w:w="500" w:type="dxa"/>
            <w:vAlign w:val="bottom"/>
          </w:tcPr>
          <w:p>
            <w:pPr>
              <w:jc w:val="right"/>
              <w:spacing w:after="0"/>
              <w:rPr>
                <w:sz w:val="20"/>
                <w:szCs w:val="20"/>
                <w:color w:val="auto"/>
              </w:rPr>
            </w:pPr>
            <w:r>
              <w:rPr>
                <w:rFonts w:ascii="Arial" w:cs="Arial" w:eastAsia="Arial" w:hAnsi="Arial"/>
                <w:sz w:val="18"/>
                <w:szCs w:val="18"/>
                <w:color w:val="auto"/>
              </w:rPr>
              <w:t>46.0</w:t>
            </w: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44.4</w:t>
            </w: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IMAREX ASA</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w:t>
            </w:r>
            <w:r>
              <w:rPr>
                <w:rFonts w:ascii="Arial" w:cs="Arial" w:eastAsia="Arial" w:hAnsi="Arial"/>
                <w:sz w:val="11"/>
                <w:szCs w:val="11"/>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60" w:hanging="452"/>
        <w:spacing w:after="0" w:line="25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February 2008, we exchanged 1.2 million shares of CME Group Class A common stock for 101.1 million shares in BM&amp;FBOVESPA. The company may not sell its shares in BM&amp;FBOVESPA for four years after the purchase date. As a result, BM&amp;FBOVESPA stock is reported in other assets at original cost less impairment loss until within 12 months of the restriction lapsing, after which time the stock will be accounted for as an available-for-sale security. The unrealized gain is currently not recorded. In addition, the unrealized gain does not take into account an unrealized loss of $81.7 million, net of tax, resulting from changes in foreign currency exchange rates, which has been recorded in accumulated other comprehensive income (loss) upon recognizing impairment on the investment in December 2008.</w:t>
      </w:r>
    </w:p>
    <w:p>
      <w:pPr>
        <w:spacing w:after="0" w:line="4" w:lineRule="exact"/>
        <w:rPr>
          <w:rFonts w:ascii="Arial" w:cs="Arial" w:eastAsia="Arial" w:hAnsi="Arial"/>
          <w:sz w:val="18"/>
          <w:szCs w:val="18"/>
          <w:color w:val="auto"/>
        </w:rPr>
      </w:pPr>
    </w:p>
    <w:p>
      <w:pPr>
        <w:ind w:left="460" w:right="52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During the third quarter of 2009, the company recorded an other-than-temporary impairment on its investment in IMAREX ASA. This resulted in an impairment charge of $22.4 million, which reduced our cost basis from $41.4 million to $19.0 million.</w:t>
      </w:r>
    </w:p>
    <w:p>
      <w:pPr>
        <w:spacing w:after="0" w:line="13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do not currently hedge against equity price risk. Equity investments are assessed for other-than-temporary impairment on a quarterly basis. An assessment of whether an equity investment is other-than-temporarily impaired takes into consideration the magnitude and duration of the unrealized loss. At December 31, 2009, we determined that none of the equity investments listed above were other-than-temporarily impaired.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4"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28"/>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8080" w:type="dxa"/>
            <w:vAlign w:val="bottom"/>
          </w:tcPr>
          <w:p>
            <w:pPr>
              <w:spacing w:after="0"/>
              <w:rPr>
                <w:sz w:val="20"/>
                <w:szCs w:val="20"/>
                <w:color w:val="auto"/>
              </w:rPr>
            </w:pPr>
            <w:r>
              <w:rPr>
                <w:rFonts w:ascii="Arial" w:cs="Arial" w:eastAsia="Arial" w:hAnsi="Arial"/>
                <w:sz w:val="18"/>
                <w:szCs w:val="18"/>
                <w:b w:val="1"/>
                <w:bCs w:val="1"/>
                <w:color w:val="auto"/>
              </w:rPr>
              <w:t>FINANCIAL STATEMENTS AND SUPPLEMENTARY DATA</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80" w:type="dxa"/>
            <w:vAlign w:val="bottom"/>
          </w:tcPr>
          <w:p>
            <w:pPr>
              <w:jc w:val="center"/>
              <w:ind w:left="992"/>
              <w:spacing w:after="0"/>
              <w:rPr>
                <w:sz w:val="20"/>
                <w:szCs w:val="20"/>
                <w:color w:val="auto"/>
              </w:rPr>
            </w:pPr>
            <w:r>
              <w:rPr>
                <w:rFonts w:ascii="Arial" w:cs="Arial" w:eastAsia="Arial" w:hAnsi="Arial"/>
                <w:sz w:val="18"/>
                <w:szCs w:val="18"/>
                <w:b w:val="1"/>
                <w:bCs w:val="1"/>
                <w:color w:val="auto"/>
                <w:w w:val="97"/>
              </w:rPr>
              <w:t>CME GROUP INC. AND SUBSIDIARIES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80" w:type="dxa"/>
            <w:vAlign w:val="bottom"/>
          </w:tcPr>
          <w:p>
            <w:pPr>
              <w:jc w:val="center"/>
              <w:ind w:left="992"/>
              <w:spacing w:after="0"/>
              <w:rPr>
                <w:sz w:val="20"/>
                <w:szCs w:val="20"/>
                <w:color w:val="auto"/>
              </w:rPr>
            </w:pPr>
            <w:r>
              <w:rPr>
                <w:rFonts w:ascii="Arial" w:cs="Arial" w:eastAsia="Arial" w:hAnsi="Arial"/>
                <w:sz w:val="18"/>
                <w:szCs w:val="18"/>
                <w:b w:val="1"/>
                <w:bCs w:val="1"/>
                <w:color w:val="auto"/>
                <w:w w:val="96"/>
              </w:rPr>
              <w:t>CONSOLIDATED BALANCE SHEETS</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80" w:type="dxa"/>
            <w:vAlign w:val="bottom"/>
          </w:tcPr>
          <w:p>
            <w:pPr>
              <w:jc w:val="center"/>
              <w:ind w:left="972"/>
              <w:spacing w:after="0"/>
              <w:rPr>
                <w:sz w:val="20"/>
                <w:szCs w:val="20"/>
                <w:color w:val="auto"/>
              </w:rPr>
            </w:pPr>
            <w:r>
              <w:rPr>
                <w:rFonts w:ascii="Arial" w:cs="Arial" w:eastAsia="Arial" w:hAnsi="Arial"/>
                <w:sz w:val="18"/>
                <w:szCs w:val="18"/>
                <w:color w:val="auto"/>
                <w:w w:val="87"/>
              </w:rPr>
              <w:t>(dollars in millions, except per share data; shares in thousands)</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Collateral from securities lending, at fair value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Marketable securities, including pledged securities of $— and $283.8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Accounts receivable, net of allowance of $1.9 and $1.8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17,653.5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19,111.5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Property,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738.5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Intangible assets—trading products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16,982.0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16,982.0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Intangible assets—other, net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3,246.5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7,549.2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7,519.2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Other assets</w:t>
            </w:r>
          </w:p>
        </w:tc>
        <w:tc>
          <w:tcPr>
            <w:tcW w:w="8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35,651.0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48,158.7</w:t>
            </w:r>
          </w:p>
        </w:tc>
        <w:tc>
          <w:tcPr>
            <w:tcW w:w="0" w:type="dxa"/>
            <w:vAlign w:val="bottom"/>
          </w:tcPr>
          <w:p>
            <w:pPr>
              <w:spacing w:after="0"/>
              <w:rPr>
                <w:sz w:val="1"/>
                <w:szCs w:val="1"/>
                <w:color w:val="auto"/>
              </w:rPr>
            </w:pPr>
          </w:p>
        </w:tc>
      </w:tr>
      <w:tr>
        <w:trPr>
          <w:trHeight w:val="20"/>
        </w:trPr>
        <w:tc>
          <w:tcPr>
            <w:tcW w:w="9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92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46.7</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Payable under securities lending agreements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Short-term debt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299.8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Cash performance bonds and security deposits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17,653.5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6,523.6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18,643.0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0"/>
              </w:rPr>
              <w:t>Long-term debt</w:t>
            </w:r>
          </w:p>
        </w:tc>
        <w:tc>
          <w:tcPr>
            <w:tcW w:w="8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2,014.7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 net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7,728.3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3"/>
              </w:rPr>
              <w:t>Other liabilities</w:t>
            </w:r>
          </w:p>
        </w:tc>
        <w:tc>
          <w:tcPr>
            <w:tcW w:w="8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Liabilities</w:t>
            </w:r>
          </w:p>
        </w:tc>
        <w:tc>
          <w:tcPr>
            <w:tcW w:w="8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16,350.0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29,470.1</w:t>
            </w:r>
          </w:p>
        </w:tc>
        <w:tc>
          <w:tcPr>
            <w:tcW w:w="0" w:type="dxa"/>
            <w:vAlign w:val="bottom"/>
          </w:tcPr>
          <w:p>
            <w:pPr>
              <w:spacing w:after="0"/>
              <w:rPr>
                <w:sz w:val="1"/>
                <w:szCs w:val="1"/>
                <w:color w:val="auto"/>
              </w:rPr>
            </w:pPr>
          </w:p>
        </w:tc>
      </w:tr>
      <w:tr>
        <w:trPr>
          <w:trHeight w:val="222"/>
        </w:trPr>
        <w:tc>
          <w:tcPr>
            <w:tcW w:w="9220" w:type="dxa"/>
            <w:vAlign w:val="bottom"/>
            <w:gridSpan w:val="3"/>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Preferred stock, $0.01 par value, 9,860 shares authorized, none issued or outstanding</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w w:val="98"/>
              </w:rPr>
              <w:t>Series A junior participating preferred stock, $0.01 par value, 140 shares authorized, none issued or outstanding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8"/>
              </w:rPr>
              <w:t>Class A common stock, $0.01 par value, 1,000,000 shares authorized, 66,511 and 66,417 shares issued and outstanding as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of December 31, 2009 and 2008, respectively</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Class B common stock, $0.01 par value, 3 shares authorized, issued and outstanding</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17,186.6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17,128.5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tcPr>
          <w:p>
            <w:pPr>
              <w:ind w:left="42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2,239.9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30"/>
        </w:trPr>
        <w:tc>
          <w:tcPr>
            <w:tcW w:w="9220" w:type="dxa"/>
            <w:vAlign w:val="bottom"/>
            <w:gridSpan w:val="3"/>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19,301.0</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18,688.6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35,651.0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48,158.7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86" w:name="page87"/>
    <w:bookmarkEnd w:id="86"/>
    <w:p>
      <w:pPr>
        <w:ind w:left="4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CME GROUP INC. AND SUBSIDIARIES</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86"/>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Clearing and transaction fees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2,161.9</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2,115.4</w:t>
            </w:r>
          </w:p>
        </w:tc>
        <w:tc>
          <w:tcPr>
            <w:tcW w:w="4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Quotation data fees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Processing services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54.1</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Access and communication fees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w:t>
            </w:r>
          </w:p>
        </w:tc>
        <w:tc>
          <w:tcPr>
            <w:tcW w:w="2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2,612.8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2,561.0</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1,756.1</w:t>
            </w:r>
          </w:p>
        </w:tc>
        <w:tc>
          <w:tcPr>
            <w:tcW w:w="0" w:type="dxa"/>
            <w:vAlign w:val="bottom"/>
          </w:tcPr>
          <w:p>
            <w:pPr>
              <w:spacing w:after="0"/>
              <w:rPr>
                <w:sz w:val="1"/>
                <w:szCs w:val="1"/>
                <w:color w:val="auto"/>
              </w:rPr>
            </w:pPr>
          </w:p>
        </w:tc>
      </w:tr>
      <w:tr>
        <w:trPr>
          <w:trHeight w:val="32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25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Communications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Technology support services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Professional fees and outside services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85.1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71.9</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purchased intangibles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137.3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Occupancy and building operations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Licensing and other fee agreements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89.2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70.3</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Restructuring</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w:t>
            </w:r>
          </w:p>
        </w:tc>
        <w:tc>
          <w:tcPr>
            <w:tcW w:w="2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Expenses</w:t>
            </w:r>
          </w:p>
        </w:tc>
        <w:tc>
          <w:tcPr>
            <w:tcW w:w="2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1,023.7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1,589.1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1,582.2</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1,051.9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Non-Operating Income (Expense)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Investment income</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45.5</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long-term investments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(274.5)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Gains (losses) on derivative investments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Securities lending interest income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Securities lending interest and other costs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(51.7)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borrowing costs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Guarantee of exercise right privileges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unconsolidated subsidiaries</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income (expense)</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1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Non-Operating</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(151.6)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(334.2)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1"/>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2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1,437.5</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1,248.0</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825.8</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715.5</w:t>
            </w:r>
          </w:p>
        </w:tc>
        <w:tc>
          <w:tcPr>
            <w:tcW w:w="44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0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Common Share:</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Basic</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12.44</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12.18</w:t>
            </w:r>
          </w:p>
        </w:tc>
        <w:tc>
          <w:tcPr>
            <w:tcW w:w="4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66,366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58,738</w:t>
            </w: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43,754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Diluted</w:t>
            </w:r>
          </w:p>
        </w:tc>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66,548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58,967</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44,107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87" w:name="page88"/>
    <w:bookmarkEnd w:id="87"/>
    <w:p>
      <w:pPr>
        <w:ind w:left="4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CME GROUP INC. AND SUBSIDIARIES</w:t>
      </w:r>
    </w:p>
    <w:p>
      <w:pPr>
        <w:spacing w:after="0" w:line="9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Common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Class B</w:t>
            </w:r>
          </w:p>
        </w:tc>
        <w:tc>
          <w:tcPr>
            <w:tcW w:w="340" w:type="dxa"/>
            <w:vAlign w:val="bottom"/>
          </w:tcPr>
          <w:p>
            <w:pPr>
              <w:spacing w:after="0"/>
              <w:rPr>
                <w:sz w:val="12"/>
                <w:szCs w:val="12"/>
                <w:color w:val="auto"/>
              </w:rPr>
            </w:pPr>
          </w:p>
        </w:tc>
        <w:tc>
          <w:tcPr>
            <w:tcW w:w="11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Stock and</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Common</w:t>
            </w: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Common</w:t>
            </w:r>
          </w:p>
        </w:tc>
        <w:tc>
          <w:tcPr>
            <w:tcW w:w="340" w:type="dxa"/>
            <w:vAlign w:val="bottom"/>
          </w:tcPr>
          <w:p>
            <w:pPr>
              <w:spacing w:after="0"/>
              <w:rPr>
                <w:sz w:val="12"/>
                <w:szCs w:val="12"/>
                <w:color w:val="auto"/>
              </w:rPr>
            </w:pPr>
          </w:p>
        </w:tc>
        <w:tc>
          <w:tcPr>
            <w:tcW w:w="11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Additional</w:t>
            </w: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Other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Stock</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Paid-in</w:t>
            </w: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Retained</w:t>
            </w:r>
          </w:p>
        </w:tc>
        <w:tc>
          <w:tcPr>
            <w:tcW w:w="20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(Shares)</w:t>
            </w:r>
          </w:p>
        </w:tc>
        <w:tc>
          <w:tcPr>
            <w:tcW w:w="4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Capital</w:t>
            </w:r>
          </w:p>
        </w:tc>
        <w:tc>
          <w:tcPr>
            <w:tcW w:w="44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34,836</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$1,116.2</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8"/>
              </w:rPr>
              <w:t>Cumulative effect of adopting accounting guidance on uncertain</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ind w:left="200"/>
              <w:spacing w:after="0"/>
              <w:rPr>
                <w:sz w:val="20"/>
                <w:szCs w:val="20"/>
                <w:color w:val="auto"/>
              </w:rPr>
            </w:pPr>
            <w:r>
              <w:rPr>
                <w:rFonts w:ascii="Arial" w:cs="Arial" w:eastAsia="Arial" w:hAnsi="Arial"/>
                <w:sz w:val="18"/>
                <w:szCs w:val="18"/>
                <w:color w:val="auto"/>
              </w:rPr>
              <w:t>tax positions</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34,836</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405.9</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1,112.5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w w:val="98"/>
              </w:rPr>
              <w:t>Change in net unrealized loss on securities, net of tax $1.2</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Change in net actuarial loss on defined benefit plans, net of</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 of $1.6</w:t>
            </w: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w w:val="95"/>
              </w:rPr>
              <w:t>Change in foreign currency translation adjustment, net of tax</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040" w:type="dxa"/>
            <w:vAlign w:val="bottom"/>
          </w:tcPr>
          <w:p>
            <w:pPr>
              <w:ind w:left="640"/>
              <w:spacing w:after="0"/>
              <w:rPr>
                <w:sz w:val="20"/>
                <w:szCs w:val="20"/>
                <w:color w:val="auto"/>
              </w:rPr>
            </w:pPr>
            <w:r>
              <w:rPr>
                <w:rFonts w:ascii="Arial" w:cs="Arial" w:eastAsia="Arial" w:hAnsi="Arial"/>
                <w:sz w:val="18"/>
                <w:szCs w:val="18"/>
                <w:color w:val="auto"/>
              </w:rPr>
              <w:t>of $0.3</w:t>
            </w: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Cash dividends on common stock of $3.44 per share</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Common stock and stock options issued to complete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CBOT Holdings merger, including stock issuance costs</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19,816</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11,126.1</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A common stock</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(1,695)</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(950.6)</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309</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39.1</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option exercises and restricted stock</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vesting</w:t>
            </w: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Shares issued under Employee Stock</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4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53,278</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10,689.3</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1,619.4</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12,305.6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4" w:right="239" w:bottom="1440" w:gutter="0" w:footer="0" w:header="0"/>
        </w:sectPr>
      </w:pPr>
    </w:p>
    <w:bookmarkStart w:id="88" w:name="page89"/>
    <w:bookmarkEnd w:id="88"/>
    <w:p>
      <w:pPr>
        <w:ind w:left="4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CME GROUP INC. AND SUBSIDIARIES</w:t>
      </w:r>
    </w:p>
    <w:p>
      <w:pPr>
        <w:spacing w:after="0" w:line="9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 xml:space="preserve">CONSOLIDATED STATEMENTS OF SHAREHOLDERS’ EQUITY </w:t>
      </w:r>
      <w:r>
        <w:rPr>
          <w:rFonts w:ascii="Arial" w:cs="Arial" w:eastAsia="Arial" w:hAnsi="Arial"/>
          <w:sz w:val="18"/>
          <w:szCs w:val="18"/>
          <w:color w:val="auto"/>
        </w:rPr>
        <w: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Common</w:t>
            </w: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Class A</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Class B</w:t>
            </w: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Stock and</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Common</w:t>
            </w: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Common</w:t>
            </w: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Stock</w:t>
            </w: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Paid-in</w:t>
            </w: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Retained</w:t>
            </w:r>
          </w:p>
        </w:tc>
        <w:tc>
          <w:tcPr>
            <w:tcW w:w="11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20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Shareholders’</w:t>
            </w: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Capital</w:t>
            </w:r>
          </w:p>
        </w:tc>
        <w:tc>
          <w:tcPr>
            <w:tcW w:w="4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44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8"/>
              </w:rPr>
              <w:t>Equity</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53,278</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$ 10,689.3</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$ 1,619.4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12,305.6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w:t>
            </w: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Change in net unrealized loss on securities, net of tax</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4920" w:type="dxa"/>
            <w:vAlign w:val="bottom"/>
            <w:gridSpan w:val="2"/>
          </w:tcPr>
          <w:p>
            <w:pPr>
              <w:ind w:left="660"/>
              <w:spacing w:after="0"/>
              <w:rPr>
                <w:sz w:val="20"/>
                <w:szCs w:val="20"/>
                <w:color w:val="auto"/>
              </w:rPr>
            </w:pPr>
            <w:r>
              <w:rPr>
                <w:rFonts w:ascii="Arial" w:cs="Arial" w:eastAsia="Arial" w:hAnsi="Arial"/>
                <w:sz w:val="18"/>
                <w:szCs w:val="18"/>
                <w:color w:val="auto"/>
              </w:rPr>
              <w:t>$16.4</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(25.3)</w:t>
            </w: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Change in net actuarial loss on defined benefit plans, net</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tax of $10.4</w:t>
            </w: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r>
      <w:tr>
        <w:trPr>
          <w:trHeight w:val="208"/>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w w:val="97"/>
              </w:rPr>
              <w:t>Change in net unrealized loss on derivatives, net of tax of</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4920" w:type="dxa"/>
            <w:vAlign w:val="bottom"/>
            <w:gridSpan w:val="2"/>
          </w:tcPr>
          <w:p>
            <w:pPr>
              <w:ind w:left="660"/>
              <w:spacing w:after="0"/>
              <w:rPr>
                <w:sz w:val="20"/>
                <w:szCs w:val="20"/>
                <w:color w:val="auto"/>
              </w:rPr>
            </w:pPr>
            <w:r>
              <w:rPr>
                <w:rFonts w:ascii="Arial" w:cs="Arial" w:eastAsia="Arial" w:hAnsi="Arial"/>
                <w:sz w:val="18"/>
                <w:szCs w:val="18"/>
                <w:color w:val="auto"/>
              </w:rPr>
              <w:t>$13.5</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r>
      <w:tr>
        <w:trPr>
          <w:trHeight w:val="209"/>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Change in foreign currency translation adjustment, net of</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 of $21.3</w:t>
            </w: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(95.7)</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w:t>
            </w:r>
          </w:p>
        </w:tc>
      </w:tr>
      <w:tr>
        <w:trPr>
          <w:trHeight w:val="221"/>
        </w:trPr>
        <w:tc>
          <w:tcPr>
            <w:tcW w:w="492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558.3</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$9.60 per share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(615.2)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(615.2)</w:t>
            </w:r>
          </w:p>
        </w:tc>
      </w:tr>
      <w:tr>
        <w:trPr>
          <w:trHeight w:val="208"/>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9"/>
              </w:rPr>
              <w:t>Common stock and stock options issued to complete NYMEX</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Holdings merger, including stock issuance costs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12,566</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5,955.1</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5,955.1</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stock issued in exchange for</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BM&amp;FBOVESPA SA stock</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1,189</w:t>
            </w: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20" w:type="dxa"/>
            <w:vAlign w:val="bottom"/>
            <w:shd w:val="clear" w:color="auto" w:fill="CCEEFF"/>
          </w:tcPr>
          <w:p>
            <w:pPr>
              <w:spacing w:after="0"/>
              <w:rPr>
                <w:sz w:val="19"/>
                <w:szCs w:val="19"/>
                <w:color w:val="auto"/>
              </w:rPr>
            </w:pPr>
          </w:p>
        </w:tc>
      </w:tr>
      <w:tr>
        <w:trPr>
          <w:trHeight w:val="208"/>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w w:val="99"/>
              </w:rPr>
              <w:t>Tax benefit of stock issuance costs related to CBOT Holdings</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900" w:type="dxa"/>
            <w:vAlign w:val="bottom"/>
          </w:tcPr>
          <w:p>
            <w:pPr>
              <w:ind w:left="200"/>
              <w:spacing w:after="0"/>
              <w:rPr>
                <w:sz w:val="20"/>
                <w:szCs w:val="20"/>
                <w:color w:val="auto"/>
              </w:rPr>
            </w:pPr>
            <w:r>
              <w:rPr>
                <w:rFonts w:ascii="Arial" w:cs="Arial" w:eastAsia="Arial" w:hAnsi="Arial"/>
                <w:sz w:val="18"/>
                <w:szCs w:val="18"/>
                <w:color w:val="auto"/>
              </w:rPr>
              <w:t>merger</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A common stock</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(783)</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(224.0)</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(224.0)</w:t>
            </w: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149</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20.5</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w w:val="99"/>
              </w:rPr>
              <w:t>Excess tax benefits from option exercises and restricted stock</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vesting</w:t>
            </w: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Shares issued under Employee Stock</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Plan</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4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2008</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66,417</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$ 17,129.2</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1,719.7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(160.3)</w:t>
            </w:r>
          </w:p>
        </w:tc>
        <w:tc>
          <w:tcPr>
            <w:tcW w:w="3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18,688.6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89" w:name="page90"/>
    <w:bookmarkEnd w:id="89"/>
    <w:p>
      <w:pPr>
        <w:ind w:left="4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CME GROUP INC. AND SUBSIDIARIES</w:t>
      </w:r>
    </w:p>
    <w:p>
      <w:pPr>
        <w:spacing w:after="0" w:line="90"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 xml:space="preserve">CONSOLIDATED STATEMENTS OF SHAREHOLDERS’ EQUITY </w:t>
      </w:r>
      <w:r>
        <w:rPr>
          <w:rFonts w:ascii="Arial" w:cs="Arial" w:eastAsia="Arial" w:hAnsi="Arial"/>
          <w:sz w:val="18"/>
          <w:szCs w:val="18"/>
          <w:color w:val="auto"/>
        </w:rPr>
        <w: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 except per share data; shares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Common</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Class A</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Class B</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Stock and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Common</w:t>
            </w: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Additional</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Stock</w:t>
            </w: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Stock</w:t>
            </w:r>
          </w:p>
        </w:tc>
        <w:tc>
          <w:tcPr>
            <w:tcW w:w="1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Paid-in</w:t>
            </w:r>
          </w:p>
        </w:tc>
        <w:tc>
          <w:tcPr>
            <w:tcW w:w="18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4"/>
              </w:rPr>
              <w:t>Retained</w:t>
            </w:r>
          </w:p>
        </w:tc>
        <w:tc>
          <w:tcPr>
            <w:tcW w:w="13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Shareholders’</w:t>
            </w:r>
          </w:p>
        </w:tc>
      </w:t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4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Earnings</w:t>
            </w:r>
          </w:p>
        </w:tc>
        <w:tc>
          <w:tcPr>
            <w:tcW w:w="46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66,417</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$17,129.2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$1,719.7</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18,688.6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Comprehensive income:</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825.8</w:t>
            </w:r>
          </w:p>
        </w:tc>
        <w:tc>
          <w:tcPr>
            <w:tcW w:w="12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Change in net unrealized gain on securities, net of tax of</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5020" w:type="dxa"/>
            <w:vAlign w:val="bottom"/>
            <w:gridSpan w:val="2"/>
          </w:tcPr>
          <w:p>
            <w:pPr>
              <w:ind w:left="660"/>
              <w:spacing w:after="0"/>
              <w:rPr>
                <w:sz w:val="20"/>
                <w:szCs w:val="20"/>
                <w:color w:val="auto"/>
              </w:rPr>
            </w:pPr>
            <w:r>
              <w:rPr>
                <w:rFonts w:ascii="Arial" w:cs="Arial" w:eastAsia="Arial" w:hAnsi="Arial"/>
                <w:sz w:val="18"/>
                <w:szCs w:val="18"/>
                <w:color w:val="auto"/>
              </w:rPr>
              <w:t>$16.5</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Change in net actuarial loss on defined benefit plans, net of</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 of $0.9</w:t>
            </w: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08"/>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w w:val="99"/>
              </w:rPr>
              <w:t>Change in net unrealized loss on derivatives, net of tax of</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5020" w:type="dxa"/>
            <w:vAlign w:val="bottom"/>
            <w:gridSpan w:val="2"/>
          </w:tcPr>
          <w:p>
            <w:pPr>
              <w:ind w:left="660"/>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foreign currency translation adjustment, net of</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tax of $1.7</w:t>
            </w: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w:t>
            </w: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r>
      <w:tr>
        <w:trPr>
          <w:trHeight w:val="221"/>
        </w:trPr>
        <w:tc>
          <w:tcPr>
            <w:tcW w:w="502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859.9</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on common stock of $4.60 per share</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(305.6)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(305.6)</w:t>
            </w:r>
          </w:p>
        </w:tc>
      </w:tr>
      <w:tr>
        <w:trPr>
          <w:trHeight w:val="208"/>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Class A common stock issued in exchange for investment in</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Bursa Derivatives</w:t>
            </w: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Class A common stock</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40" w:type="dxa"/>
            <w:vAlign w:val="bottom"/>
          </w:tcPr>
          <w:p>
            <w:pPr>
              <w:jc w:val="right"/>
              <w:spacing w:after="0"/>
              <w:rPr>
                <w:sz w:val="20"/>
                <w:szCs w:val="20"/>
                <w:color w:val="auto"/>
              </w:rPr>
            </w:pPr>
            <w:r>
              <w:rPr>
                <w:rFonts w:ascii="Arial" w:cs="Arial" w:eastAsia="Arial" w:hAnsi="Arial"/>
                <w:sz w:val="18"/>
                <w:szCs w:val="18"/>
                <w:color w:val="auto"/>
              </w:rPr>
              <w:t>125</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20.4</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 from option exercises and restricted stock</w:t>
            </w: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vesting</w:t>
            </w:r>
          </w:p>
        </w:tc>
        <w:tc>
          <w:tcPr>
            <w:tcW w:w="5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Vesting of issued restricted Class A common stock</w:t>
            </w:r>
          </w:p>
        </w:tc>
        <w:tc>
          <w:tcPr>
            <w:tcW w:w="54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Board of Directors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Shares issued under Employee Stock</w:t>
            </w: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Plan</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54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2009</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66,511</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17,187.3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2,239.9</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19,301.0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90" w:name="page91"/>
    <w:bookmarkEnd w:id="90"/>
    <w:p>
      <w:pPr>
        <w:ind w:left="4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CME GROUP INC.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0"/>
              </w:rPr>
              <w:t>Year Ended December 31,</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62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12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70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  825.8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715.5</w:t>
            </w:r>
          </w:p>
        </w:tc>
        <w:tc>
          <w:tcPr>
            <w:tcW w:w="5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$ 658.5</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37.6</w:t>
            </w:r>
          </w:p>
        </w:tc>
        <w:tc>
          <w:tcPr>
            <w:tcW w:w="5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shares issued to Board of Directors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Amortization of purchased intangibles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125.1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98.7</w:t>
            </w:r>
          </w:p>
        </w:tc>
        <w:tc>
          <w:tcPr>
            <w:tcW w:w="5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33.9</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5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w w:val="98"/>
              </w:rPr>
              <w:t>Recognition of in-process research and development acquired from Credit Market Analysis Limited</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doubtful accounts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1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Net accretion of discounts and amortization of premiums on marketable securities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1700" w:type="dxa"/>
            <w:vAlign w:val="bottom"/>
            <w:gridSpan w:val="3"/>
          </w:tcPr>
          <w:p>
            <w:pPr>
              <w:jc w:val="right"/>
              <w:ind w:right="440"/>
              <w:spacing w:after="0"/>
              <w:rPr>
                <w:sz w:val="20"/>
                <w:szCs w:val="20"/>
                <w:color w:val="auto"/>
              </w:rPr>
            </w:pPr>
            <w:r>
              <w:rPr>
                <w:rFonts w:ascii="Arial" w:cs="Arial" w:eastAsia="Arial" w:hAnsi="Arial"/>
                <w:sz w:val="18"/>
                <w:szCs w:val="18"/>
                <w:color w:val="auto"/>
              </w:rPr>
              <w:t>(4.4)</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accretion of discounts and amortization of debt financing costs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5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Loss on sale of metals trading products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on derivative investments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Impairment of securities lending assets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of goodwill and intangible assets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Impairment of long-term investments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274.5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Guarantee of exercise right privileges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w:t>
            </w:r>
          </w:p>
        </w:tc>
        <w:tc>
          <w:tcPr>
            <w:tcW w:w="1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Equity in losses of unconsolidated subsidiaries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5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(56.9)</w:t>
            </w:r>
          </w:p>
        </w:tc>
        <w:tc>
          <w:tcPr>
            <w:tcW w:w="1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(115.1)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Change in assets and liabilities: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5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5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8.0</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1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(48.6)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5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 payable</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1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r>
      <w:tr>
        <w:trPr>
          <w:trHeight w:val="216"/>
        </w:trPr>
        <w:tc>
          <w:tcPr>
            <w:tcW w:w="20" w:type="dxa"/>
            <w:vAlign w:val="bottom"/>
          </w:tcPr>
          <w:p>
            <w:pPr>
              <w:spacing w:after="0"/>
              <w:rPr>
                <w:sz w:val="18"/>
                <w:szCs w:val="18"/>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Other current liabilities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1700" w:type="dxa"/>
            <w:vAlign w:val="bottom"/>
            <w:gridSpan w:val="3"/>
          </w:tcPr>
          <w:p>
            <w:pPr>
              <w:jc w:val="right"/>
              <w:ind w:right="440"/>
              <w:spacing w:after="0"/>
              <w:rPr>
                <w:sz w:val="20"/>
                <w:szCs w:val="20"/>
                <w:color w:val="auto"/>
              </w:rPr>
            </w:pPr>
            <w:r>
              <w:rPr>
                <w:rFonts w:ascii="Arial" w:cs="Arial" w:eastAsia="Arial" w:hAnsi="Arial"/>
                <w:sz w:val="18"/>
                <w:szCs w:val="18"/>
                <w:color w:val="auto"/>
              </w:rPr>
              <w:t>(96.3)</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1,083.1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1,197.2</w:t>
            </w:r>
          </w:p>
        </w:tc>
        <w:tc>
          <w:tcPr>
            <w:tcW w:w="500" w:type="dxa"/>
            <w:vAlign w:val="bottom"/>
          </w:tcPr>
          <w:p>
            <w:pPr>
              <w:spacing w:after="0"/>
              <w:rPr>
                <w:sz w:val="20"/>
                <w:szCs w:val="20"/>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814.4</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Proceeds from maturities of available-for-sale marketable securities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439.8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265.1</w:t>
            </w:r>
          </w:p>
        </w:tc>
        <w:tc>
          <w:tcPr>
            <w:tcW w:w="5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203.8</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marketable securities</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(159.9)</w:t>
            </w:r>
          </w:p>
        </w:tc>
        <w:tc>
          <w:tcPr>
            <w:tcW w:w="1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(367.6)</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(129.1)</w:t>
            </w: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change in NYMEX securities lending program investments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425.9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110.1</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net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(157.9)</w:t>
            </w:r>
          </w:p>
        </w:tc>
        <w:tc>
          <w:tcPr>
            <w:tcW w:w="1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(200.1)</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(163.7)</w:t>
            </w: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Purchase of exercise right privileges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(39.8)</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Cash acquired in merger with CBOT Holdings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116.0</w:t>
            </w: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Acquisition of Credit Market Analysis Limited, net of cash received</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440"/>
              <w:spacing w:after="0"/>
              <w:rPr>
                <w:sz w:val="20"/>
                <w:szCs w:val="20"/>
                <w:color w:val="auto"/>
              </w:rPr>
            </w:pPr>
            <w:r>
              <w:rPr>
                <w:rFonts w:ascii="Arial" w:cs="Arial" w:eastAsia="Arial" w:hAnsi="Arial"/>
                <w:sz w:val="18"/>
                <w:szCs w:val="18"/>
                <w:color w:val="auto"/>
              </w:rPr>
              <w:t>(94.1)</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NYMEX Holdings, net of cash received</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(2,769.9)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NYMEX membership rights payment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440"/>
              <w:spacing w:after="0"/>
              <w:rPr>
                <w:sz w:val="20"/>
                <w:szCs w:val="20"/>
                <w:color w:val="auto"/>
              </w:rPr>
            </w:pPr>
            <w:r>
              <w:rPr>
                <w:rFonts w:ascii="Arial" w:cs="Arial" w:eastAsia="Arial" w:hAnsi="Arial"/>
                <w:sz w:val="18"/>
                <w:szCs w:val="18"/>
                <w:color w:val="auto"/>
              </w:rPr>
              <w:t>(612.0)</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Merger-related transaction costs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(50.9)</w:t>
            </w: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Purchase of derivative related to BM&amp;FBOVESPA SA investment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gridSpan w:val="3"/>
          </w:tcPr>
          <w:p>
            <w:pPr>
              <w:jc w:val="right"/>
              <w:ind w:right="440"/>
              <w:spacing w:after="0"/>
              <w:rPr>
                <w:sz w:val="20"/>
                <w:szCs w:val="20"/>
                <w:color w:val="auto"/>
              </w:rPr>
            </w:pPr>
            <w:r>
              <w:rPr>
                <w:rFonts w:ascii="Arial" w:cs="Arial" w:eastAsia="Arial" w:hAnsi="Arial"/>
                <w:sz w:val="18"/>
                <w:szCs w:val="18"/>
                <w:color w:val="auto"/>
              </w:rPr>
              <w:t>(45.2)</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metals trading products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2"/>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Capital contributions to FXMarketSpace Limited</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1700" w:type="dxa"/>
            <w:vAlign w:val="bottom"/>
            <w:gridSpan w:val="3"/>
          </w:tcPr>
          <w:p>
            <w:pPr>
              <w:jc w:val="right"/>
              <w:ind w:right="440"/>
              <w:spacing w:after="0"/>
              <w:rPr>
                <w:sz w:val="20"/>
                <w:szCs w:val="20"/>
                <w:color w:val="auto"/>
              </w:rPr>
            </w:pPr>
            <w:r>
              <w:rPr>
                <w:rFonts w:ascii="Arial" w:cs="Arial" w:eastAsia="Arial" w:hAnsi="Arial"/>
                <w:sz w:val="18"/>
                <w:szCs w:val="18"/>
                <w:color w:val="auto"/>
              </w:rPr>
              <w:t>(10.2)</w:t>
            </w: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(19.0)</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91" w:name="page92"/>
    <w:bookmarkEnd w:id="91"/>
    <w:p>
      <w:pPr>
        <w:ind w:left="4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CME GROUP INC. AND SUBSIDIARIES</w:t>
      </w:r>
    </w:p>
    <w:p>
      <w:pPr>
        <w:spacing w:after="0" w:line="9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w w:val="94"/>
              </w:rPr>
              <w:t>Year Ended December 31,</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for Liquidity Direct Technology, LLC assets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2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544.8</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(3,749.1)</w:t>
            </w: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7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0" w:type="dxa"/>
            <w:vAlign w:val="bottom"/>
            <w:tcBorders>
              <w:top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Proceeds (repayments) of commercial paper, net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(1,393.6)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1,330.3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other borrowings, net of issuance costs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2,881.9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Repayment of other borrowings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88"/>
              </w:rPr>
              <w:t>(1,282.9)</w:t>
            </w: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NYMEX securities lending program liabilities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(456.8)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dividends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(305.6)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(615.2)</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Stock issuance costs in mergers with NYMEX Holdings and CBOT Holdings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Repurchase of common stock, including costs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Purchase Plan</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(1,665.2)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2,004.5</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(859.9)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7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(547.4)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845.3</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2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629.7</w:t>
            </w: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Interest paid (excluding securities lending program)</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90.8</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rPr>
              <w:t>Change in net unrealized securities gains (losses)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net unrealized derivatives gains (losses)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Fair value of Class A common stock, stock options and restricted stock units issued in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connection with NYMEX Holdings merger</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5,963.3</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420"/>
              <w:spacing w:after="0"/>
              <w:rPr>
                <w:sz w:val="20"/>
                <w:szCs w:val="20"/>
                <w:color w:val="auto"/>
              </w:rPr>
            </w:pPr>
            <w:r>
              <w:rPr>
                <w:rFonts w:ascii="Arial" w:cs="Arial" w:eastAsia="Arial" w:hAnsi="Arial"/>
                <w:sz w:val="18"/>
                <w:szCs w:val="18"/>
                <w:color w:val="auto"/>
                <w:w w:val="98"/>
              </w:rPr>
              <w:t>Fair value of Class A common stock issued in exchange for BM&amp;FBOVESPA SA stock</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631.4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Fair value of Class A common stock and stock options issued in connection with CBOT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Holdings merger</w:t>
            </w: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11,144.8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CME GROUP INC. AND SUBSIDIAIRIES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90"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Effective July 12, 2007, Chicago Mercantile Exchange Holdings Inc. (CME Holdings) merged with CBOT Holdings, Inc. (CBOT</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In connection with the merger, the combined company was renamed CME Group Inc. (CME Group). CME Group and its subsidiaries are referred to collectively as “the company” in the notes to the consolidated financial statements.</w:t>
      </w:r>
    </w:p>
    <w:p>
      <w:pPr>
        <w:spacing w:after="0" w:line="13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CME Group acquired Credit Market Analysis Limited, a private company incorporated in the United Kingdom, and its three subsidiaries (collectively, CMA) on March 23, 2008. The financial statements and accompanying notes presented in this report include the financial results of CMA beginning on March 24, 2008.</w:t>
      </w:r>
    </w:p>
    <w:p>
      <w:pPr>
        <w:spacing w:after="0" w:line="85"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On August 22, 2008, CME Group completed its merger with NYMEX Holdings, Inc. (NYMEX Holdings). The financial statements and accompanying notes presented in this report include the financial results of NYMEX Holdings and its subsidiaries beginning on August 23, 2008.</w:t>
      </w:r>
    </w:p>
    <w:p>
      <w:pPr>
        <w:spacing w:after="0" w:line="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Chicago Mercantile Exchange Inc. (CME), the Board of Trade of the City of Chicago, Inc. (CBOT), and New York Mercantile Exchange, Inc. (NYMEX), wholly-owned subsidiaries of CME Group, are designated contract markets for the trading of futures and options on futures contracts. CME Group offers a wide range of products including those based on interest rates, equities, foreign exchange, commodities, energy and metals. Trades are executed through CME Group’s electronic trading platforms, open outcry and privately negotiated transactions. Our clearing house clears, settles and guarantees every futures and options contract traded through our exchange, in addition to over-the-counter products cleared through CME ClearPort and credit default swap contracts. CME, CBOT, NYMEX and their subsidiaries are referred to collectively as “the exchange” in the notes to the consolidated financial statements.</w:t>
      </w:r>
    </w:p>
    <w:p>
      <w:pPr>
        <w:spacing w:after="0" w:line="114"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b w:val="1"/>
          <w:bCs w:val="1"/>
          <w:color w:val="auto"/>
        </w:rPr>
        <w:t xml:space="preserve">Principles of Consolidation. </w:t>
      </w:r>
      <w:r>
        <w:rPr>
          <w:rFonts w:ascii="Arial" w:cs="Arial" w:eastAsia="Arial" w:hAnsi="Arial"/>
          <w:sz w:val="16"/>
          <w:szCs w:val="16"/>
          <w:color w:val="auto"/>
        </w:rPr>
        <w:t>The financial statements and accompanying notes presented in this report include the consolidated financial results of the former</w:t>
      </w:r>
      <w:r>
        <w:rPr>
          <w:rFonts w:ascii="Arial" w:cs="Arial" w:eastAsia="Arial" w:hAnsi="Arial"/>
          <w:sz w:val="16"/>
          <w:szCs w:val="16"/>
          <w:b w:val="1"/>
          <w:bCs w:val="1"/>
          <w:color w:val="auto"/>
        </w:rPr>
        <w:t xml:space="preserve"> </w:t>
      </w:r>
      <w:r>
        <w:rPr>
          <w:rFonts w:ascii="Arial" w:cs="Arial" w:eastAsia="Arial" w:hAnsi="Arial"/>
          <w:sz w:val="16"/>
          <w:szCs w:val="16"/>
          <w:color w:val="auto"/>
        </w:rPr>
        <w:t>CME Holdings and its subsidiaries for the period January 1, 2007 through July 12, 2007. The financial results of the former CME Holdings and CBOT Holdings are included in the consolidated financial results of CME Group beginning on July 13, 2007. The financial results of the former NYMEX Holdings are included in the consolidated financial results of CME Group beginning on August 23, 2008. All intercompany transactions have been eliminated in consolidation.</w:t>
      </w:r>
    </w:p>
    <w:p>
      <w:pPr>
        <w:spacing w:after="0" w:line="109"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assets of CME Group consist primarily of cash; investments in its subsidiaries; intercompany loans, receivables and payables; current deferred taxes and exercise right privileges with the Chicago Board Options Exchange, Inc. (CBOE). CME Group’s liabilities consist primarily of debt and deferred tax liabilities.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reclassifications have been made to the prior years’ financial statements to conform to the presentation in 2009.</w:t>
      </w:r>
    </w:p>
    <w:p>
      <w:pPr>
        <w:spacing w:after="0" w:line="17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requires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estimates and assumptions that affect the amounts of assets and liabilities as of the date of the financial statements, as well as the amounts of revenues and expenses reported during the period, and to disclose contingent assets and liabilities as of the date of the financial statements. Actual results could differ from those estimates.</w:t>
      </w:r>
    </w:p>
    <w:p>
      <w:pPr>
        <w:spacing w:after="0" w:line="136"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equivalents consist of money market mutual funds and highly liquid investments with maturities of three months or less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of purchase.</w:t>
      </w:r>
    </w:p>
    <w:p>
      <w:pPr>
        <w:spacing w:after="0" w:line="120"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 xml:space="preserve">Marketable Securities. </w:t>
      </w:r>
      <w:r>
        <w:rPr>
          <w:rFonts w:ascii="Arial" w:cs="Arial" w:eastAsia="Arial" w:hAnsi="Arial"/>
          <w:sz w:val="18"/>
          <w:szCs w:val="18"/>
          <w:color w:val="auto"/>
        </w:rPr>
        <w:t>Certain marketable securities have been classified as available for sale and are carried at fair value based on quoted market prices, with</w:t>
      </w:r>
      <w:r>
        <w:rPr>
          <w:rFonts w:ascii="Arial" w:cs="Arial" w:eastAsia="Arial" w:hAnsi="Arial"/>
          <w:sz w:val="18"/>
          <w:szCs w:val="18"/>
          <w:b w:val="1"/>
          <w:bCs w:val="1"/>
          <w:color w:val="auto"/>
        </w:rPr>
        <w:t xml:space="preserve"> </w:t>
      </w:r>
      <w:r>
        <w:rPr>
          <w:rFonts w:ascii="Arial" w:cs="Arial" w:eastAsia="Arial" w:hAnsi="Arial"/>
          <w:sz w:val="18"/>
          <w:szCs w:val="18"/>
          <w:color w:val="auto"/>
        </w:rPr>
        <w:t>net unrealized gains and losses reported net of tax in accumulated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274" w:right="259" w:bottom="1440" w:gutter="0" w:footer="0" w:header="0"/>
        </w:sectPr>
      </w:pPr>
    </w:p>
    <w:bookmarkStart w:id="93" w:name="page94"/>
    <w:bookmarkEnd w:id="93"/>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comprehensive income (loss). Interest on marketable securities is recognized as income when earned and includes accreted discount less amortized premium. Realized gains and losses are calculated using specific identification. Additional securities held in connection with non-qualified deferred compensation plans have been classified as trading securities. These securities are included in marketable securities in the accompanying consolidated balance sheets at fair value, and net realized and unrealized gains and losses as well as dividend income are reflected in investment income.</w:t>
      </w:r>
    </w:p>
    <w:p>
      <w:pPr>
        <w:spacing w:after="0" w:line="10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Accounting guidance on fair value measurements requires disclosure of the fair value of financial instruments. The</w:t>
      </w:r>
      <w:r>
        <w:rPr>
          <w:rFonts w:ascii="Arial" w:cs="Arial" w:eastAsia="Arial" w:hAnsi="Arial"/>
          <w:sz w:val="18"/>
          <w:szCs w:val="18"/>
          <w:b w:val="1"/>
          <w:bCs w:val="1"/>
          <w:color w:val="auto"/>
        </w:rPr>
        <w:t xml:space="preserve"> </w:t>
      </w:r>
      <w:r>
        <w:rPr>
          <w:rFonts w:ascii="Arial" w:cs="Arial" w:eastAsia="Arial" w:hAnsi="Arial"/>
          <w:sz w:val="18"/>
          <w:szCs w:val="18"/>
          <w:color w:val="auto"/>
        </w:rPr>
        <w:t>carrying values of financial instruments included in assets and liabilities in the accompanying consolidated balance sheets are reasonable estimates of their fair values.</w:t>
      </w:r>
    </w:p>
    <w:p>
      <w:pPr>
        <w:spacing w:after="0" w:line="13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accounting guidance defines “fair value” as the price that would be received to sell an asset or paid to transfer a liability in an orderly transaction between market participants at the measurement date, or an exit price. The standard establishes a hierarchy for inputs used in measuring fair value that maximizes the use of observable inputs and minimizes the use of unobservable inputs by requiring that the observable inputs be used when available. Observable inputs are inputs that market participants would use in pricing the asset or liability based on market data obtained from independent sources. Unobservable inputs are inputs that reflect the company’s assumptions about the assumptions market participants would use in pricing the asset or liability developed based on the best information available in the circumstances.</w:t>
      </w:r>
    </w:p>
    <w:p>
      <w:pPr>
        <w:spacing w:after="0" w:line="12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company has categorized its financial instruments measured at fair value into a three-level classification in accordance with the accounting guidance on fair value measurements. The hierarchy is broken down into three levels based on the reliability of inputs as follows:</w:t>
      </w:r>
    </w:p>
    <w:p>
      <w:pPr>
        <w:spacing w:after="0" w:line="51" w:lineRule="exact"/>
        <w:rPr>
          <w:sz w:val="20"/>
          <w:szCs w:val="20"/>
          <w:color w:val="auto"/>
        </w:rPr>
      </w:pPr>
    </w:p>
    <w:p>
      <w:pPr>
        <w:ind w:left="900" w:right="50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or liabilities at the measurement date. Assets and liabilities carried at level 1 fair value generally include U.S. Treasury and Government agency securities, equity securities listed in active markets, and investments in publicly traded mutual funds with quoted market prices.</w:t>
      </w:r>
    </w:p>
    <w:p>
      <w:pPr>
        <w:spacing w:after="0" w:line="59" w:lineRule="exact"/>
        <w:rPr>
          <w:rFonts w:ascii="Arial" w:cs="Arial" w:eastAsia="Arial" w:hAnsi="Arial"/>
          <w:sz w:val="18"/>
          <w:szCs w:val="18"/>
          <w:color w:val="auto"/>
        </w:rPr>
      </w:pPr>
    </w:p>
    <w:p>
      <w:pPr>
        <w:ind w:left="900" w:right="320" w:hanging="325"/>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Level 2—Inputs are either directly or indirectly observable and corroborated by market data or are based on quoted prices in markets that are not active. Assets and liabilities carried at level 2 fair value generally include municipal bonds, corporate debt and certain derivatives.</w:t>
      </w:r>
    </w:p>
    <w:p>
      <w:pPr>
        <w:spacing w:after="0" w:line="4" w:lineRule="exact"/>
        <w:rPr>
          <w:rFonts w:ascii="Arial" w:cs="Arial" w:eastAsia="Arial" w:hAnsi="Arial"/>
          <w:sz w:val="16"/>
          <w:szCs w:val="16"/>
          <w:color w:val="auto"/>
        </w:rPr>
      </w:pPr>
    </w:p>
    <w:p>
      <w:pPr>
        <w:ind w:left="900" w:right="24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Level 3—Inputs are unobservable and reflect management’s best estimate of what market participants would use in pricing the asset or liability. Generally, assets and liabilities at fair value utilizing level 3 inputs include certain complex over-the-counter derivative contracts and certain other assets and liabilities with inputs that require management’s judgment.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regarding the fair value of financial assets and liabilities, see notes 15 and 24.</w:t>
      </w:r>
    </w:p>
    <w:p>
      <w:pPr>
        <w:spacing w:after="0" w:line="165" w:lineRule="exact"/>
        <w:rPr>
          <w:sz w:val="20"/>
          <w:szCs w:val="20"/>
          <w:color w:val="auto"/>
        </w:rPr>
      </w:pPr>
    </w:p>
    <w:p>
      <w:pPr>
        <w:spacing w:after="0" w:line="311" w:lineRule="auto"/>
        <w:rPr>
          <w:sz w:val="20"/>
          <w:szCs w:val="20"/>
          <w:color w:val="auto"/>
        </w:rPr>
      </w:pPr>
      <w:r>
        <w:rPr>
          <w:rFonts w:ascii="Arial" w:cs="Arial" w:eastAsia="Arial" w:hAnsi="Arial"/>
          <w:sz w:val="15"/>
          <w:szCs w:val="15"/>
          <w:b w:val="1"/>
          <w:bCs w:val="1"/>
          <w:color w:val="auto"/>
        </w:rPr>
        <w:t xml:space="preserve">Derivative Investments. </w:t>
      </w:r>
      <w:r>
        <w:rPr>
          <w:rFonts w:ascii="Arial" w:cs="Arial" w:eastAsia="Arial" w:hAnsi="Arial"/>
          <w:sz w:val="15"/>
          <w:szCs w:val="15"/>
          <w:color w:val="auto"/>
        </w:rPr>
        <w:t>The company may use derivative financial instruments for the purpose of hedging exposures to fluctuations in interest rates and foreign</w:t>
      </w:r>
      <w:r>
        <w:rPr>
          <w:rFonts w:ascii="Arial" w:cs="Arial" w:eastAsia="Arial" w:hAnsi="Arial"/>
          <w:sz w:val="15"/>
          <w:szCs w:val="15"/>
          <w:b w:val="1"/>
          <w:bCs w:val="1"/>
          <w:color w:val="auto"/>
        </w:rPr>
        <w:t xml:space="preserve"> </w:t>
      </w:r>
      <w:r>
        <w:rPr>
          <w:rFonts w:ascii="Arial" w:cs="Arial" w:eastAsia="Arial" w:hAnsi="Arial"/>
          <w:sz w:val="15"/>
          <w:szCs w:val="15"/>
          <w:color w:val="auto"/>
        </w:rPr>
        <w:t>currency exchange rates. Derivatives are recorded at fair value in the consolidated balance sheets in accordance with accounting guidance on derivative instruments and hedging activities. The accounting guidance also requires that changes in derivatives’ fair values be recognized in earnings immediately, unless the instruments are accounted for as hedges. For a derivative designated as a fair value hedge, any gain or loss on the derivative is recognized in earnings in the period of change, to the extent the hedge is effective, together with the offsetting loss or gain on the hedged item attributable to the risk being hedged. The company records the effective portions of its derivative financial instruments that are designated as cash flow hedges in accumulated other comprehensive income (loss) in the accompanying consolidated balance sheets. Any ineffective or excluded portion of a hedge is recognized in earnings immediately. Any realized gains and losses from hedges are classified in the consolidated statements of income consistent with the accounting treatment of the items being hedged.</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280" w:right="259" w:bottom="1440" w:gutter="0" w:footer="0" w:header="0"/>
        </w:sectPr>
      </w:pPr>
    </w:p>
    <w:bookmarkStart w:id="94" w:name="page95"/>
    <w:bookmarkEnd w:id="94"/>
    <w:p>
      <w:pPr>
        <w:ind w:right="40"/>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Accounts Receivable. </w:t>
      </w:r>
      <w:r>
        <w:rPr>
          <w:rFonts w:ascii="Arial" w:cs="Arial" w:eastAsia="Arial" w:hAnsi="Arial"/>
          <w:sz w:val="16"/>
          <w:szCs w:val="16"/>
          <w:color w:val="auto"/>
        </w:rPr>
        <w:t>In the ordinary course of business, a significant portion of accounts receivable and revenues are from clearing firms that are also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shareholders of the company. Exposure to losses on receivables for clearing and transaction fees and other amounts owed by clearing firms is dependent on each clearing firm’s financial condition, the Class A and Class B shares as well as the memberships that collateralize fees owed to the exchange. The exchange retains the right to liquidate shares to satisfy a clearing firm’s receivable.</w:t>
      </w:r>
    </w:p>
    <w:p>
      <w:pPr>
        <w:spacing w:after="0" w:line="10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Performance Bonds and Security Deposits. </w:t>
      </w:r>
      <w:r>
        <w:rPr>
          <w:rFonts w:ascii="Arial" w:cs="Arial" w:eastAsia="Arial" w:hAnsi="Arial"/>
          <w:sz w:val="18"/>
          <w:szCs w:val="18"/>
          <w:color w:val="auto"/>
        </w:rPr>
        <w:t>Performance bonds and security deposits held by the exchange for clearing firms may be in the form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deposits in one of the Interest Earning Facilities (IEFs). Cash performance bonds and security deposits are reflected in the consolidated balance sheets. Cash received may be invested by CME. These investments are primarily overnight transactions in U.S. Government securities acquired through and held by a broker-dealer subsidiary of a bank or through CME’s IEF program. Any interest earned on these investments accrues to CME and is included in investment income in the consolidated statements of income.</w:t>
      </w:r>
    </w:p>
    <w:p>
      <w:pPr>
        <w:spacing w:after="0" w:line="145"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Securities deposited by clearing firms consist primarily of short-term U.S. Treasury and U.S. Government agency securities and are not reflected in the accompanying consolidated balance sheets. These securities are held in safekeeping, although a portion of the clearing firms’ proprietary performance bond deposits may be utilized in securities lending transactions. Interest and gain or loss on securities deposited to satisfy performance bond and security deposit requirements accrues to the clearing firm.</w:t>
      </w:r>
    </w:p>
    <w:p>
      <w:pPr>
        <w:spacing w:after="0" w:line="13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color w:val="auto"/>
        </w:rPr>
        <w:t xml:space="preserve">Property. </w:t>
      </w:r>
      <w:r>
        <w:rPr>
          <w:rFonts w:ascii="Arial" w:cs="Arial" w:eastAsia="Arial" w:hAnsi="Arial"/>
          <w:sz w:val="16"/>
          <w:szCs w:val="16"/>
          <w:color w:val="auto"/>
        </w:rPr>
        <w:t>Property and equipment, excluding land, are reported at historical cost, net of accumulated depreciation and amortization. Land is reported at cost.</w:t>
      </w:r>
      <w:r>
        <w:rPr>
          <w:rFonts w:ascii="Arial" w:cs="Arial" w:eastAsia="Arial" w:hAnsi="Arial"/>
          <w:sz w:val="16"/>
          <w:szCs w:val="16"/>
          <w:b w:val="1"/>
          <w:bCs w:val="1"/>
          <w:color w:val="auto"/>
        </w:rPr>
        <w:t xml:space="preserve"> </w:t>
      </w:r>
      <w:r>
        <w:rPr>
          <w:rFonts w:ascii="Arial" w:cs="Arial" w:eastAsia="Arial" w:hAnsi="Arial"/>
          <w:sz w:val="16"/>
          <w:szCs w:val="16"/>
          <w:color w:val="auto"/>
        </w:rPr>
        <w:t>Building and improvements are recorded at cost less accumulated depreciation and amortization since acquisition. Computer software and systems include purchased software and systems, external costs specifically identifiable to the implementation of new systems and certain payroll and payroll-related costs for employees who are directly associated with and devote time to developing computer software for internal use.</w:t>
      </w:r>
    </w:p>
    <w:p>
      <w:pPr>
        <w:spacing w:after="0" w:line="10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Depreciation and amortization expense results from the depreciation of property purchased, as well as the amortization of purchased and internally developed software. Depreciation and amortization are computed using the straight-line method over the estimated useful lives of the assets, as follows:</w:t>
      </w:r>
    </w:p>
    <w:p>
      <w:pPr>
        <w:spacing w:after="0" w:line="13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years</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Buildings</w:t>
            </w:r>
          </w:p>
        </w:tc>
        <w:tc>
          <w:tcPr>
            <w:tcW w:w="4320" w:type="dxa"/>
            <w:vAlign w:val="bottom"/>
          </w:tcPr>
          <w:p>
            <w:pPr>
              <w:jc w:val="right"/>
              <w:spacing w:after="0"/>
              <w:rPr>
                <w:sz w:val="20"/>
                <w:szCs w:val="20"/>
                <w:color w:val="auto"/>
              </w:rPr>
            </w:pPr>
            <w:r>
              <w:rPr>
                <w:rFonts w:ascii="Arial" w:cs="Arial" w:eastAsia="Arial" w:hAnsi="Arial"/>
                <w:sz w:val="18"/>
                <w:szCs w:val="18"/>
                <w:color w:val="auto"/>
              </w:rPr>
              <w:t>39 years</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 and equipment</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to 20 years</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32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4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to 4 years</w:t>
            </w:r>
          </w:p>
        </w:tc>
      </w:tr>
    </w:tbl>
    <w:p>
      <w:pPr>
        <w:spacing w:after="0" w:line="15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Leasehold improvements are amortized over the lesser of their estimated useful lives or the remaining term of the applicable leases. Leasehold improvements funded by landlord allowances are capitalized in the consolidated balance sheets. Maintenance and repair items as well as certain minor purchases are charged to expense as incurred. All leases in which the company is the tenant are accounted for as operating leases under the accounting guidance for leases. Landlord allowances are recorded as a reduction to rent expense on a straight-line basis over the term of the lease.</w:t>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Software. </w:t>
      </w:r>
      <w:r>
        <w:rPr>
          <w:rFonts w:ascii="Arial" w:cs="Arial" w:eastAsia="Arial" w:hAnsi="Arial"/>
          <w:sz w:val="15"/>
          <w:szCs w:val="15"/>
          <w:color w:val="auto"/>
        </w:rPr>
        <w:t>The company capitalizes certain costs of developing internal use software in accordance with the accounting guidance on software development costs.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color w:val="auto"/>
        </w:rPr>
        <w:t>Capitalized costs generally are amortized over three years, commencing when the software is placed in service. Purchased software is amortized over four years.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Multi-year software licenses are amortized over the life of the contract, which is generally three to seven years.</w:t>
      </w:r>
    </w:p>
    <w:p>
      <w:pPr>
        <w:spacing w:after="0" w:line="159"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 xml:space="preserve">Impairment of Long-Lived and Intangible Assets. </w:t>
      </w:r>
      <w:r>
        <w:rPr>
          <w:rFonts w:ascii="Arial" w:cs="Arial" w:eastAsia="Arial" w:hAnsi="Arial"/>
          <w:sz w:val="18"/>
          <w:szCs w:val="18"/>
          <w:color w:val="auto"/>
        </w:rPr>
        <w:t>The company reviews its long-lived assets and amortizable intangible assets for impairment whenever</w:t>
      </w:r>
      <w:r>
        <w:rPr>
          <w:rFonts w:ascii="Arial" w:cs="Arial" w:eastAsia="Arial" w:hAnsi="Arial"/>
          <w:sz w:val="18"/>
          <w:szCs w:val="18"/>
          <w:b w:val="1"/>
          <w:bCs w:val="1"/>
          <w:color w:val="auto"/>
        </w:rPr>
        <w:t xml:space="preserve"> </w:t>
      </w:r>
      <w:r>
        <w:rPr>
          <w:rFonts w:ascii="Arial" w:cs="Arial" w:eastAsia="Arial" w:hAnsi="Arial"/>
          <w:sz w:val="18"/>
          <w:szCs w:val="18"/>
          <w:color w:val="auto"/>
        </w:rPr>
        <w:t>events or changes in circumstances indicate that the carrying amounts</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40"/>
          </w:cols>
          <w:pgMar w:left="240" w:top="274" w:right="319" w:bottom="1440" w:gutter="0" w:footer="0" w:header="0"/>
        </w:sectPr>
      </w:pPr>
    </w:p>
    <w:bookmarkStart w:id="95" w:name="page96"/>
    <w:bookmarkEnd w:id="95"/>
    <w:p>
      <w:pPr>
        <w:ind w:right="2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may not be recoverable based on an examination of undiscounted cash flows. If such assets are considered to be impaired, the impairment to be recognized is measured as the amount by which the carrying amount of the assets exceeds the fair value of the assets. Goodwill and indefinite-lived intangible assets are reviewed for impairment on an annual basis and whenever events or circumstances indicate that their carrying values may not be recoverable. Impairment is recorded if the carrying amount exceeds fair value.</w:t>
      </w:r>
    </w:p>
    <w:p>
      <w:pPr>
        <w:spacing w:after="0" w:line="137" w:lineRule="exact"/>
        <w:rPr>
          <w:sz w:val="20"/>
          <w:szCs w:val="20"/>
          <w:color w:val="auto"/>
        </w:rPr>
      </w:pPr>
    </w:p>
    <w:p>
      <w:pPr>
        <w:ind w:right="60"/>
        <w:spacing w:after="0" w:line="326" w:lineRule="auto"/>
        <w:rPr>
          <w:sz w:val="20"/>
          <w:szCs w:val="20"/>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color w:val="auto"/>
        </w:rPr>
        <w:t>The company accounts for acquisitions using the purchase method as required by the accounting guidance for business combinations. Under the</w:t>
      </w:r>
      <w:r>
        <w:rPr>
          <w:rFonts w:ascii="Arial" w:cs="Arial" w:eastAsia="Arial" w:hAnsi="Arial"/>
          <w:sz w:val="15"/>
          <w:szCs w:val="15"/>
          <w:b w:val="1"/>
          <w:bCs w:val="1"/>
          <w:color w:val="auto"/>
        </w:rPr>
        <w:t xml:space="preserve"> </w:t>
      </w:r>
      <w:r>
        <w:rPr>
          <w:rFonts w:ascii="Arial" w:cs="Arial" w:eastAsia="Arial" w:hAnsi="Arial"/>
          <w:sz w:val="15"/>
          <w:szCs w:val="15"/>
          <w:color w:val="auto"/>
        </w:rPr>
        <w:t>accounting guidance, the acquiring company allocates the purchase price to the assets acquired and liabilities assumed based on their estimated fair values at the date of the acquisition, including identifiable intangible assets. The purchase price in excess of the fair value of the net assets and liabilities is recorded as goodwill. Among other sources, the company uses independent valuation services to assist in determining the estimated fair values of the assets and liabilities.</w:t>
      </w:r>
    </w:p>
    <w:p>
      <w:pPr>
        <w:spacing w:after="0" w:line="89" w:lineRule="exact"/>
        <w:rPr>
          <w:sz w:val="20"/>
          <w:szCs w:val="20"/>
          <w:color w:val="auto"/>
        </w:rPr>
      </w:pPr>
    </w:p>
    <w:p>
      <w:pPr>
        <w:spacing w:after="0" w:line="326" w:lineRule="auto"/>
        <w:rPr>
          <w:sz w:val="20"/>
          <w:szCs w:val="20"/>
          <w:color w:val="auto"/>
        </w:rPr>
      </w:pPr>
      <w:r>
        <w:rPr>
          <w:rFonts w:ascii="Arial" w:cs="Arial" w:eastAsia="Arial" w:hAnsi="Arial"/>
          <w:sz w:val="15"/>
          <w:szCs w:val="15"/>
          <w:b w:val="1"/>
          <w:bCs w:val="1"/>
          <w:color w:val="auto"/>
        </w:rPr>
        <w:t xml:space="preserve">Employee Benefit Plans. </w:t>
      </w:r>
      <w:r>
        <w:rPr>
          <w:rFonts w:ascii="Arial" w:cs="Arial" w:eastAsia="Arial" w:hAnsi="Arial"/>
          <w:sz w:val="15"/>
          <w:szCs w:val="15"/>
          <w:color w:val="auto"/>
        </w:rPr>
        <w:t>The accounting guidance on employers’ accounting for defined benefit pension and other postretirement plans requires that the funded</w:t>
      </w:r>
      <w:r>
        <w:rPr>
          <w:rFonts w:ascii="Arial" w:cs="Arial" w:eastAsia="Arial" w:hAnsi="Arial"/>
          <w:sz w:val="15"/>
          <w:szCs w:val="15"/>
          <w:b w:val="1"/>
          <w:bCs w:val="1"/>
          <w:color w:val="auto"/>
        </w:rPr>
        <w:t xml:space="preserve"> </w:t>
      </w:r>
      <w:r>
        <w:rPr>
          <w:rFonts w:ascii="Arial" w:cs="Arial" w:eastAsia="Arial" w:hAnsi="Arial"/>
          <w:sz w:val="15"/>
          <w:szCs w:val="15"/>
          <w:color w:val="auto"/>
        </w:rPr>
        <w:t>status of a defined benefit postretirement plan be recognized in the consolidated balance sheets and changes in that funded status be recognized in the year of change in other comprehensive income (loss). The accounting guidance also requires that plan assets and obligations be measured at year end. The company recognizes future changes in actuarial gains and losses and prior service costs in the year in which the changes occur through other comprehensive income (loss).</w:t>
      </w:r>
    </w:p>
    <w:p>
      <w:pPr>
        <w:spacing w:after="0" w:line="8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Foreign Currency Translation</w:t>
      </w:r>
      <w:r>
        <w:rPr>
          <w:rFonts w:ascii="Arial" w:cs="Arial" w:eastAsia="Arial" w:hAnsi="Arial"/>
          <w:sz w:val="18"/>
          <w:szCs w:val="18"/>
          <w:color w:val="auto"/>
        </w:rPr>
        <w:t>. Revenues and expenses of foreign subsidiaries are translated from their functional currencies into U.S. dollars using weighted-average exchange rates while their assets and liabilities are translated into U.S. dollars using period-end exchange rates. Gains or losses resulting from foreign currency translations are charged or credited to other comprehensive income (loss).</w:t>
      </w:r>
    </w:p>
    <w:p>
      <w:pPr>
        <w:spacing w:after="0" w:line="132"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company’s revenue recognition policies comply with accounting guidance on revenue recognition. On occasion, customers will pay</w:t>
      </w:r>
      <w:r>
        <w:rPr>
          <w:rFonts w:ascii="Arial" w:cs="Arial" w:eastAsia="Arial" w:hAnsi="Arial"/>
          <w:sz w:val="18"/>
          <w:szCs w:val="18"/>
          <w:b w:val="1"/>
          <w:bCs w:val="1"/>
          <w:color w:val="auto"/>
        </w:rPr>
        <w:t xml:space="preserve"> </w:t>
      </w:r>
      <w:r>
        <w:rPr>
          <w:rFonts w:ascii="Arial" w:cs="Arial" w:eastAsia="Arial" w:hAnsi="Arial"/>
          <w:sz w:val="18"/>
          <w:szCs w:val="18"/>
          <w:color w:val="auto"/>
        </w:rPr>
        <w:t>for services in a lump sum payment. When these circumstances occur, revenue is recognized as services are provided. Revenue recognition policies for specific sources of revenue are discussed below.</w:t>
      </w:r>
    </w:p>
    <w:p>
      <w:pPr>
        <w:spacing w:after="0" w:line="57"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i w:val="1"/>
          <w:iCs w:val="1"/>
          <w:color w:val="auto"/>
        </w:rPr>
        <w:t xml:space="preserve">Clearing and Transaction Fees. </w:t>
      </w:r>
      <w:r>
        <w:rPr>
          <w:rFonts w:ascii="Arial" w:cs="Arial" w:eastAsia="Arial" w:hAnsi="Arial"/>
          <w:sz w:val="16"/>
          <w:szCs w:val="16"/>
          <w:color w:val="auto"/>
        </w:rPr>
        <w:t>Clearing and transaction fees include per contract charges for trade execution, clearing, trading on the electronic trading</w:t>
      </w:r>
      <w:r>
        <w:rPr>
          <w:rFonts w:ascii="Arial" w:cs="Arial" w:eastAsia="Arial" w:hAnsi="Arial"/>
          <w:sz w:val="16"/>
          <w:szCs w:val="16"/>
          <w:i w:val="1"/>
          <w:iCs w:val="1"/>
          <w:color w:val="auto"/>
        </w:rPr>
        <w:t xml:space="preserve"> </w:t>
      </w:r>
      <w:r>
        <w:rPr>
          <w:rFonts w:ascii="Arial" w:cs="Arial" w:eastAsia="Arial" w:hAnsi="Arial"/>
          <w:sz w:val="16"/>
          <w:szCs w:val="16"/>
          <w:color w:val="auto"/>
        </w:rPr>
        <w:t>platforms and other fees. Fees are charged at various rates based on the product traded, the method of trade and the exchange trading privileges of the customer making the trade. Clearing and transaction fees are recognized as revenue when a buy and sell order are matched and the trade is cleared. Therefore, unfilled or cancelled buy and sell orders have no impact on revenue. On occasion, the customer’s exchange trading privileges may not be properly entered by the clearing firm and incorrect fees are charged for the transactions. When this information is corrected within the time period allowed by the exchange, a fee adjustment is provided to the clearing firm. A reserve is established for estimated fee adjustments to reflect corrections to customer exchange trading privileges. The reserve is based on the historical pattern of adjustments processed as well as specific adjustment requests. The company believes the allowances are adequate to cover estimated adjustments.</w:t>
      </w:r>
    </w:p>
    <w:p>
      <w:pPr>
        <w:spacing w:after="0" w:line="37"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i w:val="1"/>
          <w:iCs w:val="1"/>
          <w:color w:val="auto"/>
        </w:rPr>
        <w:t xml:space="preserve">Quotation Data Fees. </w:t>
      </w:r>
      <w:r>
        <w:rPr>
          <w:rFonts w:ascii="Arial" w:cs="Arial" w:eastAsia="Arial" w:hAnsi="Arial"/>
          <w:sz w:val="16"/>
          <w:szCs w:val="16"/>
          <w:color w:val="auto"/>
        </w:rPr>
        <w:t>Quotation data fees represent revenue earned for the dissemination of market information. Revenues are accrued each month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number of devices reported by vendors. The exchange conducts periodic audits of the number of devices reported and assesses additional fees as necessary. An allowance is established to cover uncollectible receivables from market data vendors.</w:t>
      </w:r>
    </w:p>
    <w:p>
      <w:pPr>
        <w:spacing w:after="0" w:line="26"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i w:val="1"/>
          <w:iCs w:val="1"/>
          <w:color w:val="auto"/>
        </w:rPr>
        <w:t xml:space="preserve">Processing Services. </w:t>
      </w:r>
      <w:r>
        <w:rPr>
          <w:rFonts w:ascii="Arial" w:cs="Arial" w:eastAsia="Arial" w:hAnsi="Arial"/>
          <w:sz w:val="16"/>
          <w:szCs w:val="16"/>
          <w:color w:val="auto"/>
        </w:rPr>
        <w:t>Processing services includes primarily revenues from clearing and settlement services provided to CBOT through the closing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on July 12, 2007 and trade matching services provided to NYMEX Holdings through the closing of the merger on August 22, 2008.</w:t>
      </w:r>
    </w:p>
    <w:p>
      <w:pPr>
        <w:spacing w:after="0" w:line="4"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i w:val="1"/>
          <w:iCs w:val="1"/>
          <w:color w:val="auto"/>
        </w:rPr>
        <w:t xml:space="preserve">Access and Communication Fees. </w:t>
      </w:r>
      <w:r>
        <w:rPr>
          <w:rFonts w:ascii="Arial" w:cs="Arial" w:eastAsia="Arial" w:hAnsi="Arial"/>
          <w:sz w:val="18"/>
          <w:szCs w:val="18"/>
          <w:color w:val="auto"/>
        </w:rPr>
        <w:t>Access fees are the connectivity charges to customers of the company’s electronic trading platform that are also used by</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 vendors and customers. They include line charges, access fees for electronic trading platforms and hardware rental charges. The fees vary depending</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40"/>
          </w:cols>
          <w:pgMar w:left="240" w:top="280" w:right="319" w:bottom="1440" w:gutter="0" w:footer="0" w:header="0"/>
        </w:sectPr>
      </w:pPr>
    </w:p>
    <w:bookmarkStart w:id="96" w:name="page97"/>
    <w:bookmarkEnd w:id="96"/>
    <w:p>
      <w:pPr>
        <w:jc w:val="both"/>
        <w:ind w:left="460"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the type of connection provided. An additional installation fee may be charged depending on the type of service requested and a disconnection fee may also be charged if certain conditions are met. Revenue is recognized monthly as the service is provided. An allowance is established to cover uncollectible receivables relating to access fees.</w:t>
      </w:r>
    </w:p>
    <w:p>
      <w:pPr>
        <w:spacing w:after="0" w:line="59" w:lineRule="exact"/>
        <w:rPr>
          <w:sz w:val="20"/>
          <w:szCs w:val="20"/>
          <w:color w:val="auto"/>
        </w:rPr>
      </w:pPr>
    </w:p>
    <w:p>
      <w:pPr>
        <w:ind w:left="460" w:right="520"/>
        <w:spacing w:after="0" w:line="332" w:lineRule="auto"/>
        <w:rPr>
          <w:sz w:val="20"/>
          <w:szCs w:val="20"/>
          <w:color w:val="auto"/>
        </w:rPr>
      </w:pPr>
      <w:r>
        <w:rPr>
          <w:rFonts w:ascii="Arial" w:cs="Arial" w:eastAsia="Arial" w:hAnsi="Arial"/>
          <w:sz w:val="16"/>
          <w:szCs w:val="16"/>
          <w:color w:val="auto"/>
        </w:rPr>
        <w:t>Communication fees consist of equipment rental and usage charges to customers and firms that utilize the various telecommunications networks and services in the Chicago and New York City facilities. Revenue is billed and recognized on a monthly basis.</w:t>
      </w:r>
    </w:p>
    <w:p>
      <w:pPr>
        <w:spacing w:after="0" w:line="4" w:lineRule="exact"/>
        <w:rPr>
          <w:sz w:val="20"/>
          <w:szCs w:val="20"/>
          <w:color w:val="auto"/>
        </w:rPr>
      </w:pPr>
    </w:p>
    <w:p>
      <w:pPr>
        <w:ind w:left="460" w:right="40"/>
        <w:spacing w:after="0" w:line="255" w:lineRule="auto"/>
        <w:rPr>
          <w:sz w:val="20"/>
          <w:szCs w:val="20"/>
          <w:color w:val="auto"/>
        </w:rPr>
      </w:pPr>
      <w:r>
        <w:rPr>
          <w:rFonts w:ascii="Arial" w:cs="Arial" w:eastAsia="Arial" w:hAnsi="Arial"/>
          <w:sz w:val="18"/>
          <w:szCs w:val="18"/>
          <w:i w:val="1"/>
          <w:iCs w:val="1"/>
          <w:color w:val="auto"/>
        </w:rPr>
        <w:t xml:space="preserve">Building Revenue. </w:t>
      </w:r>
      <w:r>
        <w:rPr>
          <w:rFonts w:ascii="Arial" w:cs="Arial" w:eastAsia="Arial" w:hAnsi="Arial"/>
          <w:sz w:val="18"/>
          <w:szCs w:val="18"/>
          <w:color w:val="auto"/>
        </w:rPr>
        <w:t>Revenues from the rental of commercial space are recognized over the lease term, using the straight-line method as required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guidance on leases. Under this method, revenue is recorded evenly over the entire term of occupancy for leases with scheduled rent increases or rent abatements. Also included in revenue are ancillary charges for parking, utilities, and miscellaneous services provided to tenants. Allowances for construction and other tenant costs are considered lease incentives and are recorded as a reduction to rental income on a straight-line basis over the term of the lease.</w:t>
      </w:r>
    </w:p>
    <w:p>
      <w:pPr>
        <w:spacing w:after="0" w:line="62"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i w:val="1"/>
          <w:iCs w:val="1"/>
          <w:color w:val="auto"/>
        </w:rPr>
        <w:t xml:space="preserve">Concentration of Revenue. </w:t>
      </w:r>
      <w:r>
        <w:rPr>
          <w:rFonts w:ascii="Arial" w:cs="Arial" w:eastAsia="Arial" w:hAnsi="Arial"/>
          <w:sz w:val="16"/>
          <w:szCs w:val="16"/>
          <w:color w:val="auto"/>
        </w:rPr>
        <w:t>At December 31, 2009, there were approximately 140 clearing firms. One firm represented 11% and one firm represented 10%</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clearing and transaction fees revenue in 2009. One firm represented 12% and one firm represented 10% of our clearing and transaction fee revenue in 2008. In 2007, one firm represented approximately 11% of clearing and transaction fees revenue. Should a clearing firm withdraw from the exchange, management believes the customer portion of that firm’s trading activity would likely transfer to another clearing firm. Therefore, management does not believe the company is exposed to significant risk from the loss of revenue received from a particular clearing firm.</w:t>
      </w:r>
    </w:p>
    <w:p>
      <w:pPr>
        <w:spacing w:after="0" w:line="35" w:lineRule="exact"/>
        <w:rPr>
          <w:sz w:val="20"/>
          <w:szCs w:val="20"/>
          <w:color w:val="auto"/>
        </w:rPr>
      </w:pPr>
    </w:p>
    <w:p>
      <w:pPr>
        <w:ind w:left="460" w:right="20"/>
        <w:spacing w:after="0" w:line="256" w:lineRule="auto"/>
        <w:rPr>
          <w:sz w:val="20"/>
          <w:szCs w:val="20"/>
          <w:color w:val="auto"/>
        </w:rPr>
      </w:pPr>
      <w:r>
        <w:rPr>
          <w:rFonts w:ascii="Arial" w:cs="Arial" w:eastAsia="Arial" w:hAnsi="Arial"/>
          <w:sz w:val="18"/>
          <w:szCs w:val="18"/>
          <w:color w:val="auto"/>
        </w:rPr>
        <w:t>The two largest resellers of market data represented approximately 55% of quotation data fees revenue in 2009, 56% in 2008, and 67% in 2007. Should one of these vendors no longer subscribe to the company’s market data, management believes the majority of that firm’s customers would likely subscribe to the market data through another reseller. Therefore, management does not believe the company is exposed to significant risk from a loss of revenue received from any particular market data reseller.</w:t>
      </w:r>
    </w:p>
    <w:p>
      <w:pPr>
        <w:spacing w:after="0" w:line="137" w:lineRule="exact"/>
        <w:rPr>
          <w:sz w:val="20"/>
          <w:szCs w:val="20"/>
          <w:color w:val="auto"/>
        </w:rPr>
      </w:pPr>
    </w:p>
    <w:p>
      <w:pPr>
        <w:ind w:right="80"/>
        <w:spacing w:after="0" w:line="339" w:lineRule="auto"/>
        <w:rPr>
          <w:sz w:val="20"/>
          <w:szCs w:val="20"/>
          <w:color w:val="auto"/>
        </w:rPr>
      </w:pPr>
      <w:r>
        <w:rPr>
          <w:rFonts w:ascii="Arial" w:cs="Arial" w:eastAsia="Arial" w:hAnsi="Arial"/>
          <w:sz w:val="15"/>
          <w:szCs w:val="15"/>
          <w:b w:val="1"/>
          <w:bCs w:val="1"/>
          <w:color w:val="auto"/>
        </w:rPr>
        <w:t xml:space="preserve">Share-Based Payments. </w:t>
      </w:r>
      <w:r>
        <w:rPr>
          <w:rFonts w:ascii="Arial" w:cs="Arial" w:eastAsia="Arial" w:hAnsi="Arial"/>
          <w:sz w:val="15"/>
          <w:szCs w:val="15"/>
          <w:color w:val="auto"/>
        </w:rPr>
        <w:t>The company accounts for share-based payments under the fair value recognition provisions of the accounting guidance on share-based</w:t>
      </w:r>
      <w:r>
        <w:rPr>
          <w:rFonts w:ascii="Arial" w:cs="Arial" w:eastAsia="Arial" w:hAnsi="Arial"/>
          <w:sz w:val="15"/>
          <w:szCs w:val="15"/>
          <w:b w:val="1"/>
          <w:bCs w:val="1"/>
          <w:color w:val="auto"/>
        </w:rPr>
        <w:t xml:space="preserve"> </w:t>
      </w:r>
      <w:r>
        <w:rPr>
          <w:rFonts w:ascii="Arial" w:cs="Arial" w:eastAsia="Arial" w:hAnsi="Arial"/>
          <w:sz w:val="15"/>
          <w:szCs w:val="15"/>
          <w:color w:val="auto"/>
        </w:rPr>
        <w:t>payments. The company recognizes expense relating to stock-based compensation on an accelerated basis. As a result, the expense associated with each vesting date within a stock grant is recognized over the period of time that each portion of that grant vests. The company estimates expected forfeitures of stock grants.</w:t>
      </w:r>
    </w:p>
    <w:p>
      <w:pPr>
        <w:spacing w:after="0" w:line="79"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b w:val="1"/>
          <w:bCs w:val="1"/>
          <w:color w:val="auto"/>
        </w:rPr>
        <w:t xml:space="preserve">Marketing Costs. </w:t>
      </w:r>
      <w:r>
        <w:rPr>
          <w:rFonts w:ascii="Arial" w:cs="Arial" w:eastAsia="Arial" w:hAnsi="Arial"/>
          <w:sz w:val="16"/>
          <w:szCs w:val="16"/>
          <w:color w:val="auto"/>
        </w:rPr>
        <w:t>Marketing costs are incurred for the production and communication of advertising as well as other marketing activities. These costs are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expensed when incurred, except for costs related to the production of broadcast advertising, which are expensed when the first broadcast occurs.</w:t>
      </w:r>
    </w:p>
    <w:p>
      <w:pPr>
        <w:spacing w:after="0" w:line="74"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Deferred income taxes are determined in accordance with the accounting guidance on income taxes, and arise from temporary differences between</w:t>
      </w:r>
      <w:r>
        <w:rPr>
          <w:rFonts w:ascii="Arial" w:cs="Arial" w:eastAsia="Arial" w:hAnsi="Arial"/>
          <w:sz w:val="16"/>
          <w:szCs w:val="16"/>
          <w:b w:val="1"/>
          <w:bCs w:val="1"/>
          <w:color w:val="auto"/>
        </w:rPr>
        <w:t xml:space="preserve"> </w:t>
      </w:r>
      <w:r>
        <w:rPr>
          <w:rFonts w:ascii="Arial" w:cs="Arial" w:eastAsia="Arial" w:hAnsi="Arial"/>
          <w:sz w:val="16"/>
          <w:szCs w:val="16"/>
          <w:color w:val="auto"/>
        </w:rPr>
        <w:t>the tax basis and book basis of assets and liabilities. A valuation allowance is recognized if it is anticipated that some or all of a deferred tax asset may not be realized. The company accounts for uncertainty in income taxes recognized in its consolidated financial statements by using a more-likely-than-not recognition threshold based on the technical merits of the tax position taken or expected to be taken. As of January 1, 2007, the company adopted guidance on accounting for uncertain tax positions and recorded an increase to current liabilities and a corresponding decrease to retained earnings as a result of a reassessment of its tax positions. The company classifies interest and penalties related to uncertain tax positions in income tax expense.</w:t>
      </w:r>
    </w:p>
    <w:p>
      <w:pPr>
        <w:spacing w:after="0" w:line="11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Based on materiality, GFX Corporation (GFX), CMA, Swapstream and the company’s real estate operations are not reportable segments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as a result, there is no disclosure of segment information.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80"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SECURITIES LENDING</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Under its securities lending program, the company may lend a portion of the securities that have been deposited to satisfy performance bond requirements to a third party on an overnight basis and receives collateral in the form of cash. The cash is then invested in instruments on which the company receives the benefit, and bears the risk, to generate interest income. Interest expense is paid to the third party for the cash collateral, and a fee is paid to the program’s third party administrator on each transaction. Securities on loan are marked to market daily and compared to collateral received.</w:t>
      </w:r>
    </w:p>
    <w:p>
      <w:pPr>
        <w:spacing w:after="0" w:line="11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CME’s securities lending program has been suspended since November 2008 due to high volatility in the credit markets. During September 2008, the company recorded an impairment loss of $6.0 million on CME’s invested collateral due to the default of a corporate debt issuer on its obligation to one of the money market mutual funds. The impairment loss was recorded in securities lending interest and other costs in the consolidated statements of income. At December 31, 2009 and 2008, CME’s securities lending program liabilities were zero.</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its merger with NYMEX Holdings, the company acquired the assets and liabilities of the NYMEX securities lending program. NYMEX also lent a portion of the securities that had been deposited to satisfy performance bond requirements to a third party on an overnight basis in return for cash collateral. During 2008, the company recorded impairment losses of $18.3 million on NYMEX invested collateral due to the default of one of the corporate debt issuers. The impairment loss was recorded in securities lending interest and other costs in the consolidated statements of income. In June 2009, the NYMEX securities lending program was terminated.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2008, NYMEX securities lending cash collateral was invested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Fair</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161"/>
        </w:trPr>
        <w:tc>
          <w:tcPr>
            <w:tcW w:w="88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920" w:type="dxa"/>
            <w:vAlign w:val="bottom"/>
            <w:gridSpan w:val="2"/>
          </w:tcPr>
          <w:p>
            <w:pPr>
              <w:ind w:left="120"/>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$401.6</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$400.6</w:t>
            </w:r>
          </w:p>
        </w:tc>
        <w:tc>
          <w:tcPr>
            <w:tcW w:w="5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agreements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820" w:type="dxa"/>
            <w:vAlign w:val="bottom"/>
            <w:gridSpan w:val="3"/>
            <w:vMerge w:val="restart"/>
          </w:tcPr>
          <w:p>
            <w:pPr>
              <w:spacing w:after="0"/>
              <w:rPr>
                <w:sz w:val="20"/>
                <w:szCs w:val="20"/>
                <w:color w:val="auto"/>
              </w:rPr>
            </w:pPr>
            <w:r>
              <w:rPr>
                <w:rFonts w:ascii="Arial" w:cs="Arial" w:eastAsia="Arial" w:hAnsi="Arial"/>
                <w:sz w:val="18"/>
                <w:szCs w:val="18"/>
                <w:color w:val="auto"/>
              </w:rPr>
              <w:t>Total Invested Collateral</w:t>
            </w: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gridSpan w:val="3"/>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429.4</w:t>
            </w:r>
          </w:p>
        </w:tc>
        <w:tc>
          <w:tcPr>
            <w:tcW w:w="4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426.9</w:t>
            </w:r>
          </w:p>
        </w:tc>
        <w:tc>
          <w:tcPr>
            <w:tcW w:w="560" w:type="dxa"/>
            <w:vAlign w:val="bottom"/>
            <w:gridSpan w:val="2"/>
          </w:tcPr>
          <w:p>
            <w:pPr>
              <w:ind w:left="44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At December 31, 2008, all collateral was invested in securities with remaining maturities of one year or less. NYMEX securities lending program liabilities were $456.8 million at December 31,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Available-for-Sale Securities. </w:t>
      </w:r>
      <w:r>
        <w:rPr>
          <w:rFonts w:ascii="Arial" w:cs="Arial" w:eastAsia="Arial" w:hAnsi="Arial"/>
          <w:sz w:val="16"/>
          <w:szCs w:val="16"/>
          <w:color w:val="auto"/>
        </w:rPr>
        <w:t>Certain marketable securities have been classified as available-for-sale. The amortized cost and fair value of these securities at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0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Amortized</w:t>
            </w:r>
          </w:p>
        </w:tc>
        <w:tc>
          <w:tcPr>
            <w:tcW w:w="4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42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Amortized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ind w:right="37"/>
              <w:spacing w:after="0" w:line="129"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7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6"/>
              </w:rPr>
              <w:t>Cost</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Value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Cost</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agency</w:t>
            </w:r>
          </w:p>
        </w:tc>
        <w:tc>
          <w:tcPr>
            <w:tcW w:w="4400" w:type="dxa"/>
            <w:vAlign w:val="bottom"/>
            <w:gridSpan w:val="2"/>
            <w:shd w:val="clear" w:color="auto" w:fill="CCEEFF"/>
          </w:tcPr>
          <w:p>
            <w:pPr>
              <w:ind w:left="428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U.S. Treasury</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283.9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Asset-back securities</w:t>
            </w: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4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4400" w:type="dxa"/>
            <w:vAlign w:val="bottom"/>
            <w:gridSpan w:val="2"/>
          </w:tcPr>
          <w:p>
            <w:pPr>
              <w:ind w:left="428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19.6</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19.2</w:t>
            </w: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291.9</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280" w:type="dxa"/>
            <w:vAlign w:val="bottom"/>
            <w:vMerge w:val="restart"/>
          </w:tcPr>
          <w:p>
            <w:pPr>
              <w:jc w:val="right"/>
              <w:ind w:right="2092"/>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8" w:name="page99"/>
    <w:bookmarkEnd w:id="98"/>
    <w:p>
      <w:pPr>
        <w:ind w:right="2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Net unrealized gains (losses) on marketable securities classified as available-for-sale are reported as a component of other comprehensive income (loss) and included in the accompanying consolidated statements of shareholders’ equity. The fair value and continuous duration of gross unrealized losses on marketable securities with unrealized losses that are not deemed to be other-than-temporarily impaired, at December 31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center"/>
              <w:ind w:left="42"/>
              <w:spacing w:after="0"/>
              <w:rPr>
                <w:sz w:val="20"/>
                <w:szCs w:val="20"/>
                <w:color w:val="auto"/>
              </w:rPr>
            </w:pPr>
            <w:r>
              <w:rPr>
                <w:rFonts w:ascii="Arial" w:cs="Arial" w:eastAsia="Arial" w:hAnsi="Arial"/>
                <w:sz w:val="14"/>
                <w:szCs w:val="14"/>
                <w:b w:val="1"/>
                <w:bCs w:val="1"/>
                <w:color w:val="auto"/>
                <w:w w:val="89"/>
              </w:rPr>
              <w:t>2009</w:t>
            </w: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1020" w:type="dxa"/>
            <w:vAlign w:val="bottom"/>
            <w:gridSpan w:val="3"/>
          </w:tcPr>
          <w:p>
            <w:pPr>
              <w:jc w:val="center"/>
              <w:ind w:left="182"/>
              <w:spacing w:after="0" w:line="129" w:lineRule="exact"/>
              <w:rPr>
                <w:sz w:val="20"/>
                <w:szCs w:val="20"/>
                <w:color w:val="auto"/>
              </w:rPr>
            </w:pPr>
            <w:r>
              <w:rPr>
                <w:rFonts w:ascii="Arial" w:cs="Arial" w:eastAsia="Arial" w:hAnsi="Arial"/>
                <w:sz w:val="14"/>
                <w:szCs w:val="14"/>
                <w:b w:val="1"/>
                <w:bCs w:val="1"/>
                <w:color w:val="auto"/>
                <w:w w:val="84"/>
              </w:rPr>
              <w:t>Less than 12</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20" w:type="dxa"/>
            <w:vAlign w:val="bottom"/>
            <w:gridSpan w:val="5"/>
          </w:tcPr>
          <w:p>
            <w:pPr>
              <w:jc w:val="center"/>
              <w:ind w:right="420"/>
              <w:spacing w:after="0" w:line="129" w:lineRule="exact"/>
              <w:rPr>
                <w:sz w:val="20"/>
                <w:szCs w:val="20"/>
                <w:color w:val="auto"/>
              </w:rPr>
            </w:pPr>
            <w:r>
              <w:rPr>
                <w:rFonts w:ascii="Arial" w:cs="Arial" w:eastAsia="Arial" w:hAnsi="Arial"/>
                <w:sz w:val="14"/>
                <w:szCs w:val="14"/>
                <w:b w:val="1"/>
                <w:bCs w:val="1"/>
                <w:color w:val="auto"/>
                <w:w w:val="89"/>
              </w:rPr>
              <w:t>12 Months 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tcPr>
          <w:p>
            <w:pPr>
              <w:jc w:val="center"/>
              <w:ind w:right="26"/>
              <w:spacing w:after="0"/>
              <w:rPr>
                <w:sz w:val="20"/>
                <w:szCs w:val="20"/>
                <w:color w:val="auto"/>
              </w:rPr>
            </w:pPr>
            <w:r>
              <w:rPr>
                <w:rFonts w:ascii="Arial" w:cs="Arial" w:eastAsia="Arial" w:hAnsi="Arial"/>
                <w:sz w:val="14"/>
                <w:szCs w:val="14"/>
                <w:b w:val="1"/>
                <w:bCs w:val="1"/>
                <w:color w:val="auto"/>
                <w:w w:val="88"/>
              </w:rPr>
              <w:t>Months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gridSpan w:val="4"/>
          </w:tcPr>
          <w:p>
            <w:pPr>
              <w:jc w:val="center"/>
              <w:ind w:right="780"/>
              <w:spacing w:after="0"/>
              <w:rPr>
                <w:sz w:val="20"/>
                <w:szCs w:val="20"/>
                <w:color w:val="auto"/>
              </w:rPr>
            </w:pPr>
            <w:r>
              <w:rPr>
                <w:rFonts w:ascii="Arial" w:cs="Arial" w:eastAsia="Arial" w:hAnsi="Arial"/>
                <w:sz w:val="14"/>
                <w:szCs w:val="14"/>
                <w:b w:val="1"/>
                <w:bCs w:val="1"/>
                <w:color w:val="auto"/>
                <w:w w:val="92"/>
              </w:rPr>
              <w:t>Greater</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Unrealized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3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Unrealized</w:t>
            </w:r>
          </w:p>
        </w:tc>
        <w:tc>
          <w:tcPr>
            <w:tcW w:w="400" w:type="dxa"/>
            <w:vAlign w:val="bottom"/>
          </w:tcPr>
          <w:p>
            <w:pPr>
              <w:spacing w:after="0"/>
              <w:rPr>
                <w:sz w:val="11"/>
                <w:szCs w:val="11"/>
                <w:color w:val="auto"/>
              </w:rPr>
            </w:pPr>
          </w:p>
        </w:tc>
        <w:tc>
          <w:tcPr>
            <w:tcW w:w="42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rPr>
              <w:t>Fair</w:t>
            </w:r>
          </w:p>
        </w:tc>
        <w:tc>
          <w:tcPr>
            <w:tcW w:w="2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5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85"/>
              </w:rPr>
              <w:t>Value</w:t>
            </w:r>
          </w:p>
        </w:tc>
        <w:tc>
          <w:tcPr>
            <w:tcW w:w="300" w:type="dxa"/>
            <w:vAlign w:val="bottom"/>
          </w:tcPr>
          <w:p>
            <w:pPr>
              <w:spacing w:after="0"/>
              <w:rPr>
                <w:sz w:val="14"/>
                <w:szCs w:val="14"/>
                <w:color w:val="auto"/>
              </w:rPr>
            </w:pPr>
          </w:p>
        </w:tc>
        <w:tc>
          <w:tcPr>
            <w:tcW w:w="880" w:type="dxa"/>
            <w:vAlign w:val="bottom"/>
            <w:gridSpan w:val="3"/>
          </w:tcPr>
          <w:p>
            <w:pPr>
              <w:ind w:left="14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Value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Losses</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Value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agency</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$ 3.6</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w:t>
            </w:r>
          </w:p>
        </w:tc>
        <w:tc>
          <w:tcPr>
            <w:tcW w:w="5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$ 3.6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Asset-back securities</w:t>
            </w: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(0.4)</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8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(0.4)</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$ 7.0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has the ability and intent to hold these marketable securities until a recovery of fair value, which may be maturity and, therefore, does not consider these investments to be other-than-temporarily impaired at December 31, 2009 or 2008. Unrealized gains on marketable securities totaled $0.1 million at December 31, 2009 and $1.0 million at December 31, 2008.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 of marketable securities at December 31, 2009, by contractual maturity,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w w:val="87"/>
              </w:rPr>
              <w:t>Amortized</w:t>
            </w:r>
          </w:p>
        </w:tc>
        <w:tc>
          <w:tcPr>
            <w:tcW w:w="560" w:type="dxa"/>
            <w:vAlign w:val="bottom"/>
          </w:tcPr>
          <w:p>
            <w:pPr>
              <w:spacing w:after="0"/>
              <w:rPr>
                <w:sz w:val="14"/>
                <w:szCs w:val="14"/>
                <w:color w:val="auto"/>
              </w:rPr>
            </w:pPr>
          </w:p>
        </w:tc>
        <w:tc>
          <w:tcPr>
            <w:tcW w:w="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62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auto"/>
                <w:w w:val="89"/>
              </w:rPr>
              <w:t>Cost</w:t>
            </w:r>
          </w:p>
        </w:tc>
        <w:tc>
          <w:tcPr>
            <w:tcW w:w="560" w:type="dxa"/>
            <w:vAlign w:val="bottom"/>
          </w:tcPr>
          <w:p>
            <w:pPr>
              <w:spacing w:after="0"/>
              <w:rPr>
                <w:sz w:val="14"/>
                <w:szCs w:val="14"/>
                <w:color w:val="auto"/>
              </w:rPr>
            </w:pPr>
          </w:p>
        </w:tc>
        <w:tc>
          <w:tcPr>
            <w:tcW w:w="4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 of one year or less</w:t>
            </w:r>
          </w:p>
        </w:tc>
        <w:tc>
          <w:tcPr>
            <w:tcW w:w="3780" w:type="dxa"/>
            <w:vAlign w:val="bottom"/>
            <w:gridSpan w:val="2"/>
            <w:shd w:val="clear" w:color="auto" w:fill="CCEEFF"/>
          </w:tcPr>
          <w:p>
            <w:pPr>
              <w:ind w:left="36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Maturity between one and five years</w:t>
            </w: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 between five and ten years</w:t>
            </w:r>
          </w:p>
        </w:tc>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Maturity greater than ten years</w:t>
            </w:r>
          </w:p>
        </w:tc>
        <w:tc>
          <w:tcPr>
            <w:tcW w:w="3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780" w:type="dxa"/>
            <w:vAlign w:val="bottom"/>
            <w:gridSpan w:val="2"/>
            <w:shd w:val="clear" w:color="auto" w:fill="CCEEFF"/>
          </w:tcPr>
          <w:p>
            <w:pPr>
              <w:ind w:left="36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CME’s policy allows it to pledge U.S. Treasury securities as performance bond collateral in lieu of, or in combination with, irrevocable letters of credit for the mutual offset agreement with Singapore Exchange Limited (SGX) (note 19). CME retains the earnings on the securities and may substitute letters of credit for these securities at its discretion. The aggregate fair value of pledged securities was $283.8 million at December 31, 2008. There were no securities pledged at December 31, 2009. Pledged securities are included within marketable securities in the consolidated balance sheets.</w:t>
      </w:r>
    </w:p>
    <w:p>
      <w:pPr>
        <w:spacing w:after="0" w:line="107" w:lineRule="exact"/>
        <w:rPr>
          <w:sz w:val="20"/>
          <w:szCs w:val="20"/>
          <w:color w:val="auto"/>
        </w:rPr>
      </w:pPr>
    </w:p>
    <w:p>
      <w:pPr>
        <w:ind w:right="240"/>
        <w:spacing w:after="0" w:line="339" w:lineRule="auto"/>
        <w:rPr>
          <w:sz w:val="20"/>
          <w:szCs w:val="20"/>
          <w:color w:val="auto"/>
        </w:rPr>
      </w:pPr>
      <w:r>
        <w:rPr>
          <w:rFonts w:ascii="Arial" w:cs="Arial" w:eastAsia="Arial" w:hAnsi="Arial"/>
          <w:sz w:val="16"/>
          <w:szCs w:val="16"/>
          <w:b w:val="1"/>
          <w:bCs w:val="1"/>
          <w:color w:val="auto"/>
        </w:rPr>
        <w:t xml:space="preserve">Trading Securities. </w:t>
      </w:r>
      <w:r>
        <w:rPr>
          <w:rFonts w:ascii="Arial" w:cs="Arial" w:eastAsia="Arial" w:hAnsi="Arial"/>
          <w:sz w:val="16"/>
          <w:szCs w:val="16"/>
          <w:color w:val="auto"/>
        </w:rPr>
        <w:t>CME maintains additional investments in a diverse portfolio of mutual funds related to its non-qualified deferred compensation plan (note</w:t>
      </w:r>
      <w:r>
        <w:rPr>
          <w:rFonts w:ascii="Arial" w:cs="Arial" w:eastAsia="Arial" w:hAnsi="Arial"/>
          <w:sz w:val="16"/>
          <w:szCs w:val="16"/>
          <w:b w:val="1"/>
          <w:bCs w:val="1"/>
          <w:color w:val="auto"/>
        </w:rPr>
        <w:t xml:space="preserve"> </w:t>
      </w:r>
      <w:r>
        <w:rPr>
          <w:rFonts w:ascii="Arial" w:cs="Arial" w:eastAsia="Arial" w:hAnsi="Arial"/>
          <w:sz w:val="16"/>
          <w:szCs w:val="16"/>
          <w:color w:val="auto"/>
        </w:rPr>
        <w:t>15). The fair value of these securities was $23.4 million and $17.2 million at December 31, 2009 and 2008, respectively.</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80"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 OTHER CURRENT ASSETS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CBOE exercise rights privileges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Forward contract receivable (note 20)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Refundable income tax</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Net deferred income taxes (note 14)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technology license and maintenance contracts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Other prepaid expenses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from brokers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Prepaid insurance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Unamortized debt costs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terms of the company’s merger agreement with CBOT Holdings, eligible CBOT members who held CBOE exercise right privileges (ERP) were each given the choice of tendering their ERP to CME Group for $250,000 payable after the closing or to participate as a class member in the CBOE lawsuit with a guaranteed payment of up to $250,000 if the lawsuit resulted in a recovery of less than that amount. At closing, there were 1,331 ERPs outstanding. In August 2007, 159 ERPs were tendered to the company. The acquired ERPs were recorded at the expected settlement value. Final approval of the litigation settlement occurred on December 3, 2009. According to the settlement, the ERP payment will be made on the earlier of CBOE’s demutualization date or 360 days from December 3, 2009.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PERFORMANCE BONDS AND SECURITY DEPOSITS</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CME clears and guarantees the settlement of CME, CBOT and NYMEX contracts traded in their respective markets. In its guarantor role, CME has precisely equal and offsetting claims to and from clearing firms on opposite sides of each contract, standing as an intermediary on every contract cleared. Clearing firm positions are combined to create a single portfolio for each clearing firm’s regulated and non-regulated accounts with CME for which performance bond and security deposit requirements are calculated. To the extent that funds are not otherwise available to CME to satisfy an obligation under the applicable contract, CME bears counterparty credit risk in the event that future market movements create conditions that could lead to clearing firms failing to meet their obligations to CME. CME reduces its exposure through a risk management program that includes initial and ongoing financial standards for designation as a clearing firm, initial and maintenance performance bond requirements and mandatory security deposits. Each clearing firm is required to deposit and maintain balances in the form of cash, U.S. Government securities, bank letters of credit or other approved investments to satisfy performance bond and security deposit requirements. All obligations and non-cash deposits are marked to market on a daily basis.</w:t>
      </w:r>
    </w:p>
    <w:p>
      <w:pPr>
        <w:spacing w:after="0" w:line="12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addition, the rules and regulations of CBOT require certain minimum financial requirements for delivery of physical commodities, maintenance of capital requirements and deposits on pending arbitration matters. To satisfy these requirements, CBOT clearing firms have deposited cash, U.S. Treasury securities and letters of credit.</w:t>
      </w:r>
    </w:p>
    <w:p>
      <w:pPr>
        <w:spacing w:after="0" w:line="14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CME accounts for its guarantee of settlement of contracts in accordance with current accounting guidance on guarantees. CME marks-to-market all open positions at least twice a day, and requires payment from clearing firms whose positions have lost value and makes payments to clearing firms whose positions have gained value. In select circumstances where CME has introduced clearing services to newer markets, positions are marked-to-market daily, with the capability to mark-to-market more frequently as market conditions warrant.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4" w:right="239" w:bottom="1440" w:gutter="0" w:footer="0" w:header="0"/>
        </w:sectPr>
      </w:pPr>
    </w:p>
    <w:bookmarkStart w:id="100" w:name="page101"/>
    <w:bookmarkEnd w:id="100"/>
    <w:p>
      <w:pPr>
        <w:ind w:right="22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extremely unlikely scenario of simultaneous default by every clearing firm who has open positions with unrealized losses, the maximum exposure related to CME’s guarantee would be one half day of changes in fair value of all open positions, before considering CME’s ability to access defaulting clearing firms’ performance bond and security deposit balances as well as other available resources. During 2009, CME transferred an average of approximately $3.0 billion a day through its clearing system for settlement from clearing firms whose positions had lost value to clearing firms whose positions had gained value. CME reduces its guarantee exposure through initial and maintenance performance bond requirements and mandatory security deposits. The company believes that the guarantee liability in accordance with the accounting guidance is immaterial and therefore has not recorded any liability at December 31, 2009.</w:t>
      </w:r>
    </w:p>
    <w:p>
      <w:pPr>
        <w:spacing w:after="0" w:line="10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Cash performance bonds and security deposits are included in the consolidated balance sheets, and these balances may fluctuate significantly over time due to investment choices available to clearing firms and any change in the amount of deposits required. Securities are not reflected in the consolidated financial statements and CME does not earn any interest on these deposits.</w:t>
      </w:r>
    </w:p>
    <w:p>
      <w:pPr>
        <w:spacing w:after="0" w:line="14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Clearing firms, at their option, may instruct CME to deposit the cash held by CME into one of four IEF programs. The total principal in all IEF programs was $20.6 billion at December 31, 2009 and $19.7 billion at December 31, 2008. The security deposits held in one of the IEF programs may be used as collateral for CME’s $1.0 billion revolving line of credit. The consolidated statements of income reflect management fees earned under the IEF programs of $12.5 million, $11.8 million and $8.4 million during 2009, 2008 and 2007, respectively. These fees are included in other revenues.</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CME and Options Clearing Corporation (OCC) have a cross-margin arrangement, whereby a common clearing firm may maintain a cross-margin account in which the clearing firm’s positions in certain CME futures and options are combined with certain positions cleared by OCC for purposes of calculating performance bond requirements. The performance bond deposits are held jointly by CME and OCC (note 19). Cross-margin cash, securities and letters of credit jointly held with OCC under the cross-margin agreement are reflected at 50% of the total, or CME’s proportionate share per that agreement. In addition, CME has cross-margin agreements with LCH. Clearnet Group (LCH) and Fixed Income Clearing Corporation (FICC) whereby the clearing firms’ offsetting positions with CME and LCH or CME and FICC, as applicable, are subject to reduced performance bond requirements. Clearing firms maintain separate performance bond deposits with each clearing house, but depending on the net offsetting positions between CME and LCH or CME and FICC, as applicable, each clearing house may reduce that firm’s performance bond requirements. The arrangement with LCH was terminated in February 2010.</w:t>
      </w:r>
    </w:p>
    <w:p>
      <w:pPr>
        <w:spacing w:after="0" w:line="118"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Each clearing firm is also required to deposit and maintain specified security deposits in the form of cash or approved securities. In the event that performance bonds, security deposits, and other assets required to support clearing membership of a defaulting clearing firm are inadequate to fulfill that clearing firm’s outstanding financial obligation, the entire security deposit fund is available to cover potential losses after first utilizing operating funds of CME in excess of amounts needed for normal operations (surplus funds). Surplus funds totaled $354.6 million at December 31, 2009. The company’s target for surplus funds is $100.0 million with amounts in excess of this target generally paid as a dividend from CME to CME Group on a quarterly basis based on prior quarter-end balances.</w:t>
      </w:r>
    </w:p>
    <w:p>
      <w:pPr>
        <w:spacing w:after="0" w:line="14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CME maintains a secured line of credit with a consortium of banks to provide liquidity and capacity to pay settlement variation to all clearing firms, even if a clearing firm may have failed to meet its financial obligations to CME, or in the event of a temporary disruption with the domestic payments system that would delay payment of settlement variation between the CME and the clearing firms (note 11). The amount available under the line of credit totaled $1.0 billion as of December 2009. Additionally, CME has an option to request an increase in the credit facility to $1.5 billion. Clearing firm security deposits received in the form of U.S. Treasury or Government agency securities, or in money market mutual funds purchased through one of the IEFs, as well as the performance bond assets of any firm that may default on its obligations to CME, can be used to collateralize the secured line of credit.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80" w:right="259" w:bottom="1440" w:gutter="0" w:footer="0" w:header="0"/>
        </w:sectPr>
      </w:pPr>
    </w:p>
    <w:bookmarkStart w:id="101" w:name="page102"/>
    <w:bookmarkEnd w:id="101"/>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CME is required under the Commodity Exchange Act to segregate cash and securities deposited by clearing firms on behalf of their customers. In addition, CME rules require a segregation of all funds deposited by clearing firms from its operating funds.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Cash and securities held as performance bonds and security deposits at fair value at December 31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96"/>
              </w:rPr>
              <w:t>2009</w:t>
            </w:r>
          </w:p>
        </w:tc>
        <w:tc>
          <w:tcPr>
            <w:tcW w:w="7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3"/>
              </w:rPr>
              <w:t>Securities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61"/>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420" w:type="dxa"/>
            <w:vAlign w:val="bottom"/>
          </w:tcPr>
          <w:p>
            <w:pPr>
              <w:spacing w:after="0"/>
              <w:rPr>
                <w:sz w:val="14"/>
                <w:szCs w:val="14"/>
                <w:color w:val="auto"/>
              </w:rPr>
            </w:pPr>
          </w:p>
        </w:tc>
        <w:tc>
          <w:tcPr>
            <w:tcW w:w="720" w:type="dxa"/>
            <w:vAlign w:val="bottom"/>
            <w:gridSpan w:val="2"/>
          </w:tcPr>
          <w:p>
            <w:pPr>
              <w:ind w:left="200"/>
              <w:spacing w:after="0"/>
              <w:rPr>
                <w:sz w:val="20"/>
                <w:szCs w:val="20"/>
                <w:color w:val="auto"/>
              </w:rPr>
            </w:pPr>
            <w:r>
              <w:rPr>
                <w:rFonts w:ascii="Arial" w:cs="Arial" w:eastAsia="Arial" w:hAnsi="Arial"/>
                <w:sz w:val="14"/>
                <w:szCs w:val="14"/>
                <w:b w:val="1"/>
                <w:bCs w:val="1"/>
                <w:color w:val="auto"/>
              </w:rPr>
              <w:t>Cash</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IEF Funds</w:t>
            </w:r>
          </w:p>
        </w:tc>
        <w:tc>
          <w:tcPr>
            <w:tcW w:w="140" w:type="dxa"/>
            <w:vAlign w:val="bottom"/>
          </w:tcPr>
          <w:p>
            <w:pPr>
              <w:spacing w:after="0"/>
              <w:rPr>
                <w:sz w:val="14"/>
                <w:szCs w:val="14"/>
                <w:color w:val="auto"/>
              </w:rPr>
            </w:pPr>
          </w:p>
        </w:tc>
        <w:tc>
          <w:tcPr>
            <w:tcW w:w="660" w:type="dxa"/>
            <w:vAlign w:val="bottom"/>
          </w:tcPr>
          <w:p>
            <w:pPr>
              <w:jc w:val="right"/>
              <w:ind w:right="156"/>
              <w:spacing w:after="0"/>
              <w:rPr>
                <w:sz w:val="20"/>
                <w:szCs w:val="20"/>
                <w:color w:val="auto"/>
              </w:rPr>
            </w:pPr>
            <w:r>
              <w:rPr>
                <w:rFonts w:ascii="Arial" w:cs="Arial" w:eastAsia="Arial" w:hAnsi="Arial"/>
                <w:sz w:val="14"/>
                <w:szCs w:val="14"/>
                <w:b w:val="1"/>
                <w:bCs w:val="1"/>
                <w:color w:val="auto"/>
              </w:rPr>
              <w:t>Cash</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IEF Funds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3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$ 5,834.6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70,511.5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17,296.1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96,220.5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Security deposits</w:t>
            </w:r>
          </w:p>
        </w:tc>
        <w:tc>
          <w:tcPr>
            <w:tcW w:w="3140" w:type="dxa"/>
            <w:vAlign w:val="bottom"/>
            <w:gridSpan w:val="3"/>
          </w:tcPr>
          <w:p>
            <w:pPr>
              <w:jc w:val="right"/>
              <w:ind w:right="40"/>
              <w:spacing w:after="0"/>
              <w:rPr>
                <w:sz w:val="20"/>
                <w:szCs w:val="20"/>
                <w:color w:val="auto"/>
              </w:rPr>
            </w:pPr>
            <w:r>
              <w:rPr>
                <w:rFonts w:ascii="Arial" w:cs="Arial" w:eastAsia="Arial" w:hAnsi="Arial"/>
                <w:sz w:val="18"/>
                <w:szCs w:val="18"/>
                <w:color w:val="auto"/>
              </w:rPr>
              <w:t>102.6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2,652.2</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Cross-margin arrangements</w:t>
            </w:r>
          </w:p>
        </w:tc>
        <w:tc>
          <w:tcPr>
            <w:tcW w:w="3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Performance collateral for delivery</w:t>
            </w:r>
          </w:p>
        </w:tc>
        <w:tc>
          <w:tcPr>
            <w:tcW w:w="24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$ 5,981.9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73,386.8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17,653.5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Cash performance bonds may include intraday settlement, if any, that is owed to the clearing firms and paid the following business day. The balance of intraday settlements was $123.5 million at December 31, 2009 and $179.6 million at December 31, 2008. These amounts are invested on an overnight basis and are offset by an equal liability owed to clearing firms.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addition to cash and securities, irrevocable letters of credit may be used as performance bond deposits and security deposits. At December 31, these letters of credit, which are not included in the accompanying consolidated balance sheets,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680" w:type="dxa"/>
            <w:vAlign w:val="bottom"/>
          </w:tcPr>
          <w:p>
            <w:pPr>
              <w:jc w:val="right"/>
              <w:ind w:right="116"/>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bonds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$ 4,000.9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4,755.8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Arial" w:cs="Arial" w:eastAsia="Arial" w:hAnsi="Arial"/>
                <w:sz w:val="18"/>
                <w:szCs w:val="18"/>
                <w:color w:val="auto"/>
              </w:rPr>
              <w:t>Security deposits</w:t>
            </w:r>
          </w:p>
        </w:tc>
        <w:tc>
          <w:tcPr>
            <w:tcW w:w="680" w:type="dxa"/>
            <w:vAlign w:val="bottom"/>
          </w:tcPr>
          <w:p>
            <w:pPr>
              <w:jc w:val="right"/>
              <w:spacing w:after="0"/>
              <w:rPr>
                <w:sz w:val="20"/>
                <w:szCs w:val="20"/>
                <w:color w:val="auto"/>
              </w:rPr>
            </w:pPr>
            <w:r>
              <w:rPr>
                <w:rFonts w:ascii="Arial" w:cs="Arial" w:eastAsia="Arial" w:hAnsi="Arial"/>
                <w:sz w:val="18"/>
                <w:szCs w:val="18"/>
                <w:color w:val="auto"/>
              </w:rPr>
              <w:t>18.5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collateral for delivery</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gridSpan w:val="3"/>
          </w:tcPr>
          <w:p>
            <w:pPr>
              <w:spacing w:after="0"/>
              <w:rPr>
                <w:sz w:val="20"/>
                <w:szCs w:val="20"/>
                <w:color w:val="auto"/>
              </w:rPr>
            </w:pPr>
            <w:r>
              <w:rPr>
                <w:rFonts w:ascii="Arial" w:cs="Arial" w:eastAsia="Arial" w:hAnsi="Arial"/>
                <w:sz w:val="18"/>
                <w:szCs w:val="18"/>
                <w:color w:val="auto"/>
              </w:rPr>
              <w:t>Total Letters of Credit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$ 4,281.5</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5,142.6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All cash, securities and letters of credit posted as performance bonds are only available to meet the financial obligations of that clearing firm to CME.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property accounts at December 31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5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Building and building improvements</w:t>
            </w: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438.8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Furniture, fixtures and equipment</w:t>
            </w:r>
          </w:p>
        </w:tc>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365.3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and software development costs</w:t>
            </w:r>
          </w:p>
        </w:tc>
        <w:tc>
          <w:tcPr>
            <w:tcW w:w="4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00" w:type="dxa"/>
            <w:vAlign w:val="bottom"/>
            <w:gridSpan w:val="3"/>
          </w:tcPr>
          <w:p>
            <w:pPr>
              <w:spacing w:after="0"/>
              <w:rPr>
                <w:sz w:val="20"/>
                <w:szCs w:val="20"/>
                <w:color w:val="auto"/>
              </w:rPr>
            </w:pPr>
            <w:r>
              <w:rPr>
                <w:rFonts w:ascii="Arial" w:cs="Arial" w:eastAsia="Arial" w:hAnsi="Arial"/>
                <w:sz w:val="18"/>
                <w:szCs w:val="18"/>
                <w:color w:val="auto"/>
              </w:rPr>
              <w:t>Total property</w:t>
            </w:r>
          </w:p>
        </w:tc>
        <w:tc>
          <w:tcPr>
            <w:tcW w:w="4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1,284.6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1,186.7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4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(546.1)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color w:val="auto"/>
              </w:rPr>
              <w:t>Property, net</w:t>
            </w:r>
          </w:p>
        </w:tc>
        <w:tc>
          <w:tcPr>
            <w:tcW w:w="4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gridSpan w:val="3"/>
            <w:vMerge w:val="continue"/>
          </w:tcPr>
          <w:p>
            <w:pPr>
              <w:spacing w:after="0"/>
              <w:rPr>
                <w:sz w:val="19"/>
                <w:szCs w:val="19"/>
                <w:color w:val="auto"/>
              </w:rPr>
            </w:pPr>
          </w:p>
        </w:tc>
        <w:tc>
          <w:tcPr>
            <w:tcW w:w="49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738.5</w:t>
            </w:r>
          </w:p>
        </w:tc>
        <w:tc>
          <w:tcPr>
            <w:tcW w:w="3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920" w:type="dxa"/>
            <w:vAlign w:val="bottom"/>
            <w:vMerge w:val="restart"/>
          </w:tcPr>
          <w:p>
            <w:pPr>
              <w:jc w:val="right"/>
              <w:ind w:right="3492"/>
              <w:spacing w:after="0"/>
              <w:rPr>
                <w:sz w:val="20"/>
                <w:szCs w:val="20"/>
                <w:color w:val="auto"/>
              </w:rPr>
            </w:pPr>
            <w:r>
              <w:rPr>
                <w:rFonts w:ascii="Arial" w:cs="Arial" w:eastAsia="Arial" w:hAnsi="Arial"/>
                <w:sz w:val="18"/>
                <w:szCs w:val="18"/>
                <w:color w:val="auto"/>
              </w:rPr>
              <w:t>102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02" w:name="page103"/>
    <w:bookmarkEnd w:id="102"/>
    <w:p>
      <w:pPr>
        <w:ind w:right="7160" w:firstLine="8"/>
        <w:spacing w:after="0" w:line="445" w:lineRule="auto"/>
        <w:tabs>
          <w:tab w:leader="none" w:pos="176"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INTANGIBLE ASSETS AND GOODWILL </w:t>
      </w:r>
      <w:r>
        <w:rPr>
          <w:rFonts w:ascii="Arial" w:cs="Arial" w:eastAsia="Arial" w:hAnsi="Arial"/>
          <w:sz w:val="16"/>
          <w:szCs w:val="16"/>
          <w:color w:val="auto"/>
        </w:rPr>
        <w:t>Intangible assets consisted of the following at December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4"/>
              </w:rPr>
              <w:t>Net Book</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640" w:type="dxa"/>
            <w:vAlign w:val="bottom"/>
          </w:tcPr>
          <w:p>
            <w:pPr>
              <w:jc w:val="right"/>
              <w:ind w:right="14"/>
              <w:spacing w:after="0" w:line="129" w:lineRule="exact"/>
              <w:rPr>
                <w:sz w:val="20"/>
                <w:szCs w:val="20"/>
                <w:color w:val="auto"/>
              </w:rPr>
            </w:pPr>
            <w:r>
              <w:rPr>
                <w:rFonts w:ascii="Arial" w:cs="Arial" w:eastAsia="Arial" w:hAnsi="Arial"/>
                <w:sz w:val="14"/>
                <w:szCs w:val="14"/>
                <w:b w:val="1"/>
                <w:bCs w:val="1"/>
                <w:color w:val="auto"/>
                <w:w w:val="84"/>
              </w:rPr>
              <w:t>Net Book</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4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Amortizable Intangible Assets: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Clearing firm, market data and other customer relationships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$2,842.5</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(186.8)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2,655.7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$2,842.5</w:t>
            </w:r>
          </w:p>
        </w:tc>
        <w:tc>
          <w:tcPr>
            <w:tcW w:w="4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Lease-related intangibles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Dow Jones licensing agreement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(16.6)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57.4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74.0</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Technology-related intellectual property</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Open interest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Market maker agreement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(a)</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3,053.7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2,797.5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3,057.6</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(133.2)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Foreign currency translation adjustments</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(5.3)</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Amortizable Intangible Assets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3,045.9</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2,792.2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3,046.1</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2,915.3</w:t>
            </w:r>
          </w:p>
        </w:tc>
        <w:tc>
          <w:tcPr>
            <w:tcW w:w="0" w:type="dxa"/>
            <w:vAlign w:val="bottom"/>
          </w:tcPr>
          <w:p>
            <w:pPr>
              <w:spacing w:after="0"/>
              <w:rPr>
                <w:sz w:val="1"/>
                <w:szCs w:val="1"/>
                <w:color w:val="auto"/>
              </w:rPr>
            </w:pPr>
          </w:p>
        </w:tc>
      </w:tr>
      <w:tr>
        <w:trPr>
          <w:trHeight w:val="20"/>
        </w:trPr>
        <w:tc>
          <w:tcPr>
            <w:tcW w:w="4840" w:type="dxa"/>
            <w:vAlign w:val="bottom"/>
            <w:gridSpan w:val="4"/>
            <w:vMerge w:val="restart"/>
          </w:tcPr>
          <w:p>
            <w:pPr>
              <w:spacing w:after="0"/>
              <w:rPr>
                <w:sz w:val="20"/>
                <w:szCs w:val="20"/>
                <w:color w:val="auto"/>
              </w:rPr>
            </w:pPr>
            <w:r>
              <w:rPr>
                <w:rFonts w:ascii="Arial" w:cs="Arial" w:eastAsia="Arial" w:hAnsi="Arial"/>
                <w:sz w:val="18"/>
                <w:szCs w:val="18"/>
                <w:color w:val="auto"/>
              </w:rPr>
              <w:t>Indefinite-Lived Intangible Assets: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40" w:type="dxa"/>
            <w:vAlign w:val="bottom"/>
            <w:gridSpan w:val="4"/>
            <w:vMerge w:val="continue"/>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Trading products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16,982.0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16,982.0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tcPr>
          <w:p>
            <w:pPr>
              <w:spacing w:after="0"/>
              <w:rPr>
                <w:sz w:val="20"/>
                <w:szCs w:val="20"/>
                <w:color w:val="auto"/>
              </w:rPr>
            </w:pPr>
            <w:r>
              <w:rPr>
                <w:rFonts w:ascii="Arial" w:cs="Arial" w:eastAsia="Arial" w:hAnsi="Arial"/>
                <w:sz w:val="18"/>
                <w:szCs w:val="18"/>
                <w:color w:val="auto"/>
              </w:rPr>
              <w:t>Trade names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452.1</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(b)</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17,436.7</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17,436.7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4840" w:type="dxa"/>
            <w:vAlign w:val="bottom"/>
            <w:gridSpan w:val="4"/>
          </w:tcPr>
          <w:p>
            <w:pPr>
              <w:spacing w:after="0"/>
              <w:rPr>
                <w:sz w:val="20"/>
                <w:szCs w:val="20"/>
                <w:color w:val="auto"/>
              </w:rPr>
            </w:pPr>
            <w:r>
              <w:rPr>
                <w:rFonts w:ascii="Arial" w:cs="Arial" w:eastAsia="Arial" w:hAnsi="Arial"/>
                <w:sz w:val="18"/>
                <w:szCs w:val="18"/>
                <w:color w:val="auto"/>
              </w:rPr>
              <w:t>Total Indefinite-Lived Intangible Assets</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17,436.3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17,436.1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20,228.5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20,351.4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300" w:hanging="452"/>
        <w:spacing w:after="0" w:line="286"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At December 31, 2009, other amortizable intangible assets consisted of non-compete and service agreements. At December 31, 2008, other amortizable intangible assets consisted primarily of non-compete and service agreements and trade names with limited lives.</w:t>
      </w: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December 31, 2009 and 2008, other indefinite-lived intangible assets consisted of products in development.</w:t>
      </w:r>
    </w:p>
    <w:p>
      <w:pPr>
        <w:spacing w:after="0" w:line="16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Total amortization expense for intangible assets was $125.1 million, $98.7 million and $33.9 million for the years ended December 31, 2009, 2008 and 2007, respectively. As of December 31, 2009, the future estimated amortization expense related to amortizable intangible assets is expected to be: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82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2440" w:type="dxa"/>
            <w:vAlign w:val="bottom"/>
            <w:shd w:val="clear" w:color="auto" w:fill="CCEEFF"/>
          </w:tcPr>
          <w:p>
            <w:pPr>
              <w:spacing w:after="0"/>
              <w:rPr>
                <w:sz w:val="18"/>
                <w:szCs w:val="18"/>
                <w:color w:val="auto"/>
              </w:rPr>
            </w:pPr>
          </w:p>
        </w:tc>
        <w:tc>
          <w:tcPr>
            <w:tcW w:w="8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121.8</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2011</w:t>
            </w:r>
          </w:p>
        </w:tc>
        <w:tc>
          <w:tcPr>
            <w:tcW w:w="2440" w:type="dxa"/>
            <w:vAlign w:val="bottom"/>
          </w:tcPr>
          <w:p>
            <w:pPr>
              <w:spacing w:after="0"/>
              <w:rPr>
                <w:sz w:val="18"/>
                <w:szCs w:val="18"/>
                <w:color w:val="auto"/>
              </w:rPr>
            </w:pPr>
          </w:p>
        </w:tc>
        <w:tc>
          <w:tcPr>
            <w:tcW w:w="8260" w:type="dxa"/>
            <w:vAlign w:val="bottom"/>
          </w:tcPr>
          <w:p>
            <w:pPr>
              <w:jc w:val="right"/>
              <w:spacing w:after="0"/>
              <w:rPr>
                <w:sz w:val="20"/>
                <w:szCs w:val="20"/>
                <w:color w:val="auto"/>
              </w:rPr>
            </w:pPr>
            <w:r>
              <w:rPr>
                <w:rFonts w:ascii="Arial" w:cs="Arial" w:eastAsia="Arial" w:hAnsi="Arial"/>
                <w:sz w:val="18"/>
                <w:szCs w:val="18"/>
                <w:color w:val="auto"/>
              </w:rPr>
              <w:t>121.6</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2440" w:type="dxa"/>
            <w:vAlign w:val="bottom"/>
            <w:shd w:val="clear" w:color="auto" w:fill="CCEEFF"/>
          </w:tcPr>
          <w:p>
            <w:pPr>
              <w:spacing w:after="0"/>
              <w:rPr>
                <w:sz w:val="18"/>
                <w:szCs w:val="18"/>
                <w:color w:val="auto"/>
              </w:rPr>
            </w:pPr>
          </w:p>
        </w:tc>
        <w:tc>
          <w:tcPr>
            <w:tcW w:w="8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2440" w:type="dxa"/>
            <w:vAlign w:val="bottom"/>
          </w:tcPr>
          <w:p>
            <w:pPr>
              <w:spacing w:after="0"/>
              <w:rPr>
                <w:sz w:val="18"/>
                <w:szCs w:val="18"/>
                <w:color w:val="auto"/>
              </w:rPr>
            </w:pPr>
          </w:p>
        </w:tc>
        <w:tc>
          <w:tcPr>
            <w:tcW w:w="826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440" w:type="dxa"/>
            <w:vAlign w:val="bottom"/>
            <w:shd w:val="clear" w:color="auto" w:fill="CCEEFF"/>
          </w:tcPr>
          <w:p>
            <w:pPr>
              <w:spacing w:after="0"/>
              <w:rPr>
                <w:sz w:val="18"/>
                <w:szCs w:val="18"/>
                <w:color w:val="auto"/>
              </w:rPr>
            </w:pPr>
          </w:p>
        </w:tc>
        <w:tc>
          <w:tcPr>
            <w:tcW w:w="8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r>
      <w:tr>
        <w:trPr>
          <w:trHeight w:val="222"/>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260" w:type="dxa"/>
            <w:vAlign w:val="bottom"/>
          </w:tcPr>
          <w:p>
            <w:pPr>
              <w:jc w:val="right"/>
              <w:spacing w:after="0"/>
              <w:rPr>
                <w:sz w:val="20"/>
                <w:szCs w:val="20"/>
                <w:color w:val="auto"/>
              </w:rPr>
            </w:pPr>
            <w:r>
              <w:rPr>
                <w:rFonts w:ascii="Arial" w:cs="Arial" w:eastAsia="Arial" w:hAnsi="Arial"/>
                <w:sz w:val="18"/>
                <w:szCs w:val="18"/>
                <w:color w:val="auto"/>
              </w:rPr>
              <w:t>2,212.3</w:t>
            </w:r>
          </w:p>
        </w:tc>
      </w:tr>
      <w:tr>
        <w:trPr>
          <w:trHeight w:val="35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260" w:type="dxa"/>
            <w:vAlign w:val="bottom"/>
          </w:tcPr>
          <w:p>
            <w:pPr>
              <w:jc w:val="right"/>
              <w:ind w:right="5492"/>
              <w:spacing w:after="0"/>
              <w:rPr>
                <w:sz w:val="20"/>
                <w:szCs w:val="20"/>
                <w:color w:val="auto"/>
              </w:rPr>
            </w:pPr>
            <w:r>
              <w:rPr>
                <w:rFonts w:ascii="Arial" w:cs="Arial" w:eastAsia="Arial" w:hAnsi="Arial"/>
                <w:sz w:val="18"/>
                <w:szCs w:val="18"/>
                <w:color w:val="auto"/>
              </w:rPr>
              <w:t>103</w:t>
            </w:r>
          </w:p>
        </w:tc>
      </w:tr>
    </w:tbl>
    <w:p>
      <w:pPr>
        <w:sectPr>
          <w:pgSz w:w="11900" w:h="16838" w:orient="portrait"/>
          <w:cols w:equalWidth="0" w:num="1">
            <w:col w:w="11420"/>
          </w:cols>
          <w:pgMar w:left="240" w:top="27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Goodwill activity consisted of the following for the years ended December 31, 2009 and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160" w:type="dxa"/>
            <w:vAlign w:val="bottom"/>
            <w:gridSpan w:val="6"/>
          </w:tcPr>
          <w:p>
            <w:pPr>
              <w:ind w:left="100"/>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160" w:type="dxa"/>
            <w:vAlign w:val="bottom"/>
            <w:gridSpan w:val="6"/>
          </w:tcPr>
          <w:p>
            <w:pPr>
              <w:spacing w:after="0" w:line="135"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Impairment</w:t>
            </w:r>
          </w:p>
        </w:tc>
        <w:tc>
          <w:tcPr>
            <w:tcW w:w="60" w:type="dxa"/>
            <w:vAlign w:val="bottom"/>
          </w:tcPr>
          <w:p>
            <w:pPr>
              <w:spacing w:after="0"/>
              <w:rPr>
                <w:sz w:val="11"/>
                <w:szCs w:val="11"/>
                <w:color w:val="auto"/>
              </w:rPr>
            </w:pPr>
          </w:p>
        </w:tc>
        <w:tc>
          <w:tcPr>
            <w:tcW w:w="1220" w:type="dxa"/>
            <w:vAlign w:val="bottom"/>
            <w:gridSpan w:val="3"/>
          </w:tcPr>
          <w:p>
            <w:pPr>
              <w:jc w:val="right"/>
              <w:ind w:right="820"/>
              <w:spacing w:after="0" w:line="135" w:lineRule="exact"/>
              <w:rPr>
                <w:sz w:val="20"/>
                <w:szCs w:val="20"/>
                <w:color w:val="auto"/>
              </w:rPr>
            </w:pPr>
            <w:r>
              <w:rPr>
                <w:rFonts w:ascii="Arial" w:cs="Arial" w:eastAsia="Arial" w:hAnsi="Arial"/>
                <w:sz w:val="14"/>
                <w:szCs w:val="14"/>
                <w:b w:val="1"/>
                <w:bCs w:val="1"/>
                <w:color w:val="auto"/>
              </w:rPr>
              <w:t>Other</w:t>
            </w:r>
          </w:p>
        </w:tc>
        <w:tc>
          <w:tcPr>
            <w:tcW w:w="82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6"/>
        </w:trPr>
        <w:tc>
          <w:tcPr>
            <w:tcW w:w="53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5"/>
          </w:tcPr>
          <w:p>
            <w:pPr>
              <w:spacing w:after="0"/>
              <w:rPr>
                <w:sz w:val="20"/>
                <w:szCs w:val="20"/>
                <w:color w:val="auto"/>
              </w:rPr>
            </w:pPr>
            <w:r>
              <w:rPr>
                <w:rFonts w:ascii="Arial" w:cs="Arial" w:eastAsia="Arial" w:hAnsi="Arial"/>
                <w:sz w:val="14"/>
                <w:szCs w:val="14"/>
                <w:b w:val="1"/>
                <w:bCs w:val="1"/>
                <w:color w:val="auto"/>
              </w:rPr>
              <w:t>Acquisitions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280" w:type="dxa"/>
            <w:vAlign w:val="bottom"/>
            <w:gridSpan w:val="4"/>
          </w:tcPr>
          <w:p>
            <w:pPr>
              <w:spacing w:after="0" w:line="176" w:lineRule="exact"/>
              <w:rPr>
                <w:sz w:val="20"/>
                <w:szCs w:val="20"/>
                <w:color w:val="auto"/>
              </w:rPr>
            </w:pPr>
            <w:r>
              <w:rPr>
                <w:rFonts w:ascii="Arial" w:cs="Arial" w:eastAsia="Arial" w:hAnsi="Arial"/>
                <w:sz w:val="13"/>
                <w:szCs w:val="13"/>
                <w:b w:val="1"/>
                <w:bCs w:val="1"/>
                <w:color w:val="auto"/>
              </w:rPr>
              <w:t>Activity</w:t>
            </w:r>
            <w:r>
              <w:rPr>
                <w:rFonts w:ascii="Arial" w:cs="Arial" w:eastAsia="Arial" w:hAnsi="Arial"/>
                <w:sz w:val="20"/>
                <w:szCs w:val="20"/>
                <w:b w:val="1"/>
                <w:bCs w:val="1"/>
                <w:color w:val="auto"/>
                <w:vertAlign w:val="superscript"/>
              </w:rPr>
              <w:t>(c)</w:t>
            </w:r>
          </w:p>
        </w:tc>
        <w:tc>
          <w:tcPr>
            <w:tcW w:w="100" w:type="dxa"/>
            <w:vAlign w:val="bottom"/>
          </w:tcPr>
          <w:p>
            <w:pPr>
              <w:spacing w:after="0"/>
              <w:rPr>
                <w:sz w:val="15"/>
                <w:szCs w:val="15"/>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CBOT Holdings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5,036.1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NYMEX Holdings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2,436.7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26.4</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w:t>
            </w: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tcBorders>
              <w:lef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80" w:type="dxa"/>
            <w:vAlign w:val="bottom"/>
            <w:tcBorders>
              <w:lef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80" w:type="dxa"/>
            <w:vAlign w:val="bottom"/>
            <w:gridSpan w:val="4"/>
          </w:tcPr>
          <w:p>
            <w:pPr>
              <w:spacing w:after="0"/>
              <w:rPr>
                <w:sz w:val="20"/>
                <w:szCs w:val="20"/>
                <w:color w:val="auto"/>
              </w:rPr>
            </w:pPr>
            <w:r>
              <w:rPr>
                <w:rFonts w:ascii="Arial" w:cs="Arial" w:eastAsia="Arial" w:hAnsi="Arial"/>
                <w:sz w:val="18"/>
                <w:szCs w:val="18"/>
                <w:color w:val="auto"/>
              </w:rPr>
              <w:t>Total Goodwill</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7,519.2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Balance at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Impairment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6"/>
              </w:rPr>
              <w:t>Other</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538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ind w:left="180"/>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Acquisitions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Activity(c)</w:t>
            </w:r>
          </w:p>
        </w:tc>
        <w:tc>
          <w:tcPr>
            <w:tcW w:w="100" w:type="dxa"/>
            <w:vAlign w:val="bottom"/>
          </w:tcPr>
          <w:p>
            <w:pPr>
              <w:spacing w:after="0"/>
              <w:rPr>
                <w:sz w:val="14"/>
                <w:szCs w:val="14"/>
                <w:color w:val="auto"/>
              </w:rPr>
            </w:pPr>
          </w:p>
        </w:tc>
        <w:tc>
          <w:tcPr>
            <w:tcW w:w="70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CBOT Holdings</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3"/>
              </w:rPr>
              <w:t>5,037.3</w:t>
            </w:r>
          </w:p>
        </w:tc>
        <w:tc>
          <w:tcPr>
            <w:tcW w:w="2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CEEFF"/>
            </w:tcBorders>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NYMEX Holdings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ind w:lef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3"/>
              </w:rPr>
              <w:t>2,438.9</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Swapstream</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ind w:left="400"/>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83"/>
              </w:rPr>
              <w:t>5,049.2</w:t>
            </w:r>
          </w:p>
        </w:tc>
        <w:tc>
          <w:tcPr>
            <w:tcW w:w="22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2,499.6</w:t>
            </w:r>
          </w:p>
        </w:tc>
        <w:tc>
          <w:tcPr>
            <w:tcW w:w="5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(11.9)</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9"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activity consisted primarily of adjustments to restructuring costs and tax contingencies for CBOT Holdings and NYMEX Holdings, the recognition of excess tax benefits upon exercise of stock options assumed for CBOT Holdings and NYMEX Holdings, and foreign currency translation adjustments for CMA.</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2008, the company recorded a $3.2 million and $11.9 million impairment charge to reduce the carrying amounts of Swapstream intangible assets and goodwill, respectively, to their estimated fair values based on the results of an annual impairment test.</w:t>
      </w:r>
    </w:p>
    <w:p>
      <w:pPr>
        <w:spacing w:after="0" w:line="13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 conducts goodwill and indefinite-lived intangible asset impairment testing at least annually. The company is required to consider a market participant’s perspective when developing the assumptions used to estimate fair value for its impairment tests. It may be possible that the estimated fair value of certain intangible assets and goodwill may be less than net book value when impairment testing is performed in the future. As a result, the company would be required to record an impairment charge at that time.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INVESTMENTS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maintains various long-term investments as described below. In connection with CME Group’s merger with NYMEX Holdings in August 2008, the company acquired investments in DME Holdings Limited (DME Holdings), Green Exchange Holdings LLC (GX Holdings), IMAREX ASA (IMAREX), and TMX Group Inc. The investments are recorded in other assets in the consolidated balance sheets.</w:t>
      </w:r>
    </w:p>
    <w:p>
      <w:pPr>
        <w:spacing w:after="0" w:line="134" w:lineRule="exact"/>
        <w:rPr>
          <w:sz w:val="20"/>
          <w:szCs w:val="20"/>
          <w:color w:val="auto"/>
        </w:rPr>
      </w:pPr>
    </w:p>
    <w:p>
      <w:pPr>
        <w:ind w:right="20"/>
        <w:spacing w:after="0" w:line="313" w:lineRule="auto"/>
        <w:rPr>
          <w:sz w:val="20"/>
          <w:szCs w:val="20"/>
          <w:color w:val="auto"/>
        </w:rPr>
      </w:pPr>
      <w:r>
        <w:rPr>
          <w:rFonts w:ascii="Arial" w:cs="Arial" w:eastAsia="Arial" w:hAnsi="Arial"/>
          <w:sz w:val="15"/>
          <w:szCs w:val="15"/>
          <w:b w:val="1"/>
          <w:bCs w:val="1"/>
          <w:color w:val="auto"/>
        </w:rPr>
        <w:t xml:space="preserve">BM&amp;FBOVESPA SA. </w:t>
      </w:r>
      <w:r>
        <w:rPr>
          <w:rFonts w:ascii="Arial" w:cs="Arial" w:eastAsia="Arial" w:hAnsi="Arial"/>
          <w:sz w:val="15"/>
          <w:szCs w:val="15"/>
          <w:color w:val="auto"/>
        </w:rPr>
        <w:t>In February 2008, CME Group purchased an interest in Bolsa de Mercadorias &amp; Futuros S.A. through the issuance of CME Group</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valued at $631.4 million. Subsequent to this investment, Bolsa de Mercadorias &amp; Futuros S.A. merged with Bovespa Holdings S.A. to become BM&amp;FBOVESPA S.A. (BM&amp;FBOVESPA). The company owns approximately 5% of BM&amp;FBOVESPA and accounts for its investment using the cost method of accounting in accordance with accounting guidance regarding investments in debt and equity securities. BM&amp;FBOVESPA is not a variable interest entity as defined under accounting guidance for variable interest entities. In December 2008, the company reduced its investment in BM&amp;FBOVESPA by $368.4 million consisting of $274.5 million of impairment expense due to a decline in BM&amp;FBOVESPA’s market value and $93.9 million of unrealized losses in accumulated other comprehensive income (loss) due to unfavorable changes in foreign exchange rates between the U.S. dollar and Brazilian real. The company may not sell its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80" w:right="239" w:bottom="1440" w:gutter="0" w:footer="0" w:header="0"/>
        </w:sectPr>
      </w:pPr>
    </w:p>
    <w:bookmarkStart w:id="104" w:name="page105"/>
    <w:bookmarkEnd w:id="104"/>
    <w:p>
      <w:pPr>
        <w:ind w:right="2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in BM&amp;FBOVESPA for four years after the purchase date. As a result, BM&amp;FBOVESPA stock will be carried at cost until within twelve months of the restriction lapsing, after which time the stock will be accounted for as an available-for-sale security.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Bursa Malaysia Derivatives Berhad. </w:t>
      </w:r>
      <w:r>
        <w:rPr>
          <w:rFonts w:ascii="Arial" w:cs="Arial" w:eastAsia="Arial" w:hAnsi="Arial"/>
          <w:sz w:val="16"/>
          <w:szCs w:val="16"/>
          <w:color w:val="auto"/>
        </w:rPr>
        <w:t>In November 2009, CME Group acquired a 25% interest in Bursa Malaysia Derivatives Berhad (Bursa Derivatives) for</w:t>
      </w:r>
    </w:p>
    <w:p>
      <w:pPr>
        <w:spacing w:after="0" w:line="4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$25.1 million. CME Group accounts for its investment in Bursa Derivatives using the equity method of accounting. Bursa Derivatives is not considered a variable interest entity under accounting guidance for variable interest entities.</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color w:val="auto"/>
        </w:rPr>
        <w:t xml:space="preserve">DME Holdings. </w:t>
      </w:r>
      <w:r>
        <w:rPr>
          <w:rFonts w:ascii="Arial" w:cs="Arial" w:eastAsia="Arial" w:hAnsi="Arial"/>
          <w:sz w:val="18"/>
          <w:szCs w:val="18"/>
          <w:color w:val="auto"/>
        </w:rPr>
        <w:t>CME Group acquired an approximate 28% interest in Dubai Mercantile Exchange Limited (DME) which was valued at $38.0 million upon</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Group’s acquisition of NYMEX Holdings. CME Group accounts for the investment in DME Holdings using the equity method of accounting. DME Holdings is not considered a variable interest entity under accounting guidance for variable interest entities. At December 31, 2009, the company determined that its investment in DME Holdings was impaired due to the excess of its carrying value over the estimated fair value. As a result, the company recognized an impairment charge of $23.6 million.</w:t>
      </w:r>
    </w:p>
    <w:p>
      <w:pPr>
        <w:spacing w:after="0" w:line="139"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 xml:space="preserve">FXMarketSpace Limited. </w:t>
      </w:r>
      <w:r>
        <w:rPr>
          <w:rFonts w:ascii="Arial" w:cs="Arial" w:eastAsia="Arial" w:hAnsi="Arial"/>
          <w:sz w:val="16"/>
          <w:szCs w:val="16"/>
          <w:color w:val="auto"/>
        </w:rPr>
        <w:t>In May 2006, CME Group entered into an agreement with Thompson Reuters Group PLC and its wholly-owned subsidiaries, Reuters</w:t>
      </w:r>
      <w:r>
        <w:rPr>
          <w:rFonts w:ascii="Arial" w:cs="Arial" w:eastAsia="Arial" w:hAnsi="Arial"/>
          <w:sz w:val="16"/>
          <w:szCs w:val="16"/>
          <w:b w:val="1"/>
          <w:bCs w:val="1"/>
          <w:color w:val="auto"/>
        </w:rPr>
        <w:t xml:space="preserve"> </w:t>
      </w:r>
      <w:r>
        <w:rPr>
          <w:rFonts w:ascii="Arial" w:cs="Arial" w:eastAsia="Arial" w:hAnsi="Arial"/>
          <w:sz w:val="16"/>
          <w:szCs w:val="16"/>
          <w:color w:val="auto"/>
        </w:rPr>
        <w:t>Holdings Limited and Reuters Limited (Reuters, collectively), to create FXMarketSpace Limited (FXMS), the world’s first centrally-cleared, global foreign exchange marketplace, through a joint venture owned 50% each. The company’s investment in FXMS was recorded using the equity method of accounting. FXMS is not a variable interest entity under accounting guidance for variable interest entities. In the fourth quarter of 2008, FXMS terminated its operations. As a result, the company recognized $15.9 million of expense in equity in losses of unconsolidated subsidiaries in the consolidated statements of income.</w:t>
      </w:r>
    </w:p>
    <w:p>
      <w:pPr>
        <w:spacing w:after="0" w:line="10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 xml:space="preserve">GX Holdings. </w:t>
      </w:r>
      <w:r>
        <w:rPr>
          <w:rFonts w:ascii="Arial" w:cs="Arial" w:eastAsia="Arial" w:hAnsi="Arial"/>
          <w:sz w:val="18"/>
          <w:szCs w:val="18"/>
          <w:color w:val="auto"/>
        </w:rPr>
        <w:t>The company owned 100% of GX Holdings until June 2009, when GX Holdings issued additional shares to third-party investors reducing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equity interest to 34%. In conjunction with the reduction in its equity interest, the company received reimbursement for its start-up costs. The company contributed $7.5 million to GX Holdings in the second quarter of 2009 and accounts for its investment under the equity method. GX Holdings is considered a variable interest entity under accounting guidance for variable interest entities. However, CME Group is not considered the primary beneficiary and therefore consolidation of this investment is not required.</w:t>
      </w:r>
    </w:p>
    <w:p>
      <w:pPr>
        <w:spacing w:after="0" w:line="139"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b w:val="1"/>
          <w:bCs w:val="1"/>
          <w:color w:val="auto"/>
        </w:rPr>
        <w:t xml:space="preserve">IMAREX. </w:t>
      </w:r>
      <w:r>
        <w:rPr>
          <w:rFonts w:ascii="Arial" w:cs="Arial" w:eastAsia="Arial" w:hAnsi="Arial"/>
          <w:sz w:val="18"/>
          <w:szCs w:val="18"/>
          <w:color w:val="auto"/>
        </w:rPr>
        <w:t>CME Group acquired approximately 15% of IMAREX, headquartered in Oslo, Norway. The investment in IMAREX is accounted for as available-for-sale in accordance with accounting guidance regarding investments in debt and equity securities. In September 2009, CME Group determined that the investment in IMAREX was impaired due to an extended and significant decline in the market price of its stock. As a result, CME Group recognized an impairment charge of $22.4 million.</w:t>
      </w:r>
    </w:p>
    <w:p>
      <w:pPr>
        <w:spacing w:after="0" w:line="136" w:lineRule="exact"/>
        <w:rPr>
          <w:sz w:val="20"/>
          <w:szCs w:val="20"/>
          <w:color w:val="auto"/>
        </w:rPr>
      </w:pPr>
    </w:p>
    <w:p>
      <w:pPr>
        <w:ind w:right="540"/>
        <w:spacing w:after="0" w:line="339" w:lineRule="auto"/>
        <w:rPr>
          <w:sz w:val="20"/>
          <w:szCs w:val="20"/>
          <w:color w:val="auto"/>
        </w:rPr>
      </w:pPr>
      <w:r>
        <w:rPr>
          <w:rFonts w:ascii="Arial" w:cs="Arial" w:eastAsia="Arial" w:hAnsi="Arial"/>
          <w:sz w:val="16"/>
          <w:szCs w:val="16"/>
          <w:b w:val="1"/>
          <w:bCs w:val="1"/>
          <w:color w:val="auto"/>
        </w:rPr>
        <w:t xml:space="preserve">TMX Group Inc. </w:t>
      </w:r>
      <w:r>
        <w:rPr>
          <w:rFonts w:ascii="Arial" w:cs="Arial" w:eastAsia="Arial" w:hAnsi="Arial"/>
          <w:sz w:val="16"/>
          <w:szCs w:val="16"/>
          <w:color w:val="auto"/>
        </w:rPr>
        <w:t>CME Group acquired approximately 2% of TMX Group Inc., headquartered in Toronto, Ontario. The investment in TMX Group Inc. is</w:t>
      </w:r>
      <w:r>
        <w:rPr>
          <w:rFonts w:ascii="Arial" w:cs="Arial" w:eastAsia="Arial" w:hAnsi="Arial"/>
          <w:sz w:val="16"/>
          <w:szCs w:val="16"/>
          <w:b w:val="1"/>
          <w:bCs w:val="1"/>
          <w:color w:val="auto"/>
        </w:rPr>
        <w:t xml:space="preserve"> </w:t>
      </w:r>
      <w:r>
        <w:rPr>
          <w:rFonts w:ascii="Arial" w:cs="Arial" w:eastAsia="Arial" w:hAnsi="Arial"/>
          <w:sz w:val="16"/>
          <w:szCs w:val="16"/>
          <w:color w:val="auto"/>
        </w:rPr>
        <w:t>accounted for as available-for-sale in accordance with accounting guidance regarding investments in debt and equity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BUILDING TENANT LEASES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a result of the mergers with CBOT Holdings and NYMEX Holdings, the company has acquired four buildings, three in Chicago and one in New York, with over 2.0 million square feet of commercial space. A portion of the space is utilized by the company as office space and for the trading floors. The remaining space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280" w:right="259" w:bottom="1440" w:gutter="0" w:footer="0" w:header="0"/>
        </w:sectPr>
      </w:pPr>
    </w:p>
    <w:bookmarkStart w:id="105" w:name="page106"/>
    <w:bookmarkEnd w:id="105"/>
    <w:p>
      <w:pPr>
        <w:ind w:right="2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leased by third party tenants, including customers and shareholders, over terms ranging from one to eighteen years. The terms of the leases with customers and shareholders are consistent with terms for other third-party tenants.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Minimum future cash flows from rental revenue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4"/>
                <w:szCs w:val="14"/>
                <w:b w:val="1"/>
                <w:bCs w:val="1"/>
                <w:color w:val="auto"/>
                <w:w w:val="94"/>
              </w:rPr>
              <w:t>Minimum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Rental</w:t>
            </w:r>
          </w:p>
        </w:tc>
        <w:tc>
          <w:tcPr>
            <w:tcW w:w="0" w:type="dxa"/>
            <w:vAlign w:val="bottom"/>
          </w:tcPr>
          <w:p>
            <w:pPr>
              <w:spacing w:after="0"/>
              <w:rPr>
                <w:sz w:val="1"/>
                <w:szCs w:val="1"/>
                <w:color w:val="auto"/>
              </w:rPr>
            </w:pPr>
          </w:p>
        </w:tc>
      </w:tr>
      <w:tr>
        <w:trPr>
          <w:trHeight w:val="161"/>
        </w:trPr>
        <w:tc>
          <w:tcPr>
            <w:tcW w:w="100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4"/>
                <w:szCs w:val="14"/>
                <w:b w:val="1"/>
                <w:bCs w:val="1"/>
                <w:color w:val="auto"/>
                <w:w w:val="87"/>
              </w:rPr>
              <w:t>Payments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9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2011</w:t>
            </w:r>
          </w:p>
        </w:tc>
        <w:tc>
          <w:tcPr>
            <w:tcW w:w="9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9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9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9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10080" w:type="dxa"/>
            <w:vAlign w:val="bottom"/>
            <w:gridSpan w:val="3"/>
          </w:tcPr>
          <w:p>
            <w:pPr>
              <w:spacing w:after="0"/>
              <w:rPr>
                <w:sz w:val="20"/>
                <w:szCs w:val="20"/>
                <w:color w:val="auto"/>
              </w:rPr>
            </w:pPr>
            <w:r>
              <w:rPr>
                <w:rFonts w:ascii="Arial" w:cs="Arial" w:eastAsia="Arial" w:hAnsi="Arial"/>
                <w:sz w:val="18"/>
                <w:szCs w:val="18"/>
                <w:b w:val="1"/>
                <w:bCs w:val="1"/>
                <w:color w:val="auto"/>
              </w:rPr>
              <w:t>10. OTHER ASSETS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0080" w:type="dxa"/>
            <w:vAlign w:val="bottom"/>
            <w:gridSpan w:val="3"/>
          </w:tcPr>
          <w:p>
            <w:pPr>
              <w:spacing w:after="0"/>
              <w:rPr>
                <w:sz w:val="20"/>
                <w:szCs w:val="20"/>
                <w:color w:val="auto"/>
              </w:rPr>
            </w:pPr>
            <w:r>
              <w:rPr>
                <w:rFonts w:ascii="Arial" w:cs="Arial" w:eastAsia="Arial" w:hAnsi="Arial"/>
                <w:sz w:val="18"/>
                <w:szCs w:val="18"/>
                <w:color w:val="auto"/>
              </w:rPr>
              <w:t>Other assets consisted of the following at December 31:</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0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jc w:val="right"/>
              <w:ind w:right="34"/>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BM&amp;FBOVESPA common stock</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$262.9</w:t>
            </w:r>
          </w:p>
        </w:tc>
        <w:tc>
          <w:tcPr>
            <w:tcW w:w="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TMX Group Inc. common stock</w:t>
            </w:r>
          </w:p>
        </w:tc>
        <w:tc>
          <w:tcPr>
            <w:tcW w:w="500" w:type="dxa"/>
            <w:vAlign w:val="bottom"/>
          </w:tcPr>
          <w:p>
            <w:pPr>
              <w:jc w:val="right"/>
              <w:spacing w:after="0"/>
              <w:rPr>
                <w:sz w:val="20"/>
                <w:szCs w:val="20"/>
                <w:color w:val="auto"/>
              </w:rPr>
            </w:pPr>
            <w:r>
              <w:rPr>
                <w:rFonts w:ascii="Arial" w:cs="Arial" w:eastAsia="Arial" w:hAnsi="Arial"/>
                <w:sz w:val="18"/>
                <w:szCs w:val="18"/>
                <w:color w:val="auto"/>
              </w:rPr>
              <w:t>44.4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Bursa Derivatives common stock</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IMAREX common stock</w:t>
            </w:r>
          </w:p>
        </w:tc>
        <w:tc>
          <w:tcPr>
            <w:tcW w:w="500" w:type="dxa"/>
            <w:vAlign w:val="bottom"/>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prepaid expenses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Deferred rental income</w:t>
            </w:r>
          </w:p>
        </w:tc>
        <w:tc>
          <w:tcPr>
            <w:tcW w:w="500" w:type="dxa"/>
            <w:vAlign w:val="bottom"/>
          </w:tcPr>
          <w:p>
            <w:pPr>
              <w:jc w:val="right"/>
              <w:spacing w:after="0"/>
              <w:rPr>
                <w:sz w:val="20"/>
                <w:szCs w:val="20"/>
                <w:color w:val="auto"/>
              </w:rPr>
            </w:pPr>
            <w:r>
              <w:rPr>
                <w:rFonts w:ascii="Arial" w:cs="Arial" w:eastAsia="Arial" w:hAnsi="Arial"/>
                <w:sz w:val="18"/>
                <w:szCs w:val="18"/>
                <w:color w:val="auto"/>
              </w:rPr>
              <w:t>19.0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surrender value of executive life insurance policies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Other long-term investments</w:t>
            </w: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DME Holdings common stock</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Unamortized debt costs</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defined benefit plan assets (note 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CBOE exercise right privileges</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80" w:type="dxa"/>
            <w:vAlign w:val="bottom"/>
            <w:gridSpan w:val="3"/>
          </w:tcPr>
          <w:p>
            <w:pPr>
              <w:spacing w:after="0"/>
              <w:rPr>
                <w:sz w:val="20"/>
                <w:szCs w:val="20"/>
                <w:color w:val="auto"/>
              </w:rPr>
            </w:pPr>
            <w:r>
              <w:rPr>
                <w:rFonts w:ascii="Arial" w:cs="Arial" w:eastAsia="Arial" w:hAnsi="Arial"/>
                <w:sz w:val="18"/>
                <w:szCs w:val="18"/>
                <w:color w:val="auto"/>
              </w:rPr>
              <w:t>Total</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435.8</w:t>
            </w:r>
          </w:p>
        </w:tc>
        <w:tc>
          <w:tcPr>
            <w:tcW w:w="440" w:type="dxa"/>
            <w:vAlign w:val="bottom"/>
            <w:gridSpan w:val="3"/>
          </w:tcPr>
          <w:p>
            <w:pPr>
              <w:ind w:left="340"/>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469.4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cash surrender values of executive life insurance policies reflect their fair values at December 31, 2009 and 2008.</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On February 10, 2009, CME Group completed a public offering of $750.0 million of 5.75% fixed rate notes due in 2014. Net proceeds from the offering were used to repay commercial paper borrowings backstopped by a 364-day revolving bridge facility.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80"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Debt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2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w w:val="99"/>
              </w:rPr>
              <w:t>$250 million floating rate notes due August 2009, interest equal to 3-month LIBOR plus 0.20%, reset quarterly</w:t>
            </w:r>
            <w:r>
              <w:rPr>
                <w:rFonts w:ascii="Arial" w:cs="Arial" w:eastAsia="Arial" w:hAnsi="Arial"/>
                <w:sz w:val="11"/>
                <w:szCs w:val="11"/>
                <w:color w:val="auto"/>
                <w:w w:val="99"/>
              </w:rPr>
              <w:t>(1)</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$300 million floating rate notes due August 2010, interest equal to 3-month LIBOR plus 0.65%, reset quarterly</w:t>
            </w:r>
            <w:r>
              <w:rPr>
                <w:rFonts w:ascii="Arial" w:cs="Arial" w:eastAsia="Arial" w:hAnsi="Arial"/>
                <w:sz w:val="11"/>
                <w:szCs w:val="11"/>
                <w:color w:val="auto"/>
                <w:w w:val="99"/>
              </w:rPr>
              <w:t>(2)</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20" w:type="dxa"/>
            <w:vAlign w:val="bottom"/>
            <w:gridSpan w:val="4"/>
          </w:tcPr>
          <w:p>
            <w:pPr>
              <w:spacing w:after="0"/>
              <w:rPr>
                <w:sz w:val="20"/>
                <w:szCs w:val="20"/>
                <w:color w:val="auto"/>
              </w:rPr>
            </w:pPr>
            <w:r>
              <w:rPr>
                <w:rFonts w:ascii="Arial" w:cs="Arial" w:eastAsia="Arial" w:hAnsi="Arial"/>
                <w:sz w:val="18"/>
                <w:szCs w:val="18"/>
                <w:color w:val="auto"/>
              </w:rPr>
              <w:t>Total Short-Term Debt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299.8</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w w:val="99"/>
              </w:rPr>
              <w:t>$300 million floating rate notes due August 2010, interest equal to 3-month LIBOR plus 0.65%, reset quarterly</w:t>
            </w:r>
            <w:r>
              <w:rPr>
                <w:rFonts w:ascii="Arial" w:cs="Arial" w:eastAsia="Arial" w:hAnsi="Arial"/>
                <w:sz w:val="11"/>
                <w:szCs w:val="11"/>
                <w:color w:val="auto"/>
                <w:w w:val="99"/>
              </w:rPr>
              <w:t>(2)</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Term loan due 2011, interest equal to 3-month LIBOR plus 1.00%, reset quarterly </w:t>
            </w:r>
            <w:r>
              <w:rPr>
                <w:rFonts w:ascii="Arial" w:cs="Arial" w:eastAsia="Arial" w:hAnsi="Arial"/>
                <w:sz w:val="11"/>
                <w:szCs w:val="11"/>
                <w:color w:val="auto"/>
              </w:rPr>
              <w:t>(3)</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$750 million fixed rate notes due August 2013, interest equal to 5.40%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748.0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$750 million fixed rate notes due February 2014, interest equal to 5.75%</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 xml:space="preserve">Commercial paper </w:t>
            </w:r>
            <w:r>
              <w:rPr>
                <w:rFonts w:ascii="Arial" w:cs="Arial" w:eastAsia="Arial" w:hAnsi="Arial"/>
                <w:sz w:val="11"/>
                <w:szCs w:val="11"/>
                <w:color w:val="auto"/>
              </w:rPr>
              <w:t>(4)</w:t>
            </w:r>
          </w:p>
        </w:tc>
        <w:tc>
          <w:tcPr>
            <w:tcW w:w="8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2,014.7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2,966.1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76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86"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October 2008, the company entered into an interest-rate swap agreement that modified the variable interest obligation associated with these notes so that the interest payable on the notes effectively became fixed at a rate of 3.12% beginning with the interest accrued after November 6, 2008.</w:t>
      </w:r>
    </w:p>
    <w:p>
      <w:pPr>
        <w:ind w:left="460" w:right="180" w:hanging="452"/>
        <w:spacing w:after="0" w:line="281"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interest-rate swap agreement that modified the variable interest obligation associated with these notes so that the interest payable on the notes effectively became fixed at a rate of 3.92% beginning with the interest accrued after November 6, 2008.</w:t>
      </w:r>
    </w:p>
    <w:p>
      <w:pPr>
        <w:spacing w:after="0" w:line="1" w:lineRule="exact"/>
        <w:rPr>
          <w:rFonts w:ascii="Arial" w:cs="Arial" w:eastAsia="Arial" w:hAnsi="Arial"/>
          <w:sz w:val="16"/>
          <w:szCs w:val="16"/>
          <w:color w:val="auto"/>
        </w:rPr>
      </w:pPr>
    </w:p>
    <w:p>
      <w:pPr>
        <w:ind w:left="460" w:right="160" w:hanging="452"/>
        <w:spacing w:after="0" w:line="281"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interest-rate swap agreement that modified the variable interest obligation associated with this facility so that the interest payable effectively became fixed at a rate of 4.72% beginning with the interest accrued after October 22, 2008.</w:t>
      </w:r>
    </w:p>
    <w:p>
      <w:pPr>
        <w:spacing w:after="0" w:line="1" w:lineRule="exact"/>
        <w:rPr>
          <w:rFonts w:ascii="Arial" w:cs="Arial" w:eastAsia="Arial" w:hAnsi="Arial"/>
          <w:sz w:val="16"/>
          <w:szCs w:val="16"/>
          <w:color w:val="auto"/>
        </w:rPr>
      </w:pPr>
    </w:p>
    <w:p>
      <w:pPr>
        <w:ind w:left="460" w:right="140" w:hanging="452"/>
        <w:spacing w:after="0" w:line="261"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December 31, 2008, this was the portion of commercial paper backed by a three-year senior credit facility and the 364-day revolving bridge facility. At December 31, 2009, this represented commercial paper backed by the three-year senior credit facility.</w:t>
      </w:r>
    </w:p>
    <w:p>
      <w:pPr>
        <w:spacing w:after="0" w:line="138"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Commercial paper notes with an aggregate par value of $6.6 billion and maturities ranging from 1 to 94 days were issued during 2009. The weighted average discount rates for commercial paper outstanding at December 31, 2009 and December 31, 2008 were 0.24% and 2.61%, respectively. The weighted average balance, at par value, of commercial paper outstanding during 2009 and 2008 was $554.2 million and $604.7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December 31,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9"/>
              </w:rPr>
              <w:t>(in millions)</w:t>
            </w:r>
          </w:p>
        </w:tc>
        <w:tc>
          <w:tcPr>
            <w:tcW w:w="107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10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2012</w:t>
            </w:r>
          </w:p>
        </w:tc>
        <w:tc>
          <w:tcPr>
            <w:tcW w:w="10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22"/>
        </w:trPr>
        <w:tc>
          <w:tcPr>
            <w:tcW w:w="2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2014</w:t>
            </w:r>
          </w:p>
        </w:tc>
        <w:tc>
          <w:tcPr>
            <w:tcW w:w="10700" w:type="dxa"/>
            <w:vAlign w:val="bottom"/>
          </w:tcPr>
          <w:p>
            <w:pPr>
              <w:jc w:val="right"/>
              <w:spacing w:after="0"/>
              <w:rPr>
                <w:sz w:val="20"/>
                <w:szCs w:val="20"/>
                <w:color w:val="auto"/>
              </w:rPr>
            </w:pPr>
            <w:r>
              <w:rPr>
                <w:rFonts w:ascii="Arial" w:cs="Arial" w:eastAsia="Arial" w:hAnsi="Arial"/>
                <w:sz w:val="18"/>
                <w:szCs w:val="18"/>
                <w:color w:val="auto"/>
              </w:rPr>
              <w:t>750.0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Commercial paper is considered to mature in 2011 because it is backed by the three-year senior credit facility, which expires in 2011.</w:t>
      </w:r>
    </w:p>
    <w:p>
      <w:pPr>
        <w:spacing w:after="0" w:line="17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September 30, 2009, the three-year senior credit facility was amended, at the company’s request, to reduce the aggregate amount of revolving commitments available from $995.0 million to $945.5 million and to reduce the minimum required amount of each request for an increase in revolving commitments from $25.0 million to $10.0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280" w:right="239" w:bottom="1440" w:gutter="0" w:footer="0" w:header="0"/>
        </w:sectPr>
      </w:pPr>
    </w:p>
    <w:bookmarkStart w:id="107" w:name="page108"/>
    <w:bookmarkEnd w:id="107"/>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December 31, 2009, the fair values of the $750.0 million fixed rate notes due 2013 and the $750.0 million fixed rate notes due 2014 were approximately $818.1 million and $819.8 million, respectively. Fair value was estimated using quoted market prices.</w:t>
      </w:r>
    </w:p>
    <w:p>
      <w:pPr>
        <w:spacing w:after="0" w:line="207" w:lineRule="exact"/>
        <w:rPr>
          <w:sz w:val="20"/>
          <w:szCs w:val="20"/>
          <w:color w:val="auto"/>
        </w:rPr>
      </w:pPr>
    </w:p>
    <w:p>
      <w:pPr>
        <w:ind w:right="9600" w:firstLine="8"/>
        <w:spacing w:after="0" w:line="391" w:lineRule="auto"/>
        <w:tabs>
          <w:tab w:leader="none" w:pos="263"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RESTRUCTURING </w:t>
      </w:r>
      <w:r>
        <w:rPr>
          <w:rFonts w:ascii="Arial" w:cs="Arial" w:eastAsia="Arial" w:hAnsi="Arial"/>
          <w:sz w:val="16"/>
          <w:szCs w:val="16"/>
          <w:b w:val="1"/>
          <w:bCs w:val="1"/>
          <w:i w:val="1"/>
          <w:iCs w:val="1"/>
          <w:color w:val="auto"/>
        </w:rPr>
        <w:t>CBOT</w:t>
      </w:r>
    </w:p>
    <w:p>
      <w:pPr>
        <w:spacing w:after="0" w:line="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August 2007, subsequent to its merger with CBOT Holdings, the company approved and initiated plans to restructure its operations in order to eliminate redundant costs and improve operational efficiencies. Restructuring efforts included reductions in employee positions, the closure of duplicate facilities and consolidation of trading and other technologies. Total restructuring costs of $29.6 million consisted primarily of severance and transitional payments and contract termination penalties. Payments for restructuring costs related to the merger with CBOT Holdings were substantially complete by July 2008. The company has recorded restructuring expense of $11.2 million under this plan through December 31,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NYMEX</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October 2008, subsequent to its merger with NYMEX Holdings, the company approved and initiated plans to restructure its operations in order to eliminate redundant costs and improve operational efficiencies. Restructuring efforts included reductions in employee positions and consolidation of trading and other technologies. Total restructuring costs of $46.8 million consisted primarily of severance and transitional payments and contract termination payments. Payments for restructuring costs related to the merger with NYMEX Holdings were substantially complete by August 2009. The company has recorded restructuring expense of $7.8 million under this plan through December 31, 2009.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restructuring activity: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98"/>
              <w:spacing w:after="0"/>
              <w:rPr>
                <w:sz w:val="20"/>
                <w:szCs w:val="20"/>
                <w:color w:val="auto"/>
              </w:rPr>
            </w:pPr>
            <w:r>
              <w:rPr>
                <w:rFonts w:ascii="Arial" w:cs="Arial" w:eastAsia="Arial" w:hAnsi="Arial"/>
                <w:sz w:val="14"/>
                <w:szCs w:val="14"/>
                <w:b w:val="1"/>
                <w:bCs w:val="1"/>
                <w:color w:val="auto"/>
                <w:w w:val="88"/>
              </w:rPr>
              <w:t>Planned</w:t>
            </w:r>
          </w:p>
        </w:tc>
        <w:tc>
          <w:tcPr>
            <w:tcW w:w="4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Interest on</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9"/>
              </w:rPr>
              <w:t>Total</w:t>
            </w:r>
          </w:p>
        </w:tc>
        <w:tc>
          <w:tcPr>
            <w:tcW w:w="13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Liability at</w:t>
            </w:r>
          </w:p>
        </w:tc>
        <w:tc>
          <w:tcPr>
            <w:tcW w:w="100" w:type="dxa"/>
            <w:vAlign w:val="bottom"/>
          </w:tcPr>
          <w:p>
            <w:pPr>
              <w:spacing w:after="0"/>
              <w:rPr>
                <w:sz w:val="14"/>
                <w:szCs w:val="14"/>
                <w:color w:val="auto"/>
              </w:rPr>
            </w:pPr>
          </w:p>
        </w:tc>
        <w:tc>
          <w:tcPr>
            <w:tcW w:w="4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960" w:type="dxa"/>
            <w:vAlign w:val="bottom"/>
            <w:gridSpan w:val="3"/>
          </w:tcPr>
          <w:p>
            <w:pPr>
              <w:ind w:left="1140"/>
              <w:spacing w:after="0" w:line="149" w:lineRule="exact"/>
              <w:rPr>
                <w:sz w:val="20"/>
                <w:szCs w:val="20"/>
                <w:color w:val="auto"/>
              </w:rPr>
            </w:pPr>
            <w:r>
              <w:rPr>
                <w:rFonts w:ascii="Arial" w:cs="Arial" w:eastAsia="Arial" w:hAnsi="Arial"/>
                <w:sz w:val="14"/>
                <w:szCs w:val="14"/>
                <w:b w:val="1"/>
                <w:bCs w:val="1"/>
                <w:color w:val="auto"/>
                <w:w w:val="87"/>
              </w:rPr>
              <w:t>Restructuring</w:t>
            </w:r>
          </w:p>
        </w:tc>
        <w:tc>
          <w:tcPr>
            <w:tcW w:w="46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7"/>
              </w:rPr>
              <w:t>Deferred</w:t>
            </w:r>
          </w:p>
        </w:tc>
        <w:tc>
          <w:tcPr>
            <w:tcW w:w="480" w:type="dxa"/>
            <w:vAlign w:val="bottom"/>
          </w:tcPr>
          <w:p>
            <w:pPr>
              <w:spacing w:after="0"/>
              <w:rPr>
                <w:sz w:val="12"/>
                <w:szCs w:val="12"/>
                <w:color w:val="auto"/>
              </w:rPr>
            </w:pPr>
          </w:p>
        </w:tc>
        <w:tc>
          <w:tcPr>
            <w:tcW w:w="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Accrued</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87"/>
              </w:rPr>
              <w:t>Cash</w:t>
            </w:r>
          </w:p>
        </w:tc>
        <w:tc>
          <w:tcPr>
            <w:tcW w:w="130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5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6"/>
              </w:rPr>
              <w:t>Expected</w:t>
            </w:r>
          </w:p>
        </w:tc>
        <w:tc>
          <w:tcPr>
            <w:tcW w:w="0" w:type="dxa"/>
            <w:vAlign w:val="bottom"/>
          </w:tcPr>
          <w:p>
            <w:pPr>
              <w:spacing w:after="0"/>
              <w:rPr>
                <w:sz w:val="1"/>
                <w:szCs w:val="1"/>
                <w:color w:val="auto"/>
              </w:rPr>
            </w:pPr>
          </w:p>
        </w:tc>
      </w:tr>
      <w:tr>
        <w:trPr>
          <w:trHeight w:val="161"/>
        </w:trPr>
        <w:tc>
          <w:tcPr>
            <w:tcW w:w="39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178"/>
              <w:spacing w:after="0"/>
              <w:rPr>
                <w:sz w:val="20"/>
                <w:szCs w:val="20"/>
                <w:color w:val="auto"/>
              </w:rPr>
            </w:pPr>
            <w:r>
              <w:rPr>
                <w:rFonts w:ascii="Arial" w:cs="Arial" w:eastAsia="Arial" w:hAnsi="Arial"/>
                <w:sz w:val="14"/>
                <w:szCs w:val="14"/>
                <w:b w:val="1"/>
                <w:bCs w:val="1"/>
                <w:color w:val="auto"/>
              </w:rPr>
              <w:t>Costs</w:t>
            </w:r>
          </w:p>
        </w:tc>
        <w:tc>
          <w:tcPr>
            <w:tcW w:w="4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Payments</w:t>
            </w:r>
          </w:p>
        </w:tc>
        <w:tc>
          <w:tcPr>
            <w:tcW w:w="4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to Date</w:t>
            </w:r>
          </w:p>
        </w:tc>
        <w:tc>
          <w:tcPr>
            <w:tcW w:w="4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Payments</w:t>
            </w: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and related costs—CBOT</w:t>
            </w:r>
          </w:p>
        </w:tc>
        <w:tc>
          <w:tcPr>
            <w:tcW w:w="12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7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21.4</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Severance and related costs—NYMEX</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36.6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terminations—CBOT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Contract terminations—NYMEX</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10.2</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Restructuring</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76.4</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(74.1)</w:t>
            </w: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Restructuring expense may change as the company completes the execution of its current plans. Future increases in estimates, if any, will be recorded as operating expenses. Future decreases in estimates, if any, will be recorded as adjustments to goodwill.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8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13. OTHER CURRENT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employee bonus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Accrued operating expenses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interest payable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Derivative investment liability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Broker fee rebates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16.4</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Accrued real estate taxes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revenue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tcPr>
          <w:p>
            <w:pPr>
              <w:spacing w:after="0"/>
              <w:rPr>
                <w:sz w:val="20"/>
                <w:szCs w:val="20"/>
                <w:color w:val="auto"/>
              </w:rPr>
            </w:pPr>
            <w:r>
              <w:rPr>
                <w:rFonts w:ascii="Arial" w:cs="Arial" w:eastAsia="Arial" w:hAnsi="Arial"/>
                <w:sz w:val="18"/>
                <w:szCs w:val="18"/>
                <w:color w:val="auto"/>
              </w:rPr>
              <w:t>Accrued restructuring</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1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195.2</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211.8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and the income tax provision consisted of the following for the years ended December 31, 2009, 2008 and 2007:</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94"/>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ind w:left="420"/>
              <w:spacing w:after="0"/>
              <w:rPr>
                <w:sz w:val="20"/>
                <w:szCs w:val="20"/>
                <w:color w:val="auto"/>
              </w:rPr>
            </w:pPr>
            <w:r>
              <w:rPr>
                <w:rFonts w:ascii="Arial" w:cs="Arial" w:eastAsia="Arial" w:hAnsi="Arial"/>
                <w:sz w:val="18"/>
                <w:szCs w:val="18"/>
                <w:color w:val="auto"/>
              </w:rPr>
              <w:t>Domestic</w:t>
            </w: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1,438.0</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1,589.3</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4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(341.3)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w:t>
            </w:r>
          </w:p>
        </w:tc>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gridSpan w:val="2"/>
            <w:vMerge w:val="continue"/>
          </w:tcPr>
          <w:p>
            <w:pPr>
              <w:spacing w:after="0"/>
              <w:rPr>
                <w:sz w:val="19"/>
                <w:szCs w:val="19"/>
                <w:color w:val="auto"/>
              </w:rPr>
            </w:pPr>
          </w:p>
        </w:tc>
        <w:tc>
          <w:tcPr>
            <w:tcW w:w="48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1,437.5</w:t>
            </w: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1,248.0</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1,095.8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ind w:left="420"/>
              <w:spacing w:after="0"/>
              <w:rPr>
                <w:sz w:val="20"/>
                <w:szCs w:val="20"/>
                <w:color w:val="auto"/>
              </w:rPr>
            </w:pPr>
            <w:r>
              <w:rPr>
                <w:rFonts w:ascii="Arial" w:cs="Arial" w:eastAsia="Arial" w:hAnsi="Arial"/>
                <w:sz w:val="18"/>
                <w:szCs w:val="18"/>
                <w:color w:val="auto"/>
              </w:rPr>
              <w:t>State</w:t>
            </w: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4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0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47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668.6</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4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ind w:left="420"/>
              <w:spacing w:after="0"/>
              <w:rPr>
                <w:sz w:val="20"/>
                <w:szCs w:val="20"/>
                <w:color w:val="auto"/>
              </w:rPr>
            </w:pPr>
            <w:r>
              <w:rPr>
                <w:rFonts w:ascii="Arial" w:cs="Arial" w:eastAsia="Arial" w:hAnsi="Arial"/>
                <w:sz w:val="18"/>
                <w:szCs w:val="18"/>
                <w:color w:val="auto"/>
              </w:rPr>
              <w:t>Federal</w:t>
            </w: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(117.1)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4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tcPr>
          <w:p>
            <w:pPr>
              <w:ind w:left="420"/>
              <w:spacing w:after="0"/>
              <w:rPr>
                <w:sz w:val="20"/>
                <w:szCs w:val="20"/>
                <w:color w:val="auto"/>
              </w:rPr>
            </w:pPr>
            <w:r>
              <w:rPr>
                <w:rFonts w:ascii="Arial" w:cs="Arial" w:eastAsia="Arial" w:hAnsi="Arial"/>
                <w:sz w:val="18"/>
                <w:szCs w:val="18"/>
                <w:color w:val="auto"/>
              </w:rPr>
              <w:t>Foreign</w:t>
            </w:r>
          </w:p>
        </w:tc>
        <w:tc>
          <w:tcPr>
            <w:tcW w:w="4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(115.1)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0"/>
        </w:trPr>
        <w:tc>
          <w:tcPr>
            <w:tcW w:w="3820" w:type="dxa"/>
            <w:vAlign w:val="bottom"/>
            <w:gridSpan w:val="3"/>
            <w:vMerge w:val="restart"/>
          </w:tcPr>
          <w:p>
            <w:pPr>
              <w:spacing w:after="0"/>
              <w:rPr>
                <w:sz w:val="20"/>
                <w:szCs w:val="20"/>
                <w:color w:val="auto"/>
              </w:rPr>
            </w:pPr>
            <w:r>
              <w:rPr>
                <w:rFonts w:ascii="Arial" w:cs="Arial" w:eastAsia="Arial" w:hAnsi="Arial"/>
                <w:sz w:val="18"/>
                <w:szCs w:val="18"/>
                <w:color w:val="auto"/>
              </w:rPr>
              <w:t>Total Income Tax Provision</w:t>
            </w:r>
          </w:p>
        </w:tc>
        <w:tc>
          <w:tcPr>
            <w:tcW w:w="4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gridSpan w:val="3"/>
            <w:vMerge w:val="continue"/>
          </w:tcPr>
          <w:p>
            <w:pPr>
              <w:spacing w:after="0"/>
              <w:rPr>
                <w:sz w:val="19"/>
                <w:szCs w:val="19"/>
                <w:color w:val="auto"/>
              </w:rPr>
            </w:pPr>
          </w:p>
        </w:tc>
        <w:tc>
          <w:tcPr>
            <w:tcW w:w="4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611.7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532.5</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740" w:type="dxa"/>
            <w:vAlign w:val="bottom"/>
            <w:vMerge w:val="restart"/>
          </w:tcPr>
          <w:p>
            <w:pPr>
              <w:jc w:val="right"/>
              <w:ind w:right="2632"/>
              <w:spacing w:after="0"/>
              <w:rPr>
                <w:sz w:val="20"/>
                <w:szCs w:val="20"/>
                <w:color w:val="auto"/>
              </w:rPr>
            </w:pPr>
            <w:r>
              <w:rPr>
                <w:rFonts w:ascii="Arial" w:cs="Arial" w:eastAsia="Arial" w:hAnsi="Arial"/>
                <w:sz w:val="18"/>
                <w:szCs w:val="18"/>
                <w:color w:val="auto"/>
              </w:rPr>
              <w:t>109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Reconciliation of the statutory U.S. federal income tax rate to the effective tax rate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83"/>
              </w:rPr>
              <w:t>2008</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U.S. federal tax rate</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35.0%</w:t>
            </w:r>
          </w:p>
        </w:tc>
        <w:tc>
          <w:tcPr>
            <w:tcW w:w="10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State taxes, net of federal benefit</w:t>
            </w: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NYMEX acquisition on existing deferred taxes</w:t>
            </w:r>
          </w:p>
        </w:tc>
        <w:tc>
          <w:tcPr>
            <w:tcW w:w="500" w:type="dxa"/>
            <w:vAlign w:val="bottom"/>
            <w:gridSpan w:val="3"/>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Impact of Illinois tax law change</w:t>
            </w:r>
          </w:p>
        </w:tc>
        <w:tc>
          <w:tcPr>
            <w:tcW w:w="500" w:type="dxa"/>
            <w:vAlign w:val="bottom"/>
            <w:gridSpan w:val="3"/>
          </w:tcPr>
          <w:p>
            <w:pPr>
              <w:jc w:val="right"/>
              <w:ind w:right="192"/>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New York City tax law change</w:t>
            </w:r>
          </w:p>
        </w:tc>
        <w:tc>
          <w:tcPr>
            <w:tcW w:w="500" w:type="dxa"/>
            <w:vAlign w:val="bottom"/>
            <w:gridSpan w:val="3"/>
            <w:shd w:val="clear" w:color="auto" w:fill="CCEEFF"/>
          </w:tcPr>
          <w:p>
            <w:pPr>
              <w:jc w:val="right"/>
              <w:ind w:right="32"/>
              <w:spacing w:after="0"/>
              <w:rPr>
                <w:sz w:val="20"/>
                <w:szCs w:val="20"/>
                <w:color w:val="auto"/>
              </w:rPr>
            </w:pPr>
            <w:r>
              <w:rPr>
                <w:rFonts w:ascii="Arial" w:cs="Arial" w:eastAsia="Arial" w:hAnsi="Arial"/>
                <w:sz w:val="18"/>
                <w:szCs w:val="18"/>
                <w:color w:val="auto"/>
                <w:w w:val="97"/>
              </w:rPr>
              <w:t>(2.7)</w:t>
            </w:r>
          </w:p>
        </w:tc>
        <w:tc>
          <w:tcPr>
            <w:tcW w:w="4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Increase in domestic valuation allowance</w:t>
            </w:r>
          </w:p>
        </w:tc>
        <w:tc>
          <w:tcPr>
            <w:tcW w:w="32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40" w:type="dxa"/>
            <w:vAlign w:val="bottom"/>
            <w:gridSpan w:val="3"/>
            <w:vMerge w:val="restart"/>
          </w:tcPr>
          <w:p>
            <w:pPr>
              <w:spacing w:after="0"/>
              <w:rPr>
                <w:sz w:val="20"/>
                <w:szCs w:val="20"/>
                <w:color w:val="auto"/>
              </w:rPr>
            </w:pPr>
            <w:r>
              <w:rPr>
                <w:rFonts w:ascii="Arial" w:cs="Arial" w:eastAsia="Arial" w:hAnsi="Arial"/>
                <w:sz w:val="18"/>
                <w:szCs w:val="18"/>
                <w:color w:val="auto"/>
              </w:rPr>
              <w:t>Effective Tax Rate</w:t>
            </w: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40" w:type="dxa"/>
            <w:vAlign w:val="bottom"/>
            <w:gridSpan w:val="3"/>
            <w:vMerge w:val="continue"/>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86"/>
              </w:rPr>
              <w:t>42.6%</w:t>
            </w:r>
          </w:p>
        </w:tc>
        <w:tc>
          <w:tcPr>
            <w:tcW w:w="1080" w:type="dxa"/>
            <w:vAlign w:val="bottom"/>
            <w:gridSpan w:val="4"/>
          </w:tcPr>
          <w:p>
            <w:pPr>
              <w:jc w:val="right"/>
              <w:ind w:right="18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19"/>
                <w:szCs w:val="19"/>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9040" w:type="dxa"/>
            <w:vAlign w:val="bottom"/>
            <w:gridSpan w:val="3"/>
            <w:vMerge w:val="restart"/>
          </w:tcPr>
          <w:p>
            <w:pPr>
              <w:spacing w:after="0"/>
              <w:rPr>
                <w:sz w:val="20"/>
                <w:szCs w:val="20"/>
                <w:color w:val="auto"/>
              </w:rPr>
            </w:pPr>
            <w:r>
              <w:rPr>
                <w:rFonts w:ascii="Arial" w:cs="Arial" w:eastAsia="Arial" w:hAnsi="Arial"/>
                <w:sz w:val="18"/>
                <w:szCs w:val="18"/>
                <w:color w:val="auto"/>
              </w:rPr>
              <w:t>At December 31, deferred tax assets (liabilities) consisted of the following:</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0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0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b w:val="1"/>
                <w:bCs w:val="1"/>
                <w:color w:val="auto"/>
                <w:w w:val="96"/>
              </w:rPr>
              <w:t>2009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gridSpan w:val="2"/>
          </w:tcPr>
          <w:p>
            <w:pPr>
              <w:jc w:val="right"/>
              <w:ind w:right="36"/>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Deferred Tax Assets: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Unrealized loss on investments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Current Deferred Tax Assets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r>
              <w:rPr>
                <w:rFonts w:ascii="Arial" w:cs="Arial" w:eastAsia="Arial" w:hAnsi="Arial"/>
                <w:sz w:val="18"/>
                <w:szCs w:val="18"/>
                <w:u w:val="single" w:color="auto"/>
                <w:color w:val="auto"/>
              </w:rPr>
              <w:t>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95.</w:t>
            </w:r>
            <w:r>
              <w:rPr>
                <w:rFonts w:ascii="Arial" w:cs="Arial" w:eastAsia="Arial" w:hAnsi="Arial"/>
                <w:sz w:val="18"/>
                <w:szCs w:val="18"/>
                <w:u w:val="single" w:color="auto"/>
                <w:color w:val="auto"/>
              </w:rPr>
              <w:t>5</w:t>
            </w:r>
          </w:p>
        </w:tc>
        <w:tc>
          <w:tcPr>
            <w:tcW w:w="0" w:type="dxa"/>
            <w:vAlign w:val="bottom"/>
          </w:tcPr>
          <w:p>
            <w:pPr>
              <w:spacing w:after="0"/>
              <w:rPr>
                <w:sz w:val="1"/>
                <w:szCs w:val="1"/>
                <w:color w:val="auto"/>
              </w:rPr>
            </w:pPr>
          </w:p>
        </w:tc>
      </w:tr>
      <w:tr>
        <w:trPr>
          <w:trHeight w:val="20"/>
        </w:trPr>
        <w:tc>
          <w:tcPr>
            <w:tcW w:w="9040" w:type="dxa"/>
            <w:vAlign w:val="bottom"/>
            <w:gridSpan w:val="3"/>
            <w:vMerge w:val="restart"/>
          </w:tcPr>
          <w:p>
            <w:pPr>
              <w:spacing w:after="0"/>
              <w:rPr>
                <w:sz w:val="20"/>
                <w:szCs w:val="20"/>
                <w:color w:val="auto"/>
              </w:rPr>
            </w:pPr>
            <w:r>
              <w:rPr>
                <w:rFonts w:ascii="Arial" w:cs="Arial" w:eastAsia="Arial" w:hAnsi="Arial"/>
                <w:sz w:val="18"/>
                <w:szCs w:val="18"/>
                <w:color w:val="auto"/>
              </w:rPr>
              <w:t>Net Non-Current Deferred Tax Assets:</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4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Domestic unrealized loss on investment in BM&amp;FBOVESPA</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Foreign losses</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152.0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Deferred compensation</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loss on securities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Accrued expenses and other</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Valuation allowance</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(264.4)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non-current deferred tax assets</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40" w:type="dxa"/>
            <w:vAlign w:val="bottom"/>
            <w:gridSpan w:val="3"/>
          </w:tcPr>
          <w:p>
            <w:pPr>
              <w:spacing w:after="0"/>
              <w:rPr>
                <w:sz w:val="20"/>
                <w:szCs w:val="20"/>
                <w:color w:val="auto"/>
              </w:rPr>
            </w:pPr>
            <w:r>
              <w:rPr>
                <w:rFonts w:ascii="Arial" w:cs="Arial" w:eastAsia="Arial" w:hAnsi="Arial"/>
                <w:sz w:val="18"/>
                <w:szCs w:val="18"/>
                <w:color w:val="auto"/>
              </w:rPr>
              <w:t>Non-Current Deferred Tax Liabilities: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 intangible assets</w:t>
            </w:r>
          </w:p>
        </w:tc>
        <w:tc>
          <w:tcPr>
            <w:tcW w:w="124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(7,773.2)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8"/>
              </w:rPr>
              <w:t>(7,833.7)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ind w:left="420"/>
              <w:spacing w:after="0"/>
              <w:rPr>
                <w:sz w:val="20"/>
                <w:szCs w:val="20"/>
                <w:color w:val="auto"/>
              </w:rPr>
            </w:pPr>
            <w:r>
              <w:rPr>
                <w:rFonts w:ascii="Arial" w:cs="Arial" w:eastAsia="Arial" w:hAnsi="Arial"/>
                <w:sz w:val="18"/>
                <w:szCs w:val="18"/>
                <w:color w:val="auto"/>
              </w:rPr>
              <w:t>Property</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(55.0)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non-current deferred tax liabilities</w:t>
            </w:r>
          </w:p>
        </w:tc>
        <w:tc>
          <w:tcPr>
            <w:tcW w:w="340" w:type="dxa"/>
            <w:vAlign w:val="bottom"/>
            <w:gridSpan w:val="2"/>
            <w:shd w:val="clear" w:color="auto" w:fill="CCEEFF"/>
          </w:tcPr>
          <w:p>
            <w:pPr>
              <w:spacing w:after="0"/>
              <w:rPr>
                <w:sz w:val="18"/>
                <w:szCs w:val="18"/>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9"/>
              </w:rPr>
              <w:t>(7,828.2)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8"/>
              </w:rPr>
              <w:t>(7,893.8)</w:t>
            </w:r>
          </w:p>
        </w:tc>
        <w:tc>
          <w:tcPr>
            <w:tcW w:w="0" w:type="dxa"/>
            <w:vAlign w:val="bottom"/>
          </w:tcPr>
          <w:p>
            <w:pPr>
              <w:spacing w:after="0"/>
              <w:rPr>
                <w:sz w:val="1"/>
                <w:szCs w:val="1"/>
                <w:color w:val="auto"/>
              </w:rPr>
            </w:pPr>
          </w:p>
        </w:tc>
      </w:tr>
      <w:tr>
        <w:trPr>
          <w:trHeight w:val="20"/>
        </w:trPr>
        <w:tc>
          <w:tcPr>
            <w:tcW w:w="9040" w:type="dxa"/>
            <w:vAlign w:val="bottom"/>
            <w:gridSpan w:val="3"/>
            <w:vMerge w:val="restart"/>
          </w:tcPr>
          <w:p>
            <w:pPr>
              <w:spacing w:after="0"/>
              <w:rPr>
                <w:sz w:val="20"/>
                <w:szCs w:val="20"/>
                <w:color w:val="auto"/>
              </w:rPr>
            </w:pPr>
            <w:r>
              <w:rPr>
                <w:rFonts w:ascii="Arial" w:cs="Arial" w:eastAsia="Arial" w:hAnsi="Arial"/>
                <w:sz w:val="18"/>
                <w:szCs w:val="18"/>
                <w:color w:val="auto"/>
              </w:rPr>
              <w:t>Net Non-Current Deferred Tax Liabilities</w:t>
            </w:r>
          </w:p>
        </w:tc>
        <w:tc>
          <w:tcPr>
            <w:tcW w:w="340" w:type="dxa"/>
            <w:vAlign w:val="bottom"/>
            <w:gridSpan w:val="2"/>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40" w:type="dxa"/>
            <w:vAlign w:val="bottom"/>
            <w:gridSpan w:val="3"/>
            <w:vMerge w:val="continue"/>
          </w:tcPr>
          <w:p>
            <w:pPr>
              <w:spacing w:after="0"/>
              <w:rPr>
                <w:sz w:val="19"/>
                <w:szCs w:val="19"/>
                <w:color w:val="auto"/>
              </w:rPr>
            </w:pPr>
          </w:p>
        </w:tc>
        <w:tc>
          <w:tcPr>
            <w:tcW w:w="340" w:type="dxa"/>
            <w:vAlign w:val="bottom"/>
            <w:gridSpan w:val="2"/>
          </w:tcPr>
          <w:p>
            <w:pPr>
              <w:spacing w:after="0"/>
              <w:rPr>
                <w:sz w:val="19"/>
                <w:szCs w:val="19"/>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(7,645.9)</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w w:val="88"/>
              </w:rPr>
              <w:t>(7,728.3)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valuation allowance is recorded when it is more-likely-than-not that some portion or all of the deferred tax assets may not be realized. The ultimate realization of the deferred tax assets depends on the ability to generate sufficient taxable income of the appropriate character in the future and in the appropriate taxing jurisdictions. A valuation allowance has been provided as of December 31, 2009 and 2008 for net operating loss carryforwards obtained through the acquisition of Swapstream and for net operating losses generated by those operations subsequent to the acquisition. In addition, a valuation allowance has been provided as of December 31, 2009 and 2008 for the unrealized capital losses incurred in Brazil. During the years ended December 31, 2009 and 2008, the company also recorded a partial valuation allowance on its domestic unrealized capital losses. The valuation allowance was recorded for the excess of the unrealized capital losses over the unrealized capital gains of the company.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December 31, 2009, 2008 and 2007, the company had gross unrecognized tax benefits of $42.6 million, $21.5 million and $9.7 million, respectively. Net of the tax impact in other jurisdictions, these unrecognized tax</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80" w:right="239" w:bottom="1440" w:gutter="0" w:footer="0" w:header="0"/>
        </w:sectPr>
      </w:pPr>
    </w:p>
    <w:bookmarkStart w:id="110" w:name="page111"/>
    <w:bookmarkEnd w:id="110"/>
    <w:p>
      <w:pPr>
        <w:ind w:right="1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benefits were $33.5 million, $14.7 million and $6.7 million, respectively, and would be recorded as a net reduction to income tax expense if recognized in the future. Total interest and penalties related to uncertain tax positions were $8.7 million, $6.7 million and $2.8 million at December 31, 2009, 2008 and 2007, respectively. During the years ended December 31, 2009, 2008 and 2007, interest and penalties of $2.4 million, $2.2 million and $1.5 million, respectively, were recognized in the consolidated statements of income. Given the current status of the various examinations in progress, the company does not believe that it is reasonably possible that its unrecognized tax benefits will change significantly within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Unrecognized tax benefits acquired at dates of mergers</w:t>
            </w:r>
          </w:p>
        </w:tc>
        <w:tc>
          <w:tcPr>
            <w:tcW w:w="400" w:type="dxa"/>
            <w:vAlign w:val="bottom"/>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4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Additions for tax positions of prior years</w:t>
            </w: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7.2</w:t>
            </w:r>
          </w:p>
        </w:tc>
        <w:tc>
          <w:tcPr>
            <w:tcW w:w="4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Reductions for tax positions of prior years</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7"/>
              </w:rPr>
              <w:t>(1.7)</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gridSpan w:val="2"/>
          </w:tcPr>
          <w:p>
            <w:pPr>
              <w:spacing w:after="0"/>
              <w:rPr>
                <w:sz w:val="20"/>
                <w:szCs w:val="20"/>
                <w:color w:val="auto"/>
              </w:rPr>
            </w:pPr>
            <w:r>
              <w:rPr>
                <w:rFonts w:ascii="Arial" w:cs="Arial" w:eastAsia="Arial" w:hAnsi="Arial"/>
                <w:sz w:val="18"/>
                <w:szCs w:val="18"/>
                <w:color w:val="auto"/>
              </w:rPr>
              <w:t>Settlements with taxing authorities</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(1.2)</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42.6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21.5</w:t>
            </w:r>
          </w:p>
        </w:tc>
        <w:tc>
          <w:tcPr>
            <w:tcW w:w="4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 is subject to U.S. federal income tax as well as income taxes in Illinois and multiple other state, local and foreign jurisdictions. Substantially all federal and state income tax matters have been concluded through 2005 and 2004,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Pension Plans. </w:t>
      </w:r>
      <w:r>
        <w:rPr>
          <w:rFonts w:ascii="Arial" w:cs="Arial" w:eastAsia="Arial" w:hAnsi="Arial"/>
          <w:sz w:val="16"/>
          <w:szCs w:val="16"/>
          <w:color w:val="auto"/>
        </w:rPr>
        <w:t>CME Group maintains a non-contributory defined benefit cash balance pension plan for eligible employees. CME’s plan provides for a</w:t>
      </w:r>
      <w:r>
        <w:rPr>
          <w:rFonts w:ascii="Arial" w:cs="Arial" w:eastAsia="Arial" w:hAnsi="Arial"/>
          <w:sz w:val="16"/>
          <w:szCs w:val="16"/>
          <w:b w:val="1"/>
          <w:bCs w:val="1"/>
          <w:color w:val="auto"/>
        </w:rPr>
        <w:t xml:space="preserve"> </w:t>
      </w:r>
      <w:r>
        <w:rPr>
          <w:rFonts w:ascii="Arial" w:cs="Arial" w:eastAsia="Arial" w:hAnsi="Arial"/>
          <w:sz w:val="16"/>
          <w:szCs w:val="16"/>
          <w:color w:val="auto"/>
        </w:rPr>
        <w:t>contribution to the cash balance account based on age and earnings and includes salary and cash bonuses in the definition of earnings. Employees who have completed a continuous 12-month period of employment and have reached the age of 21 are eligible to participate. Participant cash balance accounts receive an interest credit equal to the greater of the one-year constant maturity yield for U.S. Treasury notes or 4.0%. Participants become vested in their accounts after three years of service. Prior to December 31, 2008, CME Group also maintained a non-contributory defined benefit pension plan for the former CBOT employees. The benefits payable under the CBOT pension plan were based primarily on years of service and the employees’ average compensation levels. Effective December 31, 2008, the CBOT plan was merged into the CME plan. In addition, NYMEX employees are eligible to participate in the combined plan effective January 1, 2009. The measurement date used for the plan is December 31.</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the aggregate status and activity of the plans is indicated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Project Benefit Obligation:</w:t>
            </w: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Benefit obligation at the beginning of the year</w:t>
            </w:r>
          </w:p>
        </w:tc>
        <w:tc>
          <w:tcPr>
            <w:tcW w:w="5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88.4</w:t>
            </w:r>
          </w:p>
        </w:tc>
        <w:tc>
          <w:tcPr>
            <w:tcW w:w="30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Interest cost</w:t>
            </w: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Actuarial gain (loss)</w:t>
            </w:r>
          </w:p>
        </w:tc>
        <w:tc>
          <w:tcPr>
            <w:tcW w:w="5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420"/>
              <w:spacing w:after="0"/>
              <w:rPr>
                <w:sz w:val="20"/>
                <w:szCs w:val="20"/>
                <w:color w:val="auto"/>
              </w:rPr>
            </w:pPr>
            <w:r>
              <w:rPr>
                <w:rFonts w:ascii="Arial" w:cs="Arial" w:eastAsia="Arial" w:hAnsi="Arial"/>
                <w:sz w:val="18"/>
                <w:szCs w:val="18"/>
                <w:color w:val="auto"/>
              </w:rPr>
              <w:t>Benefits paid</w:t>
            </w:r>
          </w:p>
        </w:tc>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Project Benefit Obligation at End of Year</w:t>
            </w:r>
          </w:p>
        </w:tc>
        <w:tc>
          <w:tcPr>
            <w:tcW w:w="5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5380" w:type="dxa"/>
            <w:vAlign w:val="bottom"/>
            <w:vMerge w:val="restart"/>
          </w:tcPr>
          <w:p>
            <w:pPr>
              <w:jc w:val="right"/>
              <w:ind w:right="3872"/>
              <w:spacing w:after="0"/>
              <w:rPr>
                <w:sz w:val="20"/>
                <w:szCs w:val="20"/>
                <w:color w:val="auto"/>
              </w:rPr>
            </w:pPr>
            <w:r>
              <w:rPr>
                <w:rFonts w:ascii="Arial" w:cs="Arial" w:eastAsia="Arial" w:hAnsi="Arial"/>
                <w:sz w:val="18"/>
                <w:szCs w:val="18"/>
                <w:color w:val="auto"/>
              </w:rPr>
              <w:t>111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aggregate accumulated benefit obligation at December 31, 2009 and 2008 was $93.1 million and $74.2 million,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Plan Assets: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Fair value of plan assets at beginning of year</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93.8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97.9</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Fair value of CBOT’s plan assets at July 12, 2007</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Actual return on plan assets</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(19.5)</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2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2"/>
          </w:tcPr>
          <w:p>
            <w:pPr>
              <w:ind w:left="420"/>
              <w:spacing w:after="0"/>
              <w:rPr>
                <w:sz w:val="20"/>
                <w:szCs w:val="20"/>
                <w:color w:val="auto"/>
              </w:rPr>
            </w:pPr>
            <w:r>
              <w:rPr>
                <w:rFonts w:ascii="Arial" w:cs="Arial" w:eastAsia="Arial" w:hAnsi="Arial"/>
                <w:sz w:val="18"/>
                <w:szCs w:val="18"/>
                <w:color w:val="auto"/>
              </w:rPr>
              <w:t>Benefits paid</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(15.6)</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107.7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93.8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fair value of each major category of plan assets as of December 31 is indicated below. According to the hierarchy defined by the accounting guidance on fair value measurement, the assets are classified in their entirety based on the lowest level of input that is significant to each asset or liability’s fair value measurement. Level 1 assets are valued using unadjusted market prices for identical assets in active markets based on the valuation date. Valuation techniques for level 2 assets use significant observable inputs such as quoted prices for similar assets, quoted market prices in inactive markets and other inputs that are observable or can be supported by observable market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Level 1:</w:t>
            </w:r>
          </w:p>
        </w:tc>
        <w:tc>
          <w:tcPr>
            <w:tcW w:w="5320" w:type="dxa"/>
            <w:vAlign w:val="bottom"/>
            <w:shd w:val="clear" w:color="auto" w:fill="CCEEFF"/>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income</w:t>
            </w:r>
          </w:p>
        </w:tc>
        <w:tc>
          <w:tcPr>
            <w:tcW w:w="4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Level 2:</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55.1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U.S. equity</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Foreign equity</w:t>
            </w: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Fixed income</w:t>
            </w:r>
          </w:p>
        </w:tc>
        <w:tc>
          <w:tcPr>
            <w:tcW w:w="4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Commodity</w:t>
            </w:r>
          </w:p>
        </w:tc>
        <w:tc>
          <w:tcPr>
            <w:tcW w:w="4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107.7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93.8</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2009 and 2008, the fair value of pension plan assets exceeded the projected benefit obligation by $0.2 million and $5.4 million,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excess was recorded as a non-current pension asset.</w:t>
      </w:r>
    </w:p>
    <w:p>
      <w:pPr>
        <w:spacing w:after="0" w:line="16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funding goal for the exchange is to have its pension plan 100% funded at each year end on a projected benefit obligation basis, while also satisfying any minimum required contribution and obtaining the maximum tax deduction. Year-end 2009 assumptions have been used to project the liabilities and assets from December 31, 2009 to December 31, 2010. The result of this projection is that estimated liabilities would exceed the fair value of the plan assets at December 31, 2010 by approximately $14.3 million. Accordingly, it is estimated that a $14.3 million contribution in 2010 will allow the company to meet its funding goal.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80" w:right="239" w:bottom="1440" w:gutter="0" w:footer="0" w:header="0"/>
        </w:sectPr>
      </w:pPr>
    </w:p>
    <w:bookmarkStart w:id="112" w:name="page113"/>
    <w:bookmarkEnd w:id="112"/>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components of net pension expense and the assumptions used to determine the end-of-year projected benefit obligation and net pension expense in aggregate are indicated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5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Components of Net Pension Expense: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Service cost</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rPr>
              <w:t>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cost</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Expected return on plan assets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(7.0)</w:t>
            </w:r>
          </w:p>
        </w:tc>
        <w:tc>
          <w:tcPr>
            <w:tcW w:w="1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Recognized net actuarial loss</w:t>
            </w:r>
          </w:p>
        </w:tc>
        <w:tc>
          <w:tcPr>
            <w:tcW w:w="20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00" w:type="dxa"/>
            <w:vAlign w:val="bottom"/>
            <w:gridSpan w:val="3"/>
          </w:tcPr>
          <w:p>
            <w:pPr>
              <w:spacing w:after="0"/>
              <w:rPr>
                <w:sz w:val="20"/>
                <w:szCs w:val="20"/>
                <w:color w:val="auto"/>
              </w:rPr>
            </w:pPr>
            <w:r>
              <w:rPr>
                <w:rFonts w:ascii="Arial" w:cs="Arial" w:eastAsia="Arial" w:hAnsi="Arial"/>
                <w:sz w:val="18"/>
                <w:szCs w:val="18"/>
                <w:color w:val="auto"/>
              </w:rPr>
              <w:t>Net Pension Expense</w:t>
            </w:r>
          </w:p>
        </w:tc>
        <w:tc>
          <w:tcPr>
            <w:tcW w:w="2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w w:val="85"/>
              </w:rPr>
              <w:t>11.3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c>
          <w:tcPr>
            <w:tcW w:w="3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Assumptions Used to Determine End-of-Year Benefit Obligation:</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Discount rate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5.70%</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6.10%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Rate of compensation increase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5"/>
              </w:rPr>
              <w:t>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Cash balance interest crediting rate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w w:val="85"/>
              </w:rPr>
              <w:t>4.00</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4.10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Assumptions Used to Determine Net Pension Expense: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Discount rate</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6.10%</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6.10%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Rate of compensation increase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5"/>
              </w:rPr>
              <w:t>5.00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5.00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ind w:left="420"/>
              <w:spacing w:after="0"/>
              <w:rPr>
                <w:sz w:val="20"/>
                <w:szCs w:val="20"/>
                <w:color w:val="auto"/>
              </w:rPr>
            </w:pPr>
            <w:r>
              <w:rPr>
                <w:rFonts w:ascii="Arial" w:cs="Arial" w:eastAsia="Arial" w:hAnsi="Arial"/>
                <w:sz w:val="18"/>
                <w:szCs w:val="18"/>
                <w:color w:val="auto"/>
              </w:rPr>
              <w:t>Expected return on plan assets</w:t>
            </w: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0"/>
              <w:spacing w:after="0"/>
              <w:rPr>
                <w:sz w:val="20"/>
                <w:szCs w:val="20"/>
                <w:color w:val="auto"/>
              </w:rPr>
            </w:pPr>
            <w:r>
              <w:rPr>
                <w:rFonts w:ascii="Arial" w:cs="Arial" w:eastAsia="Arial" w:hAnsi="Arial"/>
                <w:sz w:val="18"/>
                <w:szCs w:val="18"/>
                <w:color w:val="auto"/>
                <w:w w:val="85"/>
              </w:rPr>
              <w:t>8.00</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8.00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crediting rate</w:t>
            </w: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5"/>
              </w:rPr>
              <w:t>4.00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4.10</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4.10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discount rate for the plan is determined based on an interest rate yield curve. The yield curve is comprised of bonds with a rating of Aaa and Aa and maturities between zero and thirty years. The expected annual benefit cash flows for the plan are discounted to develop a single-point discount rate by matching the plan’s expected payout structure to such yield curve.</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basis for determining the expected rate of return on plan assets for the plan is comprised of three components: historical returns, industry peers and forecasted return. The plan’s total return is expected to equal the composite performance of the security markets over the long term. The security markets are represented by the returns on various domestic and international stock, bond and commodity indexes. These returns are weighted according to the allocation of plan assets to each market and measured individually.</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overall objective of the plan is to meet required long-term rates of return in order to meet future benefit payments. The component of the investment policy for the plan that has the most significant impact on returns is the asset mix. The asset mix has a minimum and maximum range depending on asset class. The plan assets are diversified to minimize the risk of large losses by any one or more individual assets. Such diversification is accomplished, in part, through the selection of asset mix and investment management. The asset allocation for the plan, by asset category, at December 31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5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r>
      <w:tr>
        <w:trPr>
          <w:trHeight w:val="21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37.6%</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58.7%</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U.S. equity</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25.4</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17.2</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23.8</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15.4</w:t>
            </w: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Foreign equity</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10.0</w:t>
            </w:r>
          </w:p>
        </w:tc>
        <w:tc>
          <w:tcPr>
            <w:tcW w:w="5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Commodity</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5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r>
    </w:tbl>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the company reassessed its investment allocation, it held a higher than normal balance in money market funds beginning at the end of 2008 through 2009. As of December 31, 2009, the money market balance remained in the portfolio as the company was still in the process of finalizing its target asset allocation for 2010.</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According to the plan’s investment policy, the plan is not allowed to invest in securities that compromise independence, short sales of securities directly owned by the plan, securities purchased on margin or other uses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80" w:right="239" w:bottom="1440" w:gutter="0" w:footer="0" w:header="0"/>
        </w:sectPr>
      </w:pPr>
    </w:p>
    <w:bookmarkStart w:id="113" w:name="page114"/>
    <w:bookmarkEnd w:id="113"/>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borrowed funds, derivatives not used for hedging purposes, restricted stock or illiquid securities or any other transaction prohibited by employment laws. If the plan directly invests in short-term and long-term debt obligations, the investments are limited to obligations rated at the highest rating category by Standard &amp; Poor’s (S&amp;P) or Moody’s.</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 modification to the plan’s target investment allocation was approved in the fourth quarter of 2009 and will be implemented during 2010. This modification was the result of an asset allocation review that was performed to determine the target mix that would best support the plan’s funding goals and resulted in a revised investment policy. During 2010, the company will migrate its investment mix toward the target allocation. The range of target allocation percentages to be implemented in 2010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Minimum</w:t>
            </w:r>
          </w:p>
        </w:tc>
        <w:tc>
          <w:tcPr>
            <w:tcW w:w="9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14"/>
                <w:szCs w:val="14"/>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U.S. equity</w:t>
            </w:r>
          </w:p>
        </w:tc>
        <w:tc>
          <w:tcPr>
            <w:tcW w:w="14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23.5%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Foreign equity</w:t>
            </w:r>
          </w:p>
        </w:tc>
        <w:tc>
          <w:tcPr>
            <w:tcW w:w="580" w:type="dxa"/>
            <w:vAlign w:val="bottom"/>
          </w:tcPr>
          <w:p>
            <w:pPr>
              <w:jc w:val="right"/>
              <w:spacing w:after="0"/>
              <w:rPr>
                <w:sz w:val="20"/>
                <w:szCs w:val="20"/>
                <w:color w:val="auto"/>
              </w:rPr>
            </w:pPr>
            <w:r>
              <w:rPr>
                <w:rFonts w:ascii="Arial" w:cs="Arial" w:eastAsia="Arial" w:hAnsi="Arial"/>
                <w:sz w:val="18"/>
                <w:szCs w:val="18"/>
                <w:color w:val="auto"/>
              </w:rPr>
              <w:t>23.5</w:t>
            </w:r>
          </w:p>
        </w:tc>
        <w:tc>
          <w:tcPr>
            <w:tcW w:w="9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Fixed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9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r>
      <w:tr>
        <w:trPr>
          <w:trHeight w:val="222"/>
        </w:trPr>
        <w:tc>
          <w:tcPr>
            <w:tcW w:w="9120" w:type="dxa"/>
            <w:vAlign w:val="bottom"/>
          </w:tcPr>
          <w:p>
            <w:pPr>
              <w:spacing w:after="0"/>
              <w:rPr>
                <w:sz w:val="20"/>
                <w:szCs w:val="20"/>
                <w:color w:val="auto"/>
              </w:rPr>
            </w:pPr>
            <w:r>
              <w:rPr>
                <w:rFonts w:ascii="Arial" w:cs="Arial" w:eastAsia="Arial" w:hAnsi="Arial"/>
                <w:sz w:val="18"/>
                <w:szCs w:val="18"/>
                <w:color w:val="auto"/>
              </w:rPr>
              <w:t>Commodity</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9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balance and activity of the prior service costs and actuarial losses, which are included in accumulated other comprehensive income (loss),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rPr>
              <w:t>Prior</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4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0"/>
              </w:rPr>
              <w:t>Service</w:t>
            </w:r>
          </w:p>
        </w:tc>
        <w:tc>
          <w:tcPr>
            <w:tcW w:w="54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Actuarial</w:t>
            </w:r>
          </w:p>
        </w:tc>
        <w:tc>
          <w:tcPr>
            <w:tcW w:w="0" w:type="dxa"/>
            <w:vAlign w:val="bottom"/>
          </w:tcPr>
          <w:p>
            <w:pPr>
              <w:spacing w:after="0"/>
              <w:rPr>
                <w:sz w:val="1"/>
                <w:szCs w:val="1"/>
                <w:color w:val="auto"/>
              </w:rPr>
            </w:pPr>
          </w:p>
        </w:tc>
      </w:tr>
      <w:tr>
        <w:trPr>
          <w:trHeight w:val="161"/>
        </w:trPr>
        <w:tc>
          <w:tcPr>
            <w:tcW w:w="97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w w:val="92"/>
              </w:rPr>
              <w:t>Costs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79"/>
              </w:rPr>
              <w:t>Loss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Unrecognized loss</w:t>
            </w:r>
          </w:p>
        </w:tc>
        <w:tc>
          <w:tcPr>
            <w:tcW w:w="14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Recognized as a component of net pension expense</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9780" w:type="dxa"/>
            <w:vAlign w:val="bottom"/>
            <w:gridSpan w:val="3"/>
            <w:vMerge w:val="restart"/>
          </w:tcPr>
          <w:p>
            <w:pPr>
              <w:spacing w:after="0"/>
              <w:rPr>
                <w:sz w:val="20"/>
                <w:szCs w:val="20"/>
                <w:color w:val="auto"/>
              </w:rPr>
            </w:pPr>
            <w:r>
              <w:rPr>
                <w:rFonts w:ascii="Arial" w:cs="Arial" w:eastAsia="Arial" w:hAnsi="Arial"/>
                <w:sz w:val="18"/>
                <w:szCs w:val="18"/>
                <w:color w:val="auto"/>
              </w:rPr>
              <w:t>Balance at December 31, 2009</w:t>
            </w: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8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0.2</w:t>
            </w:r>
          </w:p>
        </w:tc>
        <w:tc>
          <w:tcPr>
            <w:tcW w:w="660" w:type="dxa"/>
            <w:vAlign w:val="bottom"/>
            <w:gridSpan w:val="2"/>
          </w:tcPr>
          <w:p>
            <w:pPr>
              <w:ind w:left="54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 expects to amortize $2.3 million of actuarial loss from accumulated other comprehensive income (loss) into net periodic benefit costs in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2009, anticipated benefit payments from the plan in future years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2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103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2011</w:t>
            </w:r>
          </w:p>
        </w:tc>
        <w:tc>
          <w:tcPr>
            <w:tcW w:w="10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0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103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3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1000" w:type="dxa"/>
            <w:vAlign w:val="bottom"/>
            <w:gridSpan w:val="2"/>
          </w:tcPr>
          <w:p>
            <w:pPr>
              <w:spacing w:after="0"/>
              <w:rPr>
                <w:sz w:val="20"/>
                <w:szCs w:val="20"/>
                <w:color w:val="auto"/>
              </w:rPr>
            </w:pPr>
            <w:r>
              <w:rPr>
                <w:rFonts w:ascii="Arial" w:cs="Arial" w:eastAsia="Arial" w:hAnsi="Arial"/>
                <w:sz w:val="18"/>
                <w:szCs w:val="18"/>
                <w:color w:val="auto"/>
              </w:rPr>
              <w:t>2015-2019</w:t>
            </w:r>
          </w:p>
        </w:tc>
        <w:tc>
          <w:tcPr>
            <w:tcW w:w="400" w:type="dxa"/>
            <w:vAlign w:val="bottom"/>
          </w:tcPr>
          <w:p>
            <w:pPr>
              <w:jc w:val="right"/>
              <w:spacing w:after="0"/>
              <w:rPr>
                <w:sz w:val="20"/>
                <w:szCs w:val="20"/>
                <w:color w:val="auto"/>
              </w:rPr>
            </w:pPr>
            <w:r>
              <w:rPr>
                <w:rFonts w:ascii="Arial" w:cs="Arial" w:eastAsia="Arial" w:hAnsi="Arial"/>
                <w:sz w:val="18"/>
                <w:szCs w:val="18"/>
                <w:color w:val="auto"/>
              </w:rPr>
              <w:t>65.0</w:t>
            </w:r>
          </w:p>
        </w:tc>
        <w:tc>
          <w:tcPr>
            <w:tcW w:w="20" w:type="dxa"/>
            <w:vAlign w:val="bottom"/>
          </w:tcPr>
          <w:p>
            <w:pPr>
              <w:spacing w:after="0"/>
              <w:rPr>
                <w:sz w:val="19"/>
                <w:szCs w:val="19"/>
                <w:color w:val="auto"/>
              </w:rPr>
            </w:pPr>
          </w:p>
        </w:tc>
      </w:tr>
    </w:tbl>
    <w:p>
      <w:pPr>
        <w:spacing w:after="0" w:line="14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Other Post-Retirement Benefit Plan. </w:t>
      </w:r>
      <w:r>
        <w:rPr>
          <w:rFonts w:ascii="Arial" w:cs="Arial" w:eastAsia="Arial" w:hAnsi="Arial"/>
          <w:sz w:val="16"/>
          <w:szCs w:val="16"/>
          <w:color w:val="auto"/>
        </w:rPr>
        <w:t>In conjunction with the NYMEX Holdings merger, CME Group assumed the obligation for the post-employment and post-retirement benefit plans for legacy and former NYMEX employees. The post-employment plan offers benefits to employees after employment but before retirement. Post-employment benefits include both short-term disability income benefits and long-term disability related health benefits. CME Group accrues for these future post-employment benefits, which are funded as payments become due. The post-retirement plan offers certain health care and life insurance benefits for qualifying retired employees of NYMEX. Certain legacy employees of NYMEX who met the specified age and years of service criteria by December 31, 2008, or who met the criteria before their transitional assignment was completed, were grandfathered into the post-retirement plan. The plan has been closed to new participants. CME Group funds the benefit costs as payments become due. At December 31, 2009 and 2008, the projected benefit obligation of these plans was $4.4 million and $4.3 million, respectively. The plan’s net periodic benefit cost was $0.3 million in 2009 and $0.1 million for the period August 23 through December 31, 2008.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80" w:right="239" w:bottom="1440" w:gutter="0" w:footer="0" w:header="0"/>
        </w:sectPr>
      </w:pPr>
    </w:p>
    <w:bookmarkStart w:id="114" w:name="page115"/>
    <w:bookmarkEnd w:id="114"/>
    <w:p>
      <w:pPr>
        <w:ind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CME Group also maintains a post-retirement benefit plan for legacy and former CBOT employees. Employees retiring from CBOT on or after age 55, who have at least ten years of service, or after 65 with five years of service, are entitled to post-retirement medical benefits. Effective January 1, 2008, the plan was closed to new participants. CME Group funds benefit costs as payments become due. The measurement date of plan obligations is December 31. At December 31, 2009 and 2008, the projected benefit obligation of the plan was $4.6 million and $4.7 million, respectively. The plan’s net periodic benefit cost was $0.3 million in 2009, $0.2 million in 2008 and $0.2 million for the period July 13 through December 31, 2007.</w:t>
      </w:r>
    </w:p>
    <w:p>
      <w:pPr>
        <w:spacing w:after="0" w:line="110"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Savings Plan. </w:t>
      </w:r>
      <w:r>
        <w:rPr>
          <w:rFonts w:ascii="Arial" w:cs="Arial" w:eastAsia="Arial" w:hAnsi="Arial"/>
          <w:sz w:val="16"/>
          <w:szCs w:val="16"/>
          <w:color w:val="auto"/>
        </w:rPr>
        <w:t>CME maintains a savings plan pursuant to Section 401(k) of the Internal Revenue Code, whereby all U.S. employees are participants and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option to contribute to this plan. CME matches employee contributions up to 3% of the employee’s base salary and may make additional discretionary contributions of up to 2% of base salary. Effective January 1, 2008, the qualified savings plan for CBOT employees was merged into the CME plan. Aggregate expense for the savings plans amounted to $4.5 million, $4.3 million and $3.7 million in 2009, 2008 and 2007, respectively.</w:t>
      </w:r>
    </w:p>
    <w:p>
      <w:pPr>
        <w:spacing w:after="0" w:line="1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NYMEX maintained a defined contribution plan that incorporated a deferred salary arrangement under Section 401(k) of the Internal Revenue Code to all eligible legacy NYMEX domestic employees. Employee contributions were matched up to a maximum of 3% of salary. In addition, annual contributions ranging from 2% to 7% were made based upon tenure for each eligible plan member. The cost of these contributions totaled $0.8 million for the period August 23 through December 31, 2008. As of January 1, 2009, NYMEX’s plan was merged with CME’s plan for U.S. employees. No further contributions were made to the NYMEX plan after that date.</w:t>
      </w:r>
    </w:p>
    <w:p>
      <w:pPr>
        <w:spacing w:after="0" w:line="143"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CME London-based employees are eligible to participate in a defined contribution plan. The plan provides for company contributions of 10% of earnings and does not have any vesting requirements. Salary and cash bonuses paid are included in the definition of earnings. Total expense for the London defined contribution benefit plan was $0.7 million, $0.7 million and $0.6 million in 2009, 2008 and 2007, respectively.</w:t>
      </w:r>
    </w:p>
    <w:p>
      <w:pPr>
        <w:spacing w:after="0" w:line="10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color w:val="auto"/>
        </w:rPr>
        <w:t xml:space="preserve">CME Non-Qualified Plans. </w:t>
      </w:r>
      <w:r>
        <w:rPr>
          <w:rFonts w:ascii="Arial" w:cs="Arial" w:eastAsia="Arial" w:hAnsi="Arial"/>
          <w:sz w:val="18"/>
          <w:szCs w:val="18"/>
          <w:color w:val="auto"/>
        </w:rPr>
        <w:t>The following non-qualified plans, under which participants may make assumed investment choices with respect to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contributed on their behalf, are maintained by CME. Although not required to do so, CME invests such contributions in assets that mirror the assumed investment choices. The balances in these plans are subject to the claims of general creditors of the exchange and totaled $23.4 million and $17.2 million at December 31, 2009 and 2008, respectively. Although the value of the plans is recorded as an asset in the consolidated balance sheets, there is an equal and offsetting liability. The investment results of these plans have no impact on net income as the investment results are recorded in equal amounts to both investment income and compensation and benefits expense.</w:t>
      </w:r>
    </w:p>
    <w:p>
      <w:pPr>
        <w:spacing w:after="0" w:line="64"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i w:val="1"/>
          <w:iCs w:val="1"/>
          <w:color w:val="auto"/>
        </w:rPr>
        <w:t>Supplemental Savings Plan—</w:t>
      </w:r>
      <w:r>
        <w:rPr>
          <w:rFonts w:ascii="Arial" w:cs="Arial" w:eastAsia="Arial" w:hAnsi="Arial"/>
          <w:sz w:val="16"/>
          <w:szCs w:val="16"/>
          <w:color w:val="auto"/>
        </w:rPr>
        <w:t>CME maintains a supplemental savings plan to provide benefits for employees who have been impacted by statutory limits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provisions of the qualified pension and savings plans. All CME employees hired prior to January 1, 2007 are immediately vested in their supplemental plan benefits. All CME employees hired on or after January 1, 2007 are subject to the vesting requirements of the underlying qualified plans. Total expense for the supplemental plan was $0.7 million, $1.3 million and $0.9 million for 2009, 2008 and 2007, respectively.</w:t>
      </w:r>
    </w:p>
    <w:p>
      <w:pPr>
        <w:spacing w:after="0" w:line="32"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i w:val="1"/>
          <w:iCs w:val="1"/>
          <w:color w:val="auto"/>
        </w:rPr>
        <w:t>Deferred Compensation Plan—</w:t>
      </w:r>
      <w:r>
        <w:rPr>
          <w:rFonts w:ascii="Arial" w:cs="Arial" w:eastAsia="Arial" w:hAnsi="Arial"/>
          <w:sz w:val="18"/>
          <w:szCs w:val="18"/>
          <w:color w:val="auto"/>
        </w:rPr>
        <w:t>A deferred compensation plan is maintained by CME, under which eligible officers and members of the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may contribute a percentage of their compensation and defer income taxes thereon until the time of distribution.</w:t>
      </w:r>
    </w:p>
    <w:p>
      <w:pPr>
        <w:spacing w:after="0" w:line="126" w:lineRule="exact"/>
        <w:rPr>
          <w:sz w:val="20"/>
          <w:szCs w:val="20"/>
          <w:color w:val="auto"/>
        </w:rPr>
      </w:pPr>
    </w:p>
    <w:p>
      <w:pPr>
        <w:ind w:right="20"/>
        <w:spacing w:after="0" w:line="310" w:lineRule="auto"/>
        <w:rPr>
          <w:sz w:val="20"/>
          <w:szCs w:val="20"/>
          <w:color w:val="auto"/>
        </w:rPr>
      </w:pPr>
      <w:r>
        <w:rPr>
          <w:rFonts w:ascii="Arial" w:cs="Arial" w:eastAsia="Arial" w:hAnsi="Arial"/>
          <w:sz w:val="16"/>
          <w:szCs w:val="16"/>
          <w:b w:val="1"/>
          <w:bCs w:val="1"/>
          <w:color w:val="auto"/>
        </w:rPr>
        <w:t xml:space="preserve">CBOT Supplemental Retirement Plan. </w:t>
      </w:r>
      <w:r>
        <w:rPr>
          <w:rFonts w:ascii="Arial" w:cs="Arial" w:eastAsia="Arial" w:hAnsi="Arial"/>
          <w:sz w:val="16"/>
          <w:szCs w:val="16"/>
          <w:color w:val="auto"/>
        </w:rPr>
        <w:t>CME Group maintains a non-qualified supplemental retirement plan for former officers of CBOT Holdings who elected</w:t>
      </w:r>
      <w:r>
        <w:rPr>
          <w:rFonts w:ascii="Arial" w:cs="Arial" w:eastAsia="Arial" w:hAnsi="Arial"/>
          <w:sz w:val="16"/>
          <w:szCs w:val="16"/>
          <w:b w:val="1"/>
          <w:bCs w:val="1"/>
          <w:color w:val="auto"/>
        </w:rPr>
        <w:t xml:space="preserve"> </w:t>
      </w:r>
      <w:r>
        <w:rPr>
          <w:rFonts w:ascii="Arial" w:cs="Arial" w:eastAsia="Arial" w:hAnsi="Arial"/>
          <w:sz w:val="16"/>
          <w:szCs w:val="16"/>
          <w:color w:val="auto"/>
        </w:rPr>
        <w:t>to participate in the plan. The liability for this plan, which amounted to $1.1 million and $1.4 million as of December 31, 2009 and 2008, respectively, is funded by life insurance policies on the lives of the participating employees. There is a trust established for the purpose of administering this non-qualified plan.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280" w:right="259" w:bottom="1440" w:gutter="0" w:footer="0" w:header="0"/>
        </w:sectPr>
      </w:pPr>
    </w:p>
    <w:bookmarkStart w:id="115" w:name="page116"/>
    <w:bookmarkEnd w:id="115"/>
    <w:p>
      <w:pPr>
        <w:ind w:right="60"/>
        <w:spacing w:after="0" w:line="29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NYMEX Non-Qualified Plans. </w:t>
      </w:r>
      <w:r>
        <w:rPr>
          <w:rFonts w:ascii="Arial" w:cs="Arial" w:eastAsia="Arial" w:hAnsi="Arial"/>
          <w:sz w:val="16"/>
          <w:szCs w:val="16"/>
          <w:color w:val="auto"/>
        </w:rPr>
        <w:t>As part of the merger with NYMEX Holdings, CME Group assumed the obligation for the non-qualified deferred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plan for key employees of NYMEX. The plan allowed for matching and regular year-end contributions to the deferred plan. Matching and year-end contribution percentages followed the same guidelines as the NYMEX defined contribution plan. It is intended to be unfunded and, therefore, all compensation deferred under the deferred plan is held by CME Group. At December 31, 2009 and 2008, the liability for the deferred plan was $2.2 million and $1.9 million, respectively. The total assets for the plan, which are subject to the claims of general creditors, were $2.2 million and $1.9 million at December 31, 2009 and 2008, respectively. This plan was frozen as of December 31, 2008 to new participant contributions or employer contributions.</w:t>
      </w:r>
    </w:p>
    <w:p>
      <w:pPr>
        <w:spacing w:after="0" w:line="11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color w:val="auto"/>
        </w:rPr>
        <w:t xml:space="preserve">NYMEX Members’ Retirement Plan and Benefits. </w:t>
      </w:r>
      <w:r>
        <w:rPr>
          <w:rFonts w:ascii="Arial" w:cs="Arial" w:eastAsia="Arial" w:hAnsi="Arial"/>
          <w:sz w:val="16"/>
          <w:szCs w:val="16"/>
          <w:color w:val="auto"/>
        </w:rPr>
        <w:t>NYMEX maintained a retirement and benefit plan under the Commodities Exchange, Inc. (COMEX)</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Recognition and Retention Plan (MRRP). This plan provides benefits to certain members of the COMEX division based on long-term membership, and participation is limited to individuals who were COMEX division members prior to NYMEX’s acquisition of COMEX in 1994. No new participants were permitted into the plan after the date of this acquisition. Under the terms of the MRRP, the company is required to fund the plan with a minimum annual contribution of $400,000 until it is fully funded. All benefits to be paid under the MRRP are based on reasonable actuarial assumptions which are based upon the amounts that are available and are expected to be available to pay benefits. Total contributions to the plan were $0.8 million in 2009 and $0.8 million for the period August 23 through December 31, 2008. At December 31, 2009 and 2008, the total obligation for the MRRP totaled $20.5 million and $20.1 million, respectively. Assets with a fair value of $14.4 million and $13.1 million have been allocated to this plan at December 31, 2009 and 2008.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OTHER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consisted of the following at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federal and state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Post-retirement and non-qualified benefit plans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Non-qualified deferred compensation plans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contracts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165.8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w:t>
      </w:r>
    </w:p>
    <w:p>
      <w:pPr>
        <w:spacing w:after="0" w:line="9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Operating Leases. </w:t>
      </w:r>
      <w:r>
        <w:rPr>
          <w:rFonts w:ascii="Arial" w:cs="Arial" w:eastAsia="Arial" w:hAnsi="Arial"/>
          <w:sz w:val="16"/>
          <w:szCs w:val="16"/>
          <w:color w:val="auto"/>
        </w:rPr>
        <w:t>CME Group has commitments under operating leases for certain facilities that are accounted for in accordance with accounting guidance on</w:t>
      </w:r>
      <w:r>
        <w:rPr>
          <w:rFonts w:ascii="Arial" w:cs="Arial" w:eastAsia="Arial" w:hAnsi="Arial"/>
          <w:sz w:val="16"/>
          <w:szCs w:val="16"/>
          <w:b w:val="1"/>
          <w:bCs w:val="1"/>
          <w:color w:val="auto"/>
        </w:rPr>
        <w:t xml:space="preserve"> </w:t>
      </w:r>
      <w:r>
        <w:rPr>
          <w:rFonts w:ascii="Arial" w:cs="Arial" w:eastAsia="Arial" w:hAnsi="Arial"/>
          <w:sz w:val="16"/>
          <w:szCs w:val="16"/>
          <w:color w:val="auto"/>
        </w:rPr>
        <w:t>leases. In July 2008, the company renegotiated the operating lease for its headquarters at 20 South Wacker Drive in Chicago. The lease, which has an initial term ending on November 30, 2022, contains two consecutive renewal options for seven and ten years and a contraction option which allows the company to reduce its occupied space after November 30, 2018. In addition, the company may exercise a lease expansion option in December 2012 and in December 2017. Annual minimum rental payments under the headquarters operating lease range from $5.1 million to $12.9 million.</w:t>
      </w:r>
    </w:p>
    <w:p>
      <w:pPr>
        <w:spacing w:after="0" w:line="11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August 2006, CME Group entered into an operating lease for additional office space in Chicago. The initial lease term, which became effective on August 10, 2006, terminates on November 30, 2023. The lease contains two 5-year renewal options beginning in 2023. Annual minimum rental payments for this lease range from $3.8 million to $5.6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274" w:right="239" w:bottom="1440" w:gutter="0" w:footer="0" w:header="0"/>
        </w:sectPr>
      </w:pPr>
    </w:p>
    <w:bookmarkStart w:id="116" w:name="page117"/>
    <w:bookmarkEnd w:id="116"/>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CME Group maintains two operating leases for office space in London. The first lease became effective on August 4, 2004 and will terminate on August 1, 2014. Annual minimum rental payments range from $0.6 million to $1.1 million. The second lease became effective on October 19, 2006 and will terminate on March 1, 2019. However, CME Group has an option to terminate the lease without penalty on December 25, 2011. Annual minimum rental payments are $1.0 million.</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August 2008, CME Group began to maintain the NYMEX Holdings lease agreement due to the NYMEX merger. In May 1995, NYMEX Holdings signed a ground lease (expiring June 2069, with an option to terminate without penalty on June 2012) with Battery Park City Authority (BPCA) for the site where it constructed its headquarters and trading facility. Annual minimum rental payments range from $0.5 million to $2.5 million. The lease establishes payments in lieu of taxes (PILOTs) due to New York City. PILOTs are entirely abated until May 17, 2015 for the trading floor of the facility.</w:t>
      </w:r>
    </w:p>
    <w:p>
      <w:pPr>
        <w:spacing w:after="0" w:line="11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Leases for other locations where CME Group maintains space expire at various times from 2012 to 2014 with annual minimum rentals that will not exceed $4.2 million in any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Total rental expense, including equipment rental, was $33.7 million in 2009, $36.2 million in 2008 and $31.4 million in 2007.</w:t>
      </w:r>
    </w:p>
    <w:p>
      <w:pPr>
        <w:spacing w:after="0" w:line="16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 xml:space="preserve">Other Commitments. </w:t>
      </w:r>
      <w:r>
        <w:rPr>
          <w:rFonts w:ascii="Arial" w:cs="Arial" w:eastAsia="Arial" w:hAnsi="Arial"/>
          <w:sz w:val="18"/>
          <w:szCs w:val="18"/>
          <w:color w:val="auto"/>
        </w:rPr>
        <w:t>Commitments include contractual obligations as well as other liabilities that are non-cancelable. Contractual obligations totaled $48.7</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at December 31, 2009 and relate primarily to software licenses, hardware and maintenance as well as telecommunication services. Other liabilities totaled $39.0 million at December 31, 2009 and primarily include security deposits and derivative contracts.</w:t>
      </w:r>
    </w:p>
    <w:p>
      <w:pPr>
        <w:spacing w:after="0" w:line="13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Future minimum obligations under non-cancelable operating leases, contractual obligations and other liabilities in effect at December 31, 2009 are payable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2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46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Leases</w:t>
            </w:r>
          </w:p>
        </w:tc>
        <w:tc>
          <w:tcPr>
            <w:tcW w:w="2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Obligations</w:t>
            </w:r>
          </w:p>
        </w:tc>
        <w:tc>
          <w:tcPr>
            <w:tcW w:w="280" w:type="dxa"/>
            <w:vAlign w:val="bottom"/>
          </w:tcPr>
          <w:p>
            <w:pPr>
              <w:spacing w:after="0"/>
              <w:rPr>
                <w:sz w:val="14"/>
                <w:szCs w:val="14"/>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6"/>
              </w:rPr>
              <w:t>Liabilities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21.6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235.0</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w:t>
            </w:r>
            <w:r>
              <w:rPr>
                <w:rFonts w:ascii="Arial" w:cs="Arial" w:eastAsia="Arial" w:hAnsi="Arial"/>
                <w:sz w:val="18"/>
                <w:szCs w:val="18"/>
                <w:u w:val="single" w:color="auto"/>
                <w:color w:val="auto"/>
              </w:rPr>
              <w:t>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Licensing Agreements. </w:t>
      </w:r>
      <w:r>
        <w:rPr>
          <w:rFonts w:ascii="Arial" w:cs="Arial" w:eastAsia="Arial" w:hAnsi="Arial"/>
          <w:sz w:val="16"/>
          <w:szCs w:val="16"/>
          <w:color w:val="auto"/>
        </w:rPr>
        <w:t>CME Group has various licensing agreements including agreements with S&amp;P, NASDAQ OMX Group, Inc. (NASDAQ OMX) and Dow</w:t>
      </w:r>
      <w:r>
        <w:rPr>
          <w:rFonts w:ascii="Arial" w:cs="Arial" w:eastAsia="Arial" w:hAnsi="Arial"/>
          <w:sz w:val="16"/>
          <w:szCs w:val="16"/>
          <w:b w:val="1"/>
          <w:bCs w:val="1"/>
          <w:color w:val="auto"/>
        </w:rPr>
        <w:t xml:space="preserve"> </w:t>
      </w:r>
      <w:r>
        <w:rPr>
          <w:rFonts w:ascii="Arial" w:cs="Arial" w:eastAsia="Arial" w:hAnsi="Arial"/>
          <w:sz w:val="16"/>
          <w:szCs w:val="16"/>
          <w:color w:val="auto"/>
        </w:rPr>
        <w:t>Jones relating to certain equity index products. The license agreement with S&amp;P provides that the S&amp;P 500 Index futures and options will be exclusive through December 31, 2016 as long as certain volume requirements are met. In 2008, the company extended its license agreement with NASDAQ OMX, which is exclusive with respect to futures and options on futures contracts based on certain NASDAQ OMX indexes through October 9, 2019.</w:t>
      </w:r>
    </w:p>
    <w:p>
      <w:pPr>
        <w:spacing w:after="0" w:line="10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11, 2007, CME Group renewed its product licensing agreement with Dow Jones. The agreement enables the exchange to continue to exclusively offer futures and options on futures products based on the Dow Jones Industrial Average and other Dow Jones indexes. The new agreement is effective January 1, 2008 through December 31, 2014 and included an upfront payment as well as minimum annual payments. The agreement also includes a provision for a five year renewal term and successive annual renewal terms after the initial five year renewal term until cancelled by either party six months prior to the annual renewal date.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280" w:right="239" w:bottom="1440" w:gutter="0" w:footer="0" w:header="0"/>
        </w:sectPr>
      </w:pPr>
    </w:p>
    <w:bookmarkStart w:id="117" w:name="page118"/>
    <w:bookmarkEnd w:id="117"/>
    <w:p>
      <w:pPr>
        <w:ind w:right="16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Agreements. </w:t>
      </w:r>
      <w:r>
        <w:rPr>
          <w:rFonts w:ascii="Arial" w:cs="Arial" w:eastAsia="Arial" w:hAnsi="Arial"/>
          <w:sz w:val="18"/>
          <w:szCs w:val="18"/>
          <w:color w:val="auto"/>
        </w:rPr>
        <w:t>In 1994, NYMEX entered into a letter of intent with BPCA, New York Economic Development Corporation (EDC) and Empire State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Corporation (ESDC) to construct a new trading facility and office building on a site in Battery Park City. By agreement dated May 18, 1995, the EDC and ESDC agreed to provide funding of $128.7 million to construct the facility. NYMEX is liable for liquidated damages on a declining scale if it violates terms of the occupancy agreement at any time prior to 15 years from the date of occupancy, July 7, 1997. Such a violation could also potentially trigger a cross default under the ground lease described in operating leases.</w:t>
      </w:r>
    </w:p>
    <w:p>
      <w:pPr>
        <w:spacing w:after="0" w:line="145"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In 2002, NYMEX entered into an agreement and received a $5.0 million grant from ESDC. This agreement requires NYMEX to maintain certain annual employment levels, and the grant is subject to recapture amounts, on a declining scale, through January 1, 2012.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CONTINGENCIES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Legal Matters. </w:t>
      </w:r>
      <w:r>
        <w:rPr>
          <w:rFonts w:ascii="Arial" w:cs="Arial" w:eastAsia="Arial" w:hAnsi="Arial"/>
          <w:sz w:val="16"/>
          <w:szCs w:val="16"/>
          <w:color w:val="auto"/>
        </w:rPr>
        <w:t>On October 14, 2003, the U.S. Futures Exchange, L.L.C. (Eurex U.S.) and U.S. Exchange Holdings, Inc. filed suit against CBOT and CME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District Court for the District of Columbia. The suit alleges that CBOT and CME violated the antitrust laws and tortiously interfered with the business relationship and contract between Eurex U.S. and The Clearing Corporation. Eurex U.S. and U.S. Exchange Holdings, Inc. are seeking a preliminary injunction and treble damages. In December 2003, CBOT and CME filed separate motions to dismiss or, in the event the motion to dismiss is denied, to move the venue to the United States District Court for the Northern District of Illinois. In September 2004, the judge granted CBOT’s and CME’s motions to transfer venue to the Northern District of Illinois. In light of that decision, the judge did not rule on the motions to dismiss. In March, 2005, Eurex U.S. filed a second amended complaint in the United States District Court for the Northern District of Illinois. On June 6, 2005, CME and CBOT filed a motion to dismiss the complaint. On August 25, 2005, the judge denied the joint CME/CBOT motion to dismiss. In April 2007, CME and CBOT filed two joint motions for summary judgment. The company is currently awaiting the court’s decision on the motions. Based on its investigation to date and advice from legal counsel, the company believes this suit is without merit and intends to defend itself vigorously against these charges.</w:t>
      </w:r>
    </w:p>
    <w:p>
      <w:pPr>
        <w:spacing w:after="0" w:line="12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On August 19, 2008, Fifth Market filed a complaint against CME Group and CME seeking a permanent injunction against CME’s Globex system and enhanced damages for what the plaintiff alleges is willful infringement, in addition to costs, expenses and attorneys’ fees. The suit alleges that CME infringes two U.S. patents. Based on its investigation to date and advice from legal counsel, the company believes this suit is without merit and intends to defend itself vigorously against these charges.</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affect on its consolidated financial position or results of operations.</w:t>
      </w:r>
    </w:p>
    <w:p>
      <w:pPr>
        <w:spacing w:after="0" w:line="14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Intellectual Property Indemnifications. Certain agreements with customers and other third parties related to accessing the CME Globex platform, the CME ClearPort platform, and/or the Clearing 21 platform; utilizing 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GUARANTEES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SGX have a mutual offset agreement with a current term through October 2010. The term of the agreement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automatically renew for a one year period unless either party provides advance notice of their intent to terminate. CME can maintain collateral in the form of U.S. Treasury securities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274" w:right="259" w:bottom="1440" w:gutter="0" w:footer="0" w:header="0"/>
        </w:sectPr>
      </w:pPr>
    </w:p>
    <w:bookmarkStart w:id="118" w:name="page119"/>
    <w:bookmarkEnd w:id="118"/>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irrevocable letters of credit. At December 31, 2009, CME was contingently liable to SGX on irrevocable letters of credit totaling $83.0 million. Regardless of the collateral, CME guarantees all cleared transactions submitted through SGX and would initiate procedures designed to satisfy these financial obligations in the event of a default, such as the use of performance bonds and security deposits of the defaulting clearing firm.</w:t>
      </w:r>
    </w:p>
    <w:p>
      <w:pPr>
        <w:spacing w:after="0" w:line="107"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 xml:space="preserve">Cross-Margin Agreements. </w:t>
      </w:r>
      <w:r>
        <w:rPr>
          <w:rFonts w:ascii="Arial" w:cs="Arial" w:eastAsia="Arial" w:hAnsi="Arial"/>
          <w:sz w:val="16"/>
          <w:szCs w:val="16"/>
          <w:color w:val="auto"/>
        </w:rPr>
        <w:t>CME and OCC have a cross-margin arrangement, whereby a common clearing firm may maintain a cross-margin account in which the</w:t>
      </w:r>
      <w:r>
        <w:rPr>
          <w:rFonts w:ascii="Arial" w:cs="Arial" w:eastAsia="Arial" w:hAnsi="Arial"/>
          <w:sz w:val="16"/>
          <w:szCs w:val="16"/>
          <w:i w:val="1"/>
          <w:iCs w:val="1"/>
          <w:color w:val="auto"/>
        </w:rPr>
        <w:t xml:space="preserve"> </w:t>
      </w:r>
      <w:r>
        <w:rPr>
          <w:rFonts w:ascii="Arial" w:cs="Arial" w:eastAsia="Arial" w:hAnsi="Arial"/>
          <w:sz w:val="16"/>
          <w:szCs w:val="16"/>
          <w:color w:val="auto"/>
        </w:rPr>
        <w:t>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are allocated 50% each to CME and OCC.</w:t>
      </w:r>
    </w:p>
    <w:p>
      <w:pPr>
        <w:spacing w:after="0" w:line="11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Cross-margin agreements exist with CME and FICC and LCH whereby the clearing firms’ offsetting positions with CME are subject to reduced margin requirements. Clearing firms maintain separate performance bond deposits with each clearing house, but depending on the net offsetting positions between CME and FICC or CME and LCH, as applicable,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are divided evenly between CME and the applicable clearing house. Effective February 2010, the LCH agreement was terminated.</w:t>
      </w:r>
    </w:p>
    <w:p>
      <w:pPr>
        <w:spacing w:after="0" w:line="14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Additionally, for the FICC and LCH cross-margin agreements, if, after liquidation of all the positions and collateral of the defaulting firm at each respective clearing organization, and taking into account any cross- margining loss sharing payments, any of the participating clearing organizations has a remaining liquidating surplus, and any other participating clearing organization has a remaining liquidating deficit, any additional surplus from the liquidation will be shared with the other clearing houses to the extent that they have a remaining liquidating deficit. Any remaining surplus funds will be passed to the bankruptcy trustee.</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GFX Letter of Credit. </w:t>
      </w:r>
      <w:r>
        <w:rPr>
          <w:rFonts w:ascii="Arial" w:cs="Arial" w:eastAsia="Arial" w:hAnsi="Arial"/>
          <w:sz w:val="16"/>
          <w:szCs w:val="16"/>
          <w:color w:val="auto"/>
        </w:rPr>
        <w:t>CME guarantees a $5.0 million standby letter of credit for GFX. The beneficiary of the letter of credit is the clearing firm that is used by</w:t>
      </w:r>
      <w:r>
        <w:rPr>
          <w:rFonts w:ascii="Arial" w:cs="Arial" w:eastAsia="Arial" w:hAnsi="Arial"/>
          <w:sz w:val="16"/>
          <w:szCs w:val="16"/>
          <w:i w:val="1"/>
          <w:iCs w:val="1"/>
          <w:color w:val="auto"/>
        </w:rPr>
        <w:t xml:space="preserve"> </w:t>
      </w:r>
      <w:r>
        <w:rPr>
          <w:rFonts w:ascii="Arial" w:cs="Arial" w:eastAsia="Arial" w:hAnsi="Arial"/>
          <w:sz w:val="16"/>
          <w:szCs w:val="16"/>
          <w:color w:val="auto"/>
        </w:rPr>
        <w:t>GFX to execute and maintain its futures positions. Per exchange requirements, GFX is required to place performance bond deposits with its clearing firm. The letter of credit, utilized as performance bond, will be drawn on in the event that GFX defaults in meeting requirements to its clearing firm. In the unlikely event of a payment default by GFX, if GFX’s performance bond is not sufficient to cover the deficit, CME would guarantee the remaining deficit, if 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DERIVATIVE INSTRUMENTS</w:t>
      </w:r>
    </w:p>
    <w:p>
      <w:pPr>
        <w:spacing w:after="0" w:line="9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company mitigates certain financial exposures to interest rate risk and foreign currency exchange rate risk through the use of derivative financial instruments as part of its risk management program. The company does not use derivative instruments for trading purposes. All derivatives have been designated as cash flow hedges.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derivative instruments and their location in the consolidated balance sheets at December 31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640" w:type="dxa"/>
            <w:vAlign w:val="bottom"/>
            <w:vMerge w:val="restart"/>
          </w:tcPr>
          <w:p>
            <w:pPr>
              <w:jc w:val="right"/>
              <w:ind w:right="1992"/>
              <w:spacing w:after="0"/>
              <w:rPr>
                <w:sz w:val="20"/>
                <w:szCs w:val="20"/>
                <w:color w:val="auto"/>
              </w:rPr>
            </w:pPr>
            <w:r>
              <w:rPr>
                <w:rFonts w:ascii="Arial" w:cs="Arial" w:eastAsia="Arial" w:hAnsi="Arial"/>
                <w:sz w:val="14"/>
                <w:szCs w:val="14"/>
                <w:b w:val="1"/>
                <w:bCs w:val="1"/>
                <w:color w:val="auto"/>
              </w:rPr>
              <w:t>Location</w:t>
            </w:r>
          </w:p>
        </w:tc>
        <w:tc>
          <w:tcPr>
            <w:tcW w:w="340" w:type="dxa"/>
            <w:vAlign w:val="bottom"/>
          </w:tcPr>
          <w:p>
            <w:pPr>
              <w:spacing w:after="0"/>
              <w:rPr>
                <w:sz w:val="14"/>
                <w:szCs w:val="14"/>
                <w:color w:val="auto"/>
              </w:rPr>
            </w:pPr>
          </w:p>
        </w:tc>
        <w:tc>
          <w:tcPr>
            <w:tcW w:w="11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 millions)</w:t>
            </w:r>
          </w:p>
        </w:tc>
        <w:tc>
          <w:tcPr>
            <w:tcW w:w="1880" w:type="dxa"/>
            <w:vAlign w:val="bottom"/>
          </w:tcPr>
          <w:p>
            <w:pPr>
              <w:spacing w:after="0"/>
              <w:rPr>
                <w:sz w:val="13"/>
                <w:szCs w:val="13"/>
                <w:color w:val="auto"/>
              </w:rPr>
            </w:pPr>
          </w:p>
        </w:tc>
        <w:tc>
          <w:tcPr>
            <w:tcW w:w="4640" w:type="dxa"/>
            <w:vAlign w:val="bottom"/>
            <w:vMerge w:val="continue"/>
          </w:tcPr>
          <w:p>
            <w:pPr>
              <w:spacing w:after="0"/>
              <w:rPr>
                <w:sz w:val="13"/>
                <w:szCs w:val="13"/>
                <w:color w:val="auto"/>
              </w:rPr>
            </w:pPr>
          </w:p>
        </w:tc>
        <w:tc>
          <w:tcPr>
            <w:tcW w:w="740" w:type="dxa"/>
            <w:vAlign w:val="bottom"/>
            <w:gridSpan w:val="2"/>
          </w:tcPr>
          <w:p>
            <w:pPr>
              <w:jc w:val="right"/>
              <w:ind w:right="2"/>
              <w:spacing w:after="0" w:line="155" w:lineRule="exact"/>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3"/>
                <w:szCs w:val="13"/>
                <w:color w:val="auto"/>
              </w:rPr>
            </w:pPr>
          </w:p>
        </w:tc>
        <w:tc>
          <w:tcPr>
            <w:tcW w:w="4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contracts</w:t>
            </w:r>
          </w:p>
        </w:tc>
        <w:tc>
          <w:tcPr>
            <w:tcW w:w="652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Other current liabilities</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Interest rate contracts</w:t>
            </w:r>
          </w:p>
        </w:tc>
        <w:tc>
          <w:tcPr>
            <w:tcW w:w="6520" w:type="dxa"/>
            <w:vAlign w:val="bottom"/>
            <w:gridSpan w:val="2"/>
          </w:tcPr>
          <w:p>
            <w:pPr>
              <w:ind w:left="188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88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520" w:type="dxa"/>
            <w:vAlign w:val="bottom"/>
            <w:gridSpan w:val="2"/>
            <w:vMerge w:val="restart"/>
          </w:tcPr>
          <w:p>
            <w:pPr>
              <w:jc w:val="right"/>
              <w:ind w:right="4032"/>
              <w:spacing w:after="0"/>
              <w:rPr>
                <w:sz w:val="20"/>
                <w:szCs w:val="20"/>
                <w:color w:val="auto"/>
              </w:rPr>
            </w:pPr>
            <w:r>
              <w:rPr>
                <w:rFonts w:ascii="Arial" w:cs="Arial" w:eastAsia="Arial" w:hAnsi="Arial"/>
                <w:sz w:val="18"/>
                <w:szCs w:val="18"/>
                <w:color w:val="auto"/>
              </w:rPr>
              <w:t>119</w:t>
            </w: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effect of derivative instruments on the consolidated statements of income and consolidated statements of shareholders’ equity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80" w:type="dxa"/>
            <w:vAlign w:val="bottom"/>
            <w:gridSpan w:val="3"/>
          </w:tcPr>
          <w:p>
            <w:pPr>
              <w:ind w:left="260"/>
              <w:spacing w:after="0"/>
              <w:rPr>
                <w:sz w:val="20"/>
                <w:szCs w:val="20"/>
                <w:color w:val="auto"/>
              </w:rPr>
            </w:pPr>
            <w:r>
              <w:rPr>
                <w:rFonts w:ascii="Arial" w:cs="Arial" w:eastAsia="Arial" w:hAnsi="Arial"/>
                <w:sz w:val="14"/>
                <w:szCs w:val="14"/>
                <w:b w:val="1"/>
                <w:bCs w:val="1"/>
                <w:color w:val="auto"/>
              </w:rPr>
              <w:t>Gains (Losses)</w:t>
            </w:r>
          </w:p>
        </w:tc>
        <w:tc>
          <w:tcPr>
            <w:tcW w:w="100" w:type="dxa"/>
            <w:vAlign w:val="bottom"/>
          </w:tcPr>
          <w:p>
            <w:pPr>
              <w:spacing w:after="0"/>
              <w:rPr>
                <w:sz w:val="14"/>
                <w:szCs w:val="14"/>
                <w:color w:val="auto"/>
              </w:rPr>
            </w:pPr>
          </w:p>
        </w:tc>
        <w:tc>
          <w:tcPr>
            <w:tcW w:w="2980" w:type="dxa"/>
            <w:vAlign w:val="bottom"/>
            <w:gridSpan w:val="5"/>
          </w:tcPr>
          <w:p>
            <w:pPr>
              <w:ind w:left="900"/>
              <w:spacing w:after="0"/>
              <w:rPr>
                <w:sz w:val="20"/>
                <w:szCs w:val="20"/>
                <w:color w:val="auto"/>
              </w:rPr>
            </w:pPr>
            <w:r>
              <w:rPr>
                <w:rFonts w:ascii="Arial" w:cs="Arial" w:eastAsia="Arial" w:hAnsi="Arial"/>
                <w:sz w:val="14"/>
                <w:szCs w:val="14"/>
                <w:b w:val="1"/>
                <w:bCs w:val="1"/>
                <w:color w:val="auto"/>
              </w:rPr>
              <w:t>Gains (Losses) Reclassified</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40" w:type="dxa"/>
            <w:vAlign w:val="bottom"/>
            <w:gridSpan w:val="3"/>
          </w:tcPr>
          <w:p>
            <w:pPr>
              <w:jc w:val="center"/>
              <w:ind w:left="984"/>
              <w:spacing w:after="0"/>
              <w:rPr>
                <w:sz w:val="20"/>
                <w:szCs w:val="20"/>
                <w:color w:val="auto"/>
              </w:rPr>
            </w:pPr>
            <w:r>
              <w:rPr>
                <w:rFonts w:ascii="Arial" w:cs="Arial" w:eastAsia="Arial" w:hAnsi="Arial"/>
                <w:sz w:val="14"/>
                <w:szCs w:val="14"/>
                <w:b w:val="1"/>
                <w:bCs w:val="1"/>
                <w:color w:val="auto"/>
                <w:w w:val="83"/>
              </w:rPr>
              <w:t>Gains (Losses)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3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8"/>
              </w:rPr>
              <w:t>Recognized in OCI</w:t>
            </w:r>
          </w:p>
        </w:tc>
        <w:tc>
          <w:tcPr>
            <w:tcW w:w="100" w:type="dxa"/>
            <w:vAlign w:val="bottom"/>
          </w:tcPr>
          <w:p>
            <w:pPr>
              <w:spacing w:after="0"/>
              <w:rPr>
                <w:sz w:val="15"/>
                <w:szCs w:val="15"/>
                <w:color w:val="auto"/>
              </w:rPr>
            </w:pPr>
          </w:p>
        </w:tc>
        <w:tc>
          <w:tcPr>
            <w:tcW w:w="23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w w:val="89"/>
              </w:rPr>
              <w:t>from Accumulated OCI</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340" w:type="dxa"/>
            <w:vAlign w:val="bottom"/>
            <w:tcBorders>
              <w:bottom w:val="single" w:sz="8" w:color="auto"/>
            </w:tcBorders>
            <w:gridSpan w:val="3"/>
          </w:tcPr>
          <w:p>
            <w:pPr>
              <w:jc w:val="center"/>
              <w:ind w:left="984"/>
              <w:spacing w:after="0"/>
              <w:rPr>
                <w:sz w:val="20"/>
                <w:szCs w:val="20"/>
                <w:color w:val="auto"/>
              </w:rPr>
            </w:pPr>
            <w:r>
              <w:rPr>
                <w:rFonts w:ascii="Arial" w:cs="Arial" w:eastAsia="Arial" w:hAnsi="Arial"/>
                <w:sz w:val="14"/>
                <w:szCs w:val="14"/>
                <w:b w:val="1"/>
                <w:bCs w:val="1"/>
                <w:color w:val="auto"/>
                <w:w w:val="86"/>
              </w:rPr>
              <w:t>Recognized in Income</w:t>
            </w:r>
          </w:p>
        </w:tc>
        <w:tc>
          <w:tcPr>
            <w:tcW w:w="4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 millions)</w:t>
            </w:r>
          </w:p>
        </w:tc>
        <w:tc>
          <w:tcPr>
            <w:tcW w:w="54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7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2360" w:type="dxa"/>
            <w:vAlign w:val="bottom"/>
            <w:gridSpan w:val="3"/>
          </w:tcPr>
          <w:p>
            <w:pPr>
              <w:ind w:left="820"/>
              <w:spacing w:after="0" w:line="155" w:lineRule="exact"/>
              <w:rPr>
                <w:sz w:val="20"/>
                <w:szCs w:val="20"/>
                <w:color w:val="auto"/>
              </w:rPr>
            </w:pPr>
            <w:r>
              <w:rPr>
                <w:rFonts w:ascii="Arial" w:cs="Arial" w:eastAsia="Arial" w:hAnsi="Arial"/>
                <w:sz w:val="14"/>
                <w:szCs w:val="14"/>
                <w:b w:val="1"/>
                <w:bCs w:val="1"/>
                <w:color w:val="auto"/>
              </w:rPr>
              <w:t>Location</w:t>
            </w:r>
          </w:p>
        </w:tc>
        <w:tc>
          <w:tcPr>
            <w:tcW w:w="520" w:type="dxa"/>
            <w:vAlign w:val="bottom"/>
          </w:tcPr>
          <w:p>
            <w:pPr>
              <w:jc w:val="right"/>
              <w:ind w:right="97"/>
              <w:spacing w:after="0" w:line="155"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c>
          <w:tcPr>
            <w:tcW w:w="360" w:type="dxa"/>
            <w:vAlign w:val="bottom"/>
          </w:tcPr>
          <w:p>
            <w:pPr>
              <w:ind w:left="60"/>
              <w:spacing w:after="0" w:line="155" w:lineRule="exact"/>
              <w:rPr>
                <w:sz w:val="20"/>
                <w:szCs w:val="20"/>
                <w:color w:val="auto"/>
              </w:rPr>
            </w:pPr>
            <w:r>
              <w:rPr>
                <w:rFonts w:ascii="Arial" w:cs="Arial" w:eastAsia="Arial" w:hAnsi="Arial"/>
                <w:sz w:val="14"/>
                <w:szCs w:val="14"/>
                <w:b w:val="1"/>
                <w:bCs w:val="1"/>
                <w:color w:val="auto"/>
                <w:w w:val="89"/>
              </w:rPr>
              <w:t>2008</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340" w:type="dxa"/>
            <w:vAlign w:val="bottom"/>
            <w:gridSpan w:val="3"/>
          </w:tcPr>
          <w:p>
            <w:pPr>
              <w:ind w:left="820"/>
              <w:spacing w:after="0" w:line="155" w:lineRule="exact"/>
              <w:rPr>
                <w:sz w:val="20"/>
                <w:szCs w:val="20"/>
                <w:color w:val="auto"/>
              </w:rPr>
            </w:pPr>
            <w:r>
              <w:rPr>
                <w:rFonts w:ascii="Arial" w:cs="Arial" w:eastAsia="Arial" w:hAnsi="Arial"/>
                <w:sz w:val="14"/>
                <w:szCs w:val="14"/>
                <w:b w:val="1"/>
                <w:bCs w:val="1"/>
                <w:color w:val="auto"/>
              </w:rPr>
              <w:t>Location</w:t>
            </w:r>
          </w:p>
        </w:tc>
        <w:tc>
          <w:tcPr>
            <w:tcW w:w="420" w:type="dxa"/>
            <w:vAlign w:val="bottom"/>
          </w:tcPr>
          <w:p>
            <w:pPr>
              <w:jc w:val="right"/>
              <w:ind w:right="37"/>
              <w:spacing w:after="0" w:line="155" w:lineRule="exact"/>
              <w:rPr>
                <w:sz w:val="20"/>
                <w:szCs w:val="20"/>
                <w:color w:val="auto"/>
              </w:rPr>
            </w:pPr>
            <w:r>
              <w:rPr>
                <w:rFonts w:ascii="Arial" w:cs="Arial" w:eastAsia="Arial" w:hAnsi="Arial"/>
                <w:sz w:val="14"/>
                <w:szCs w:val="14"/>
                <w:b w:val="1"/>
                <w:bCs w:val="1"/>
                <w:color w:val="auto"/>
                <w:w w:val="89"/>
              </w:rPr>
              <w:t>2009</w:t>
            </w:r>
          </w:p>
        </w:tc>
        <w:tc>
          <w:tcPr>
            <w:tcW w:w="640" w:type="dxa"/>
            <w:vAlign w:val="bottom"/>
            <w:gridSpan w:val="2"/>
          </w:tcPr>
          <w:p>
            <w:pPr>
              <w:jc w:val="right"/>
              <w:ind w:right="52"/>
              <w:spacing w:after="0" w:line="155"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Interest rate contracts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6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Interest and other borrowing</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0" w:type="dxa"/>
            <w:vAlign w:val="bottom"/>
            <w:gridSpan w:val="4"/>
            <w:shd w:val="clear" w:color="auto" w:fill="CCEEFF"/>
          </w:tcPr>
          <w:p>
            <w:pPr>
              <w:ind w:left="60"/>
              <w:spacing w:after="0" w:line="201" w:lineRule="exact"/>
              <w:rPr>
                <w:sz w:val="20"/>
                <w:szCs w:val="20"/>
                <w:color w:val="auto"/>
              </w:rPr>
            </w:pPr>
            <w:r>
              <w:rPr>
                <w:rFonts w:ascii="Arial" w:cs="Arial" w:eastAsia="Arial" w:hAnsi="Arial"/>
                <w:sz w:val="18"/>
                <w:szCs w:val="18"/>
                <w:color w:val="auto"/>
              </w:rPr>
              <w:t>Gains (losses) on derivative</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$12.2</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7"/>
              </w:rPr>
              <w:t>$(34.3)</w:t>
            </w:r>
          </w:p>
        </w:tc>
        <w:tc>
          <w:tcPr>
            <w:tcW w:w="100" w:type="dxa"/>
            <w:vAlign w:val="bottom"/>
            <w:shd w:val="clear" w:color="auto" w:fill="CCEEFF"/>
          </w:tcPr>
          <w:p>
            <w:pPr>
              <w:spacing w:after="0"/>
              <w:rPr>
                <w:sz w:val="19"/>
                <w:szCs w:val="19"/>
                <w:color w:val="auto"/>
              </w:rPr>
            </w:pPr>
          </w:p>
        </w:tc>
        <w:tc>
          <w:tcPr>
            <w:tcW w:w="23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costs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$(21.0)</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$1.1</w:t>
            </w:r>
          </w:p>
        </w:tc>
        <w:tc>
          <w:tcPr>
            <w:tcW w:w="60" w:type="dxa"/>
            <w:vAlign w:val="bottom"/>
            <w:shd w:val="clear" w:color="auto" w:fill="CCEEFF"/>
          </w:tcPr>
          <w:p>
            <w:pPr>
              <w:spacing w:after="0"/>
              <w:rPr>
                <w:sz w:val="19"/>
                <w:szCs w:val="19"/>
                <w:color w:val="auto"/>
              </w:rPr>
            </w:pPr>
          </w:p>
        </w:tc>
        <w:tc>
          <w:tcPr>
            <w:tcW w:w="2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investments</w:t>
            </w: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0"/>
              </w:rPr>
              <w:t>$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Foreign exchange contracts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Gains (losses) on derivative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0" w:type="dxa"/>
            <w:vAlign w:val="bottom"/>
            <w:gridSpan w:val="4"/>
          </w:tcPr>
          <w:p>
            <w:pPr>
              <w:ind w:left="60"/>
              <w:spacing w:after="0"/>
              <w:rPr>
                <w:sz w:val="20"/>
                <w:szCs w:val="20"/>
                <w:color w:val="auto"/>
              </w:rPr>
            </w:pPr>
            <w:r>
              <w:rPr>
                <w:rFonts w:ascii="Arial" w:cs="Arial" w:eastAsia="Arial" w:hAnsi="Arial"/>
                <w:sz w:val="18"/>
                <w:szCs w:val="18"/>
                <w:color w:val="auto"/>
              </w:rPr>
              <w:t>Gains (losses) on derivative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60" w:type="dxa"/>
            <w:vAlign w:val="bottom"/>
            <w:gridSpan w:val="2"/>
          </w:tcPr>
          <w:p>
            <w:pPr>
              <w:ind w:left="220"/>
              <w:spacing w:after="0"/>
              <w:rPr>
                <w:sz w:val="20"/>
                <w:szCs w:val="20"/>
                <w:color w:val="auto"/>
              </w:rPr>
            </w:pPr>
            <w:r>
              <w:rPr>
                <w:rFonts w:ascii="Arial" w:cs="Arial" w:eastAsia="Arial" w:hAnsi="Arial"/>
                <w:sz w:val="18"/>
                <w:szCs w:val="18"/>
                <w:color w:val="auto"/>
              </w:rPr>
              <w:t>investments</w:t>
            </w: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$12.2</w:t>
            </w:r>
          </w:p>
        </w:tc>
        <w:tc>
          <w:tcPr>
            <w:tcW w:w="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7"/>
              </w:rPr>
              <w:t>$(34.3)</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$(21.0)</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6"/>
              </w:rPr>
              <w:t>$1.1</w:t>
            </w:r>
          </w:p>
        </w:tc>
        <w:tc>
          <w:tcPr>
            <w:tcW w:w="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w w:val="90"/>
              </w:rPr>
              <w:t>$ —</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240"/>
        <w:spacing w:after="0" w:line="262" w:lineRule="auto"/>
        <w:rPr>
          <w:sz w:val="20"/>
          <w:szCs w:val="20"/>
          <w:color w:val="auto"/>
        </w:rPr>
      </w:pPr>
      <w:r>
        <w:rPr>
          <w:rFonts w:ascii="Arial" w:cs="Arial" w:eastAsia="Arial" w:hAnsi="Arial"/>
          <w:sz w:val="18"/>
          <w:szCs w:val="18"/>
          <w:b w:val="1"/>
          <w:bCs w:val="1"/>
          <w:color w:val="auto"/>
        </w:rPr>
        <w:t xml:space="preserve">Interest Rate Derivatives. </w:t>
      </w:r>
      <w:r>
        <w:rPr>
          <w:rFonts w:ascii="Arial" w:cs="Arial" w:eastAsia="Arial" w:hAnsi="Arial"/>
          <w:sz w:val="18"/>
          <w:szCs w:val="18"/>
          <w:color w:val="auto"/>
        </w:rPr>
        <w:t>In connection with the issuance of floating rate debt in August and October 2008, the company entered into three interest rate swap</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contracts, designated as cash flow hedges, for purposes of hedging against a change in interest payments due to fluctuations in the underlying benchmark rate. These swaps are highly effective.</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To mitigate counterparty credit risk, the interest rate swap contracts require collateralization by both counterparties for the swaps’ aggregate net fair value.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Collateral, which is maintained in the form of cash, is adjusted and transferred on a daily basis.</w:t>
      </w:r>
    </w:p>
    <w:p>
      <w:pPr>
        <w:spacing w:after="0" w:line="15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color w:val="auto"/>
        </w:rPr>
        <w:t xml:space="preserve">Foreign Currency Derivatives. </w:t>
      </w:r>
      <w:r>
        <w:rPr>
          <w:rFonts w:ascii="Arial" w:cs="Arial" w:eastAsia="Arial" w:hAnsi="Arial"/>
          <w:sz w:val="16"/>
          <w:szCs w:val="16"/>
          <w:color w:val="auto"/>
        </w:rPr>
        <w:t>In connection with its purchase of BM&amp;FBOVESPA stock in February 2008, CME Group purchased a put option to hedge</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changes in the fair value of BM&amp;FBOVESPA stock resulting from foreign currency rate fluctuations between the U.S. dollar and the Brazilian real (BRL) beyond the option’s exercise price. Lehman Brothers Special Financing Inc. (LBSF) was the sole counterparty to this option contract. On September 15, 2008, Lehman Brothers Holdings Inc. (Lehman) filed for protection under Chapter 11 of the United States Bankruptcy Code. The bankruptcy filing of Lehman was an event of default that gave the company the right to immediately terminate the put option agreement with LBSF. To mitigate credit risk, the derivative agreement required CME Group’s counterparty to collateralize substantially all of the option’s fair value with cash or U.S. Treasury securities. Upon termination of the option agreement, the company recognized a loss of $2.0 million due to the shortfall in collateralization.</w:t>
      </w:r>
    </w:p>
    <w:p>
      <w:pPr>
        <w:spacing w:after="0" w:line="11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BM&amp;FBOVESPA stock is currently carried at cost due to restrictions on CME Group’s ability to sell the stock. The company has not re-established a hedge against changes in fair value of the stock resulting from foreign currency exchange rate fluctuations.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During 2008, the company recognized a loss of $5.9 million due to the changes in the fair value of this option contract.</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280"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 CAPITAL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Shares Outstanding. </w:t>
      </w:r>
      <w:r>
        <w:rPr>
          <w:rFonts w:ascii="Arial" w:cs="Arial" w:eastAsia="Arial" w:hAnsi="Arial"/>
          <w:sz w:val="18"/>
          <w:szCs w:val="18"/>
          <w:color w:val="auto"/>
        </w:rPr>
        <w:t>The following table presents information regarding capital stock:</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360" w:type="dxa"/>
            <w:vAlign w:val="bottom"/>
            <w:gridSpan w:val="3"/>
            <w:vMerge w:val="continue"/>
          </w:tcPr>
          <w:p>
            <w:pPr>
              <w:spacing w:after="0"/>
              <w:rPr>
                <w:sz w:val="12"/>
                <w:szCs w:val="12"/>
                <w:color w:val="auto"/>
              </w:rPr>
            </w:pPr>
          </w:p>
        </w:tc>
        <w:tc>
          <w:tcPr>
            <w:tcW w:w="920" w:type="dxa"/>
            <w:vAlign w:val="bottom"/>
            <w:tcBorders>
              <w:top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2009</w:t>
            </w:r>
          </w:p>
        </w:tc>
        <w:tc>
          <w:tcPr>
            <w:tcW w:w="114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authorized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Class A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66,511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66,417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B-1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Class B-2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B-3 common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Class B-4 common stock</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CME Group has no shares of preferred stock issued and outstanding.</w:t>
      </w:r>
    </w:p>
    <w:p>
      <w:pPr>
        <w:spacing w:after="0" w:line="171" w:lineRule="exact"/>
        <w:rPr>
          <w:sz w:val="20"/>
          <w:szCs w:val="20"/>
          <w:color w:val="auto"/>
        </w:rPr>
      </w:pPr>
    </w:p>
    <w:p>
      <w:pPr>
        <w:ind w:right="540"/>
        <w:spacing w:after="0" w:line="305" w:lineRule="auto"/>
        <w:rPr>
          <w:sz w:val="20"/>
          <w:szCs w:val="20"/>
          <w:color w:val="auto"/>
        </w:rPr>
      </w:pPr>
      <w:r>
        <w:rPr>
          <w:rFonts w:ascii="Arial" w:cs="Arial" w:eastAsia="Arial" w:hAnsi="Arial"/>
          <w:sz w:val="15"/>
          <w:szCs w:val="15"/>
          <w:color w:val="auto"/>
        </w:rPr>
        <w:t>On August 1, 2007, CME Group commenced a fixed price tender offer for up to 6.3 million shares of its Class A common stock (including the associated preferred stock purchase rights) at a price of $560 per share. The tender offer was completed on September 5, 2007 and CME Group accepted for purchase</w:t>
      </w:r>
    </w:p>
    <w:p>
      <w:pPr>
        <w:ind w:right="320"/>
        <w:spacing w:after="0" w:line="261" w:lineRule="auto"/>
        <w:rPr>
          <w:sz w:val="20"/>
          <w:szCs w:val="20"/>
          <w:color w:val="auto"/>
        </w:rPr>
      </w:pPr>
      <w:r>
        <w:rPr>
          <w:rFonts w:ascii="Arial" w:cs="Arial" w:eastAsia="Arial" w:hAnsi="Arial"/>
          <w:sz w:val="18"/>
          <w:szCs w:val="18"/>
          <w:color w:val="auto"/>
        </w:rPr>
        <w:t>1.7 million shares of its Class A common stock (including associated preferred stock purchase rights), representing approximately 3% of the Class A common stock outstanding at the time of purchase.</w:t>
      </w:r>
    </w:p>
    <w:p>
      <w:pPr>
        <w:spacing w:after="0" w:line="132"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color w:val="auto"/>
        </w:rPr>
        <w:t xml:space="preserve">Associated Trading Rights. </w:t>
      </w:r>
      <w:r>
        <w:rPr>
          <w:rFonts w:ascii="Arial" w:cs="Arial" w:eastAsia="Arial" w:hAnsi="Arial"/>
          <w:sz w:val="16"/>
          <w:szCs w:val="16"/>
          <w:color w:val="auto"/>
        </w:rPr>
        <w:t>Members of CME, CBOT, NYMEX and COMEX own or lease trading rights which entitle them access to the trading floors,</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discounts on trading fees and the right to vote on certain exchange matters as provided for by the rules of the particular exchange and CME Group’s or the subsidiaries’ organizational documents. Each class of CME Group Class B common stock is associated with a membership in a specific division for trading at CME. A CME trading right is a separate asset that is not part of or evidenced by the associated share of Class B common stock of CME Group. The Class B common stock of CME Group is intended only to ensure that the Class B shareholders of CME Group retain rights with respect to representation on the board of directors and approval rights with respect to the core rights described below.</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Trading rights at CBOT are evidenced by Class B memberships in CBOT, at NYMEX by Class A memberships in NYMEX and at COMEX by COMEX Division Memberships in COMEX. Members of the CBOT, NYMEX and COMEX exchanges do not have any rights to elect members of the board of directors and are not entitled to receive dividends or other distributions on their memberships. The company is, however, required to have at least 10 CBOT directors (as defined by its bylaws) until its 2012 annual meeting.</w:t>
      </w:r>
    </w:p>
    <w:p>
      <w:pPr>
        <w:spacing w:after="0" w:line="13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Core Rights. </w:t>
      </w:r>
      <w:r>
        <w:rPr>
          <w:rFonts w:ascii="Arial" w:cs="Arial" w:eastAsia="Arial" w:hAnsi="Arial"/>
          <w:sz w:val="16"/>
          <w:szCs w:val="16"/>
          <w:color w:val="auto"/>
        </w:rPr>
        <w:t>Holders of CME Group Class B common shares have the right to approve changes in specified rights relating to the trading privileges at CME</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associated with those shares. These core rights include allocation of products that a holder of trading rights is permitted to trade through the exchange; the trading floor access rights and privileges of members; the number of memberships in each membership class and the number of authorized and issued shares of Class B common stock associated with that class; and eligibility requirements to exercise trading rights associated with Class B shares. Votes on changes to these core rights are weighted by class. Each class of Class B common stock has the following number of votes on matters relating to core rights: Class B-1, six votes per share; Class B-2, two votes per share; Class B-3, one vote per share; and Class B-4, 1/6th of one vote per share. The approval of a majority of the votes cast by the holders of shares of Class B common stock is required in order to approve any changes to core rights. Holders of shares of Class A common stock do not have the right to vote on changes to core rights.</w:t>
      </w:r>
    </w:p>
    <w:p>
      <w:pPr>
        <w:spacing w:after="0" w:line="112"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Voting Rights. </w:t>
      </w:r>
      <w:r>
        <w:rPr>
          <w:rFonts w:ascii="Arial" w:cs="Arial" w:eastAsia="Arial" w:hAnsi="Arial"/>
          <w:sz w:val="18"/>
          <w:szCs w:val="18"/>
          <w:color w:val="auto"/>
        </w:rPr>
        <w:t>With the exception of the matters reserved to holders of CME Group Class B common stock, holders of common stock vote together on all</w:t>
      </w:r>
      <w:r>
        <w:rPr>
          <w:rFonts w:ascii="Arial" w:cs="Arial" w:eastAsia="Arial" w:hAnsi="Arial"/>
          <w:sz w:val="18"/>
          <w:szCs w:val="18"/>
          <w:b w:val="1"/>
          <w:bCs w:val="1"/>
          <w:color w:val="auto"/>
        </w:rPr>
        <w:t xml:space="preserve"> </w:t>
      </w:r>
      <w:r>
        <w:rPr>
          <w:rFonts w:ascii="Arial" w:cs="Arial" w:eastAsia="Arial" w:hAnsi="Arial"/>
          <w:sz w:val="18"/>
          <w:szCs w:val="18"/>
          <w:color w:val="auto"/>
        </w:rPr>
        <w:t>matters for which a vote of common shareholders is required. In these votes, each holder of shares of Class A or Class B common stock of CME Group has one vote per share.</w:t>
      </w:r>
    </w:p>
    <w:p>
      <w:pPr>
        <w:spacing w:after="0" w:line="132" w:lineRule="exact"/>
        <w:rPr>
          <w:sz w:val="20"/>
          <w:szCs w:val="20"/>
          <w:color w:val="auto"/>
        </w:rPr>
      </w:pPr>
    </w:p>
    <w:p>
      <w:pPr>
        <w:ind w:right="200"/>
        <w:spacing w:after="0" w:line="339" w:lineRule="auto"/>
        <w:rPr>
          <w:sz w:val="20"/>
          <w:szCs w:val="20"/>
          <w:color w:val="auto"/>
        </w:rPr>
      </w:pPr>
      <w:r>
        <w:rPr>
          <w:rFonts w:ascii="Arial" w:cs="Arial" w:eastAsia="Arial" w:hAnsi="Arial"/>
          <w:sz w:val="16"/>
          <w:szCs w:val="16"/>
          <w:b w:val="1"/>
          <w:bCs w:val="1"/>
          <w:color w:val="auto"/>
        </w:rPr>
        <w:t xml:space="preserve">Transfer Restrictions. </w:t>
      </w:r>
      <w:r>
        <w:rPr>
          <w:rFonts w:ascii="Arial" w:cs="Arial" w:eastAsia="Arial" w:hAnsi="Arial"/>
          <w:sz w:val="16"/>
          <w:szCs w:val="16"/>
          <w:color w:val="auto"/>
        </w:rPr>
        <w:t>Each class of CME Group Class B common stock is subject to transfer restrictions contained in the Certificate of Incorporation of CME</w:t>
      </w:r>
      <w:r>
        <w:rPr>
          <w:rFonts w:ascii="Arial" w:cs="Arial" w:eastAsia="Arial" w:hAnsi="Arial"/>
          <w:sz w:val="16"/>
          <w:szCs w:val="16"/>
          <w:b w:val="1"/>
          <w:bCs w:val="1"/>
          <w:color w:val="auto"/>
        </w:rPr>
        <w:t xml:space="preserve"> </w:t>
      </w:r>
      <w:r>
        <w:rPr>
          <w:rFonts w:ascii="Arial" w:cs="Arial" w:eastAsia="Arial" w:hAnsi="Arial"/>
          <w:sz w:val="16"/>
          <w:szCs w:val="16"/>
          <w:color w:val="auto"/>
        </w:rPr>
        <w:t>Group. These transfer restrictions prohibit the sale or transfer of any shares of Class B common stock separate from the sale of the associated trading rights.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74" w:right="239" w:bottom="1440" w:gutter="0" w:footer="0" w:header="0"/>
        </w:sectPr>
      </w:pPr>
    </w:p>
    <w:bookmarkStart w:id="121" w:name="page122"/>
    <w:bookmarkEnd w:id="121"/>
    <w:p>
      <w:pPr>
        <w:ind w:right="60"/>
        <w:spacing w:after="0" w:line="30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Election of Directors. </w:t>
      </w:r>
      <w:r>
        <w:rPr>
          <w:rFonts w:ascii="Arial" w:cs="Arial" w:eastAsia="Arial" w:hAnsi="Arial"/>
          <w:sz w:val="16"/>
          <w:szCs w:val="16"/>
          <w:color w:val="auto"/>
        </w:rPr>
        <w:t>The CME Group Board of Directors is currently comprised of 32 members, including 10 CBOT directors (as defined by its bylaws). Until</w:t>
      </w:r>
      <w:r>
        <w:rPr>
          <w:rFonts w:ascii="Arial" w:cs="Arial" w:eastAsia="Arial" w:hAnsi="Arial"/>
          <w:sz w:val="16"/>
          <w:szCs w:val="16"/>
          <w:b w:val="1"/>
          <w:bCs w:val="1"/>
          <w:color w:val="auto"/>
        </w:rPr>
        <w:t xml:space="preserve"> </w:t>
      </w:r>
      <w:r>
        <w:rPr>
          <w:rFonts w:ascii="Arial" w:cs="Arial" w:eastAsia="Arial" w:hAnsi="Arial"/>
          <w:sz w:val="16"/>
          <w:szCs w:val="16"/>
          <w:color w:val="auto"/>
        </w:rPr>
        <w:t>CME Group’s 2012 annual meeting, its board must include at least 10 CBOT directors. Holders of Class A and Class B common stock have the right to vote together in the election of 26 directors. Holders of Class B-1, Class B-2 and Class B-3 common stock have the right to elect six directors, of which three are elected by Class B-1 shareholders, two are elected by Class B-2 shareholders and one is elected by Class B-3 shareholders.</w:t>
      </w:r>
    </w:p>
    <w:p>
      <w:pPr>
        <w:spacing w:after="0" w:line="103"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Holders of Class A and Class B common stock of CME Group are entitled to receive proportionately such dividends, if any, as may be declared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CME Group board of directors.</w:t>
      </w:r>
    </w:p>
    <w:p>
      <w:pPr>
        <w:spacing w:after="0" w:line="12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Ownership Requirements. </w:t>
      </w:r>
      <w:r>
        <w:rPr>
          <w:rFonts w:ascii="Arial" w:cs="Arial" w:eastAsia="Arial" w:hAnsi="Arial"/>
          <w:sz w:val="18"/>
          <w:szCs w:val="18"/>
          <w:color w:val="auto"/>
        </w:rPr>
        <w:t>As of December 31, 2009, each clearing firm clearing only CME, CBOT or NYMEX products was required to own 8,000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in addition to the requisite number of exchange memberships at the exchange in which the firm is seeking status as a clearing firm. For firms clearing products at two exchanges, the Class A common stock ownership requirement was 12,000 shares and for firms clearing at all exchanges, the requirement was 16,000 shares. The total Class A common stock held by our clearing firms pursuant to this requirement was 1.4 million shares at December 31, 2009.</w:t>
      </w:r>
    </w:p>
    <w:p>
      <w:pPr>
        <w:spacing w:after="0" w:line="139" w:lineRule="exact"/>
        <w:rPr>
          <w:sz w:val="20"/>
          <w:szCs w:val="20"/>
          <w:color w:val="auto"/>
        </w:rPr>
      </w:pPr>
    </w:p>
    <w:p>
      <w:pPr>
        <w:spacing w:after="0" w:line="313" w:lineRule="auto"/>
        <w:rPr>
          <w:sz w:val="20"/>
          <w:szCs w:val="20"/>
          <w:color w:val="auto"/>
        </w:rPr>
      </w:pPr>
      <w:r>
        <w:rPr>
          <w:rFonts w:ascii="Arial" w:cs="Arial" w:eastAsia="Arial" w:hAnsi="Arial"/>
          <w:sz w:val="15"/>
          <w:szCs w:val="15"/>
          <w:b w:val="1"/>
          <w:bCs w:val="1"/>
          <w:color w:val="auto"/>
        </w:rPr>
        <w:t xml:space="preserve">Shareholder Rights Provisions. </w:t>
      </w:r>
      <w:r>
        <w:rPr>
          <w:rFonts w:ascii="Arial" w:cs="Arial" w:eastAsia="Arial" w:hAnsi="Arial"/>
          <w:sz w:val="15"/>
          <w:szCs w:val="15"/>
          <w:color w:val="auto"/>
        </w:rPr>
        <w:t>The board of directors of CME Group has adopted a plan creating rights that entitle CME Group’s shareholders to purchase</w:t>
      </w:r>
      <w:r>
        <w:rPr>
          <w:rFonts w:ascii="Arial" w:cs="Arial" w:eastAsia="Arial" w:hAnsi="Arial"/>
          <w:sz w:val="15"/>
          <w:szCs w:val="15"/>
          <w:b w:val="1"/>
          <w:bCs w:val="1"/>
          <w:color w:val="auto"/>
        </w:rPr>
        <w:t xml:space="preserve"> </w:t>
      </w:r>
      <w:r>
        <w:rPr>
          <w:rFonts w:ascii="Arial" w:cs="Arial" w:eastAsia="Arial" w:hAnsi="Arial"/>
          <w:sz w:val="15"/>
          <w:szCs w:val="15"/>
          <w:color w:val="auto"/>
        </w:rPr>
        <w:t>shares of CME Group stock in the event that a third party initiates a transaction designed to take over the company. This rights plan is intended to encourage persons seeking to acquire control of CME Group to engage in arms-length negotiations with the board of directors and management. The rights are attached to all outstanding shares of CME Group common stock, and each right entitles the shareholder to purchase one one-thousandth of a share of Series A junior participating preferred stock at a purchase price of $1,000 per unit. The rights should not interfere with any merger or other business combination approved by the board of directors since the rights may be amended to permit such acquisition or redeemed by the company under the terms of the plan. In the event the rights become exercisable, each holder of a right shall receive, upon exercise, Class A common stock having a value equal to two times the exercise price of the right.</w:t>
      </w:r>
    </w:p>
    <w:p>
      <w:pPr>
        <w:spacing w:after="0" w:line="10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CME Group Omnibus Stock Plan. </w:t>
      </w:r>
      <w:r>
        <w:rPr>
          <w:rFonts w:ascii="Arial" w:cs="Arial" w:eastAsia="Arial" w:hAnsi="Arial"/>
          <w:sz w:val="18"/>
          <w:szCs w:val="18"/>
          <w:color w:val="auto"/>
        </w:rPr>
        <w:t>CME Group has adopted an Omnibus Stock Plan under which stock-based awards may be made to employees. A total of</w:t>
      </w:r>
      <w:r>
        <w:rPr>
          <w:rFonts w:ascii="Arial" w:cs="Arial" w:eastAsia="Arial" w:hAnsi="Arial"/>
          <w:sz w:val="18"/>
          <w:szCs w:val="18"/>
          <w:b w:val="1"/>
          <w:bCs w:val="1"/>
          <w:color w:val="auto"/>
        </w:rPr>
        <w:t xml:space="preserve"> </w:t>
      </w:r>
      <w:r>
        <w:rPr>
          <w:rFonts w:ascii="Arial" w:cs="Arial" w:eastAsia="Arial" w:hAnsi="Arial"/>
          <w:sz w:val="18"/>
          <w:szCs w:val="18"/>
          <w:color w:val="auto"/>
        </w:rPr>
        <w:t>8.0 million Class A shares have been reserved for awards under the plan. Awards totaling 3.6 million shares have been granted and are outstanding or have been exercised under this plan at December 31, 2009 (note 22).</w:t>
      </w:r>
    </w:p>
    <w:p>
      <w:pPr>
        <w:spacing w:after="0" w:line="132"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color w:val="auto"/>
        </w:rPr>
        <w:t xml:space="preserve">CBOT Holdings Long-Term Equity Incentive Plan. </w:t>
      </w:r>
      <w:r>
        <w:rPr>
          <w:rFonts w:ascii="Arial" w:cs="Arial" w:eastAsia="Arial" w:hAnsi="Arial"/>
          <w:sz w:val="16"/>
          <w:szCs w:val="16"/>
          <w:color w:val="auto"/>
        </w:rPr>
        <w:t>In connection with the merger with CBOT Holdings, CME Group assumed CBOT Holdings’ 2005 Long-Term Equity Incentive Plan. Under the plan, stock-based awards may be made to certain directors, officers and other key employees or individuals. A total of</w:t>
      </w:r>
    </w:p>
    <w:p>
      <w:pPr>
        <w:spacing w:after="0" w:line="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0.4 million shares have been reserved for awards under the plan. In connection with receiving shareholder approval to increase the amount of authorized shares under the Omnibus Stock Plan in May 2009, the company undertook to freeze future awards under this plan. As a result, 0.3 million shares that remained authorized for future awards under this plan were frozen.</w:t>
      </w:r>
    </w:p>
    <w:p>
      <w:pPr>
        <w:spacing w:after="0" w:line="138"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b w:val="1"/>
          <w:bCs w:val="1"/>
          <w:color w:val="auto"/>
        </w:rPr>
        <w:t xml:space="preserve">NYMEX Holdings Omnibus Long-Term Incentive Plan. </w:t>
      </w:r>
      <w:r>
        <w:rPr>
          <w:rFonts w:ascii="Arial" w:cs="Arial" w:eastAsia="Arial" w:hAnsi="Arial"/>
          <w:sz w:val="16"/>
          <w:szCs w:val="16"/>
          <w:color w:val="auto"/>
        </w:rPr>
        <w:t>In connection with the merger with NYMEX Holdings, CME Group assumed NYMEX Holdings’</w:t>
      </w:r>
      <w:r>
        <w:rPr>
          <w:rFonts w:ascii="Arial" w:cs="Arial" w:eastAsia="Arial" w:hAnsi="Arial"/>
          <w:sz w:val="16"/>
          <w:szCs w:val="16"/>
          <w:b w:val="1"/>
          <w:bCs w:val="1"/>
          <w:color w:val="auto"/>
        </w:rPr>
        <w:t xml:space="preserve"> </w:t>
      </w:r>
      <w:r>
        <w:rPr>
          <w:rFonts w:ascii="Arial" w:cs="Arial" w:eastAsia="Arial" w:hAnsi="Arial"/>
          <w:sz w:val="16"/>
          <w:szCs w:val="16"/>
          <w:color w:val="auto"/>
        </w:rPr>
        <w:t>2006 Omnibus Long-Term Incentive Plan. Under the plan, stock-based awards may be made to any director, officer or employee of the company and other key individuals providing services to the company. A total of 1.0 million shares have been reserved for awards under the plan. In connection with receiving shareholder approval to increase the amount of authorized shares under the Omnibus Stock Plan in May 2009, the company undertook to freeze future awards under this plan. As a result, 0.7 million shares that remained authorized for future awards under this plan were frozen.</w:t>
      </w:r>
    </w:p>
    <w:p>
      <w:pPr>
        <w:spacing w:after="0" w:line="10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auto"/>
        </w:rPr>
        <w:t xml:space="preserve">Director Stock Plan. </w:t>
      </w:r>
      <w:r>
        <w:rPr>
          <w:rFonts w:ascii="Arial" w:cs="Arial" w:eastAsia="Arial" w:hAnsi="Arial"/>
          <w:sz w:val="18"/>
          <w:szCs w:val="18"/>
          <w:color w:val="auto"/>
        </w:rPr>
        <w:t>CME Group has adopted a Director Stock Plan under which awards are made to non-executive directors as part of their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 total of 125,000 Class A shares have been reserved under this plan, and approximately 27,000 shares have been awarded through December 31, 2009.</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00"/>
          </w:cols>
          <w:pgMar w:left="240" w:top="274" w:right="259" w:bottom="1440" w:gutter="0" w:footer="0" w:header="0"/>
        </w:sectPr>
      </w:pPr>
    </w:p>
    <w:bookmarkStart w:id="122" w:name="page123"/>
    <w:bookmarkEnd w:id="122"/>
    <w:p>
      <w:pPr>
        <w:ind w:right="28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Employee Stock Purchase Plan. </w:t>
      </w:r>
      <w:r>
        <w:rPr>
          <w:rFonts w:ascii="Arial" w:cs="Arial" w:eastAsia="Arial" w:hAnsi="Arial"/>
          <w:sz w:val="18"/>
          <w:szCs w:val="18"/>
          <w:color w:val="auto"/>
        </w:rPr>
        <w:t>CME Group has adopted an Employee Stock Purchase Plan (ESPP) under which employees may purchase Class A shares at</w:t>
      </w:r>
      <w:r>
        <w:rPr>
          <w:rFonts w:ascii="Arial" w:cs="Arial" w:eastAsia="Arial" w:hAnsi="Arial"/>
          <w:sz w:val="18"/>
          <w:szCs w:val="18"/>
          <w:b w:val="1"/>
          <w:bCs w:val="1"/>
          <w:color w:val="auto"/>
        </w:rPr>
        <w:t xml:space="preserve"> </w:t>
      </w:r>
      <w:r>
        <w:rPr>
          <w:rFonts w:ascii="Arial" w:cs="Arial" w:eastAsia="Arial" w:hAnsi="Arial"/>
          <w:sz w:val="18"/>
          <w:szCs w:val="18"/>
          <w:color w:val="auto"/>
        </w:rPr>
        <w:t>90% of the market value of the shares using after-tax payroll deductions. A total of 40,000 Class A shares have been reserved under this plan, of which approximately 15,000 shares have been purchased through December 31, 2009 (note 22).</w:t>
      </w:r>
    </w:p>
    <w:p>
      <w:pPr>
        <w:spacing w:after="0" w:line="13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 xml:space="preserve">Share Repurchases. </w:t>
      </w:r>
      <w:r>
        <w:rPr>
          <w:rFonts w:ascii="Arial" w:cs="Arial" w:eastAsia="Arial" w:hAnsi="Arial"/>
          <w:sz w:val="16"/>
          <w:szCs w:val="16"/>
          <w:color w:val="auto"/>
        </w:rPr>
        <w:t>In June 2008, CME Group was authorized by its board of directors to pursue new initiatives to return capital to shareholders. The initiatives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a share buyback program of up to $1.1 billion of CME Group Class A common stock, subject to market conditions through December 2009. The board’s authorization permitted the repurchase of shares through the open market, an accelerated program, a tender offer or privately negotiated transactions. The company repurchased shares pursuant to a plan under Rule 10b5-1 of the Securities Exchange Act of 1934. The share repurchase plan did not obligate CME Group to repurchase any specific dollar amount or number of shares of its Class A common stock.</w:t>
      </w:r>
    </w:p>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January 2009, the company purchased approximately 139,000 shares at an average price of $195 per share for a total cost of $27.0 million. Subsequently, the company suspended its share repurchase program. The number of shares purchased under the program since inception was 922,000 shares at an average price per share of $272 for a total cost of $250.8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STOCK-BASED PAYMENTS</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CME Group adopted an Omnibus Stock Plan under which stock-based awards may be made to employees. A total of 8.0 million Class A shares have been reserved for awards under the plan. Awards totaling 3.6 million shares have been granted and are outstanding or have been exercised under the plan as of December 31, 2009. Awards granted since 2003 until 2009 generally vest over a five-year period, with 20% vesting one year after the grant date and on that same date in each of the following four years. Beginning in 2009, awards granted generally vest over a four-year period, with 25% vesting one year after the grant date and on that same date in each of the following three years.</w:t>
      </w:r>
    </w:p>
    <w:p>
      <w:pPr>
        <w:spacing w:after="0" w:line="14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Total compensation expense for stock-based payments was $33.4 million for the year ended December 31, 2009, $37.6 million for the year ended December 31, 2008, and $22.9 million for the year ended December 31, 2007. The total income tax benefit recognized in the consolidated statements of income for stock-based payment arrangements was $13.4 million, $15.1 million and $9.1 million for the years ended December 31, 2009, 2008 and 2007, respectively.</w:t>
      </w:r>
    </w:p>
    <w:p>
      <w:pPr>
        <w:spacing w:after="0" w:line="10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Excluding estimates of future forfeitures, at December 31, 2009, there was $64.9 million of total unrecognized compensation expense related to employee stock-based compensation arrangements that had not yet vested. That expense is expected to be recognized over a weighted average period of 2.2 years.</w:t>
      </w:r>
    </w:p>
    <w:p>
      <w:pPr>
        <w:spacing w:after="0" w:line="85"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In 2009, the company granted employees stock options totaling 175,980 shares under the Omnibus Stock Plan. The options have a ten-year term with exercise prices ranging from $195 to $332, the closing market prices on the grant dates. The fair value of these options totaled $20.6 million, measured at the grant dates using the Black-Scholes valuation model, which is recognized as compensation expense on an accelerated basis over the vesting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Black-Scholes fair value of each option grant was calculated using the following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Grant Date</w:t>
            </w: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35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520" w:type="dxa"/>
            <w:vAlign w:val="bottom"/>
            <w:tcBorders>
              <w:bottom w:val="single" w:sz="8" w:color="auto"/>
            </w:tcBorders>
            <w:gridSpan w:val="2"/>
          </w:tcPr>
          <w:p>
            <w:pPr>
              <w:jc w:val="right"/>
              <w:ind w:right="532"/>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4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680" w:type="dxa"/>
            <w:vAlign w:val="bottom"/>
          </w:tcPr>
          <w:p>
            <w:pPr>
              <w:spacing w:after="0"/>
              <w:rPr>
                <w:sz w:val="12"/>
                <w:szCs w:val="12"/>
                <w:color w:val="auto"/>
              </w:rPr>
            </w:pPr>
          </w:p>
        </w:tc>
        <w:tc>
          <w:tcPr>
            <w:tcW w:w="1480" w:type="dxa"/>
            <w:vAlign w:val="bottom"/>
            <w:tcBorders>
              <w:bottom w:val="single" w:sz="8" w:color="auto"/>
            </w:tcBorders>
            <w:gridSpan w:val="2"/>
          </w:tcPr>
          <w:p>
            <w:pPr>
              <w:jc w:val="right"/>
              <w:ind w:right="512"/>
              <w:spacing w:after="0" w:line="142" w:lineRule="exact"/>
              <w:rPr>
                <w:sz w:val="20"/>
                <w:szCs w:val="20"/>
                <w:color w:val="auto"/>
              </w:rPr>
            </w:pPr>
            <w:r>
              <w:rPr>
                <w:rFonts w:ascii="Arial" w:cs="Arial" w:eastAsia="Arial" w:hAnsi="Arial"/>
                <w:sz w:val="14"/>
                <w:szCs w:val="14"/>
                <w:b w:val="1"/>
                <w:bCs w:val="1"/>
                <w:color w:val="auto"/>
              </w:rPr>
              <w:t>2007</w:t>
            </w:r>
          </w:p>
        </w:tc>
      </w:tr>
      <w:tr>
        <w:trPr>
          <w:trHeight w:val="21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- 0.7%</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Expected volatility</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44.8%</w:t>
            </w:r>
          </w:p>
        </w:tc>
        <w:tc>
          <w:tcPr>
            <w:tcW w:w="800" w:type="dxa"/>
            <w:vAlign w:val="bottom"/>
          </w:tcPr>
          <w:p>
            <w:pPr>
              <w:ind w:left="20"/>
              <w:spacing w:after="0"/>
              <w:rPr>
                <w:sz w:val="20"/>
                <w:szCs w:val="20"/>
                <w:color w:val="auto"/>
              </w:rPr>
            </w:pPr>
            <w:r>
              <w:rPr>
                <w:rFonts w:ascii="Arial" w:cs="Arial" w:eastAsia="Arial" w:hAnsi="Arial"/>
                <w:sz w:val="18"/>
                <w:szCs w:val="18"/>
                <w:color w:val="auto"/>
              </w:rPr>
              <w:t>- 48.8%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800" w:type="dxa"/>
            <w:vAlign w:val="bottom"/>
          </w:tcPr>
          <w:p>
            <w:pPr>
              <w:ind w:left="20"/>
              <w:spacing w:after="0"/>
              <w:rPr>
                <w:sz w:val="20"/>
                <w:szCs w:val="20"/>
                <w:color w:val="auto"/>
              </w:rPr>
            </w:pPr>
            <w:r>
              <w:rPr>
                <w:rFonts w:ascii="Arial" w:cs="Arial" w:eastAsia="Arial" w:hAnsi="Arial"/>
                <w:sz w:val="18"/>
                <w:szCs w:val="18"/>
                <w:color w:val="auto"/>
              </w:rPr>
              <w:t>- 50.2%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800" w:type="dxa"/>
            <w:vAlign w:val="bottom"/>
          </w:tcPr>
          <w:p>
            <w:pPr>
              <w:ind w:left="20"/>
              <w:spacing w:after="0"/>
              <w:rPr>
                <w:sz w:val="20"/>
                <w:szCs w:val="20"/>
                <w:color w:val="auto"/>
              </w:rPr>
            </w:pPr>
            <w:r>
              <w:rPr>
                <w:rFonts w:ascii="Arial" w:cs="Arial" w:eastAsia="Arial" w:hAnsi="Arial"/>
                <w:sz w:val="18"/>
                <w:szCs w:val="18"/>
                <w:color w:val="auto"/>
              </w:rPr>
              <w:t>- 32.9%</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- 5.1%</w:t>
            </w:r>
          </w:p>
        </w:tc>
      </w:t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Expected life</w:t>
            </w:r>
          </w:p>
        </w:tc>
        <w:tc>
          <w:tcPr>
            <w:tcW w:w="2020" w:type="dxa"/>
            <w:vAlign w:val="bottom"/>
          </w:tcPr>
          <w:p>
            <w:pPr>
              <w:spacing w:after="0"/>
              <w:rPr>
                <w:sz w:val="19"/>
                <w:szCs w:val="19"/>
                <w:color w:val="auto"/>
              </w:rPr>
            </w:pPr>
          </w:p>
        </w:tc>
        <w:tc>
          <w:tcPr>
            <w:tcW w:w="1520" w:type="dxa"/>
            <w:vAlign w:val="bottom"/>
            <w:gridSpan w:val="2"/>
          </w:tcPr>
          <w:p>
            <w:pPr>
              <w:jc w:val="center"/>
              <w:spacing w:after="0"/>
              <w:rPr>
                <w:sz w:val="20"/>
                <w:szCs w:val="20"/>
                <w:color w:val="auto"/>
              </w:rPr>
            </w:pPr>
            <w:r>
              <w:rPr>
                <w:rFonts w:ascii="Arial" w:cs="Arial" w:eastAsia="Arial" w:hAnsi="Arial"/>
                <w:sz w:val="18"/>
                <w:szCs w:val="18"/>
                <w:color w:val="auto"/>
                <w:w w:val="87"/>
              </w:rPr>
              <w:t>6.2 to 6.5 years</w:t>
            </w:r>
          </w:p>
        </w:tc>
        <w:tc>
          <w:tcPr>
            <w:tcW w:w="68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6"/>
              </w:rPr>
              <w:t>6.5 years</w:t>
            </w:r>
          </w:p>
        </w:tc>
        <w:tc>
          <w:tcPr>
            <w:tcW w:w="680" w:type="dxa"/>
            <w:vAlign w:val="bottom"/>
          </w:tcPr>
          <w:p>
            <w:pPr>
              <w:spacing w:after="0"/>
              <w:rPr>
                <w:sz w:val="19"/>
                <w:szCs w:val="19"/>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color w:val="auto"/>
                <w:w w:val="86"/>
              </w:rPr>
              <w:t>6.5 years</w:t>
            </w:r>
          </w:p>
        </w:tc>
      </w:tr>
      <w:tr>
        <w:trPr>
          <w:trHeight w:val="356"/>
        </w:trPr>
        <w:tc>
          <w:tcPr>
            <w:tcW w:w="3560" w:type="dxa"/>
            <w:vAlign w:val="bottom"/>
          </w:tcPr>
          <w:p>
            <w:pPr>
              <w:spacing w:after="0"/>
              <w:rPr>
                <w:sz w:val="24"/>
                <w:szCs w:val="24"/>
                <w:color w:val="auto"/>
              </w:rPr>
            </w:pPr>
          </w:p>
        </w:tc>
        <w:tc>
          <w:tcPr>
            <w:tcW w:w="2740" w:type="dxa"/>
            <w:vAlign w:val="bottom"/>
            <w:gridSpan w:val="2"/>
          </w:tcPr>
          <w:p>
            <w:pPr>
              <w:jc w:val="right"/>
              <w:ind w:right="382"/>
              <w:spacing w:after="0"/>
              <w:rPr>
                <w:sz w:val="20"/>
                <w:szCs w:val="20"/>
                <w:color w:val="auto"/>
              </w:rPr>
            </w:pPr>
            <w:r>
              <w:rPr>
                <w:rFonts w:ascii="Arial" w:cs="Arial" w:eastAsia="Arial" w:hAnsi="Arial"/>
                <w:sz w:val="18"/>
                <w:szCs w:val="18"/>
                <w:color w:val="auto"/>
              </w:rPr>
              <w:t>123</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23" w:name="page124"/>
    <w:bookmarkEnd w:id="123"/>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dividend yield was calculated by dividing that year’s expected quarterly dividends by the market price of the stock at the dates of grant. Until December 2008, expected volatility was determined using a weighted-average implied volatility of traded options on the company’s stock. Historical volatility was evaluated, but it was determined that implied volatility was a better measure of expected future volatility. Beginning December 2008, a weighting of implied and historical volatility was used to estimate expected future volatility. The risk-free rate was based on the U.S. Treasury yield in effect at the time of each grant. The expected life of options granted has been determined using the simplified method as outlined in guidance from the Securities and Exchange Commission.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84"/>
              </w:rPr>
              <w:t>Number of Shares</w:t>
            </w: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1,131,985</w:t>
            </w:r>
          </w:p>
        </w:tc>
        <w:tc>
          <w:tcPr>
            <w:tcW w:w="9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175,980</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0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(124,486)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Cancelled</w:t>
            </w:r>
          </w:p>
        </w:tc>
        <w:tc>
          <w:tcPr>
            <w:tcW w:w="2000" w:type="dxa"/>
            <w:vAlign w:val="bottom"/>
            <w:gridSpan w:val="2"/>
          </w:tcPr>
          <w:p>
            <w:pPr>
              <w:jc w:val="right"/>
              <w:ind w:right="900"/>
              <w:spacing w:after="0"/>
              <w:rPr>
                <w:sz w:val="20"/>
                <w:szCs w:val="20"/>
                <w:color w:val="auto"/>
              </w:rPr>
            </w:pPr>
            <w:r>
              <w:rPr>
                <w:rFonts w:ascii="Arial" w:cs="Arial" w:eastAsia="Arial" w:hAnsi="Arial"/>
                <w:sz w:val="18"/>
                <w:szCs w:val="18"/>
                <w:color w:val="auto"/>
              </w:rPr>
              <w:t>(112,266)</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1,071,213</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2009</w:t>
            </w: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line="20" w:lineRule="exact"/>
              <w:rPr>
                <w:sz w:val="1"/>
                <w:szCs w:val="1"/>
                <w:color w:val="auto"/>
              </w:rPr>
            </w:pPr>
          </w:p>
        </w:tc>
      </w:tr>
      <w:tr>
        <w:trPr>
          <w:trHeight w:val="209"/>
        </w:trPr>
        <w:tc>
          <w:tcPr>
            <w:tcW w:w="8600" w:type="dxa"/>
            <w:vAlign w:val="bottom"/>
            <w:gridSpan w:val="2"/>
            <w:vMerge w:val="continue"/>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584,376</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The weighted average grant date fair value of options granted during the years 2009, 2008, and 2007 was $117, $174 and $197 per share, respectively. The total intrinsic value of options exercised during the years ended December 31, 2009, 2008 and 2007, was $14.6 million, $31.9 million and $140.9 million,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Stock options outstanding at December 31, 2009 had a weighted average remaining contractual life of 7 years and an aggregate intrinsic value of $91.6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 options exercisable at December 31, 2009 had a weighted average remaining contractual life of 5 years and an aggregate intrinsic value of $76.6 million.</w:t>
      </w:r>
    </w:p>
    <w:p>
      <w:pPr>
        <w:spacing w:after="0" w:line="18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2009, the company granted 83,641 shares of restricted Class A common stock which generally have a vesting period of 1 to 5 years. The fair value related to these grants was $23.9 million, which is recognized as compensation expense on an accelerated basis over the vesting period. On December 15, 2009, the company granted 1,974 performance shares. The vesting of these shares is contingent on meeting stated goals over a performance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activity for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87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Grant Date</w:t>
            </w:r>
          </w:p>
        </w:tc>
      </w:t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Number of Shares</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Fair 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54,235</w:t>
            </w:r>
          </w:p>
        </w:tc>
        <w:tc>
          <w:tcPr>
            <w:tcW w:w="5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83,641</w:t>
            </w: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(15,609)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Cancelled</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(7,564)</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114,703</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total fair value of restricted stock that vested during the years ended December 31, 2009, 2008 and 2007, was $6.2 million, $2.5 million and $3.8 million, respectively.</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Eligible employees may acquire shares of CME Group’s Class A common stock using after-tax payroll deductions made during consecutive offering periods of approximately six months in duration. Shares are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280" w:right="239" w:bottom="1440" w:gutter="0" w:footer="0" w:header="0"/>
        </w:sectPr>
      </w:pPr>
    </w:p>
    <w:bookmarkStart w:id="124" w:name="page125"/>
    <w:bookmarkEnd w:id="124"/>
    <w:p>
      <w:pPr>
        <w:ind w:right="2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purchased at the end of each offering period at a price of 90% of the closing price of the Class A common stock as reported on the NASDAQ. Compensation expense is recognized on the date of purchase for the discount from the closing price. In 2009, 2008 and 2007, a total of 4,402, 5,600 and 2,103 shares, respectively, of Class A common stock were issued to participating employees. These shares are subject to a six-month holding period. Annual expense of $0.1 million for the purchase discount was recognized in 2009, 2008 and 2007, respectively.</w:t>
      </w:r>
    </w:p>
    <w:p>
      <w:pPr>
        <w:spacing w:after="0" w:line="1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Non-executive directors receive an annual award of Class A common stock with a value equal to $75,000. Non-executive directors may also elect to receive some or all of the cash portion of their annual stipend in shares of stock based on the closing price at the date of distribution up to $25,000. As a result, 11,674, 5,509 and 4,072 shares of Class A common stock were issued to non-executive directors during 2009, 2008 and 2007, respectively. These shares are not subject to any vesting restrictions. Expense of $2.5 million, $2.4 million and $1.8 million related to these stock-based payments was recognized for the years ended December 31, 2009, 2008 and 2007,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ACCUMULATED OTHER COMPREHENSIVE INCOME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4"/>
                <w:szCs w:val="14"/>
                <w:color w:val="auto"/>
              </w:rPr>
            </w:pPr>
          </w:p>
        </w:tc>
        <w:tc>
          <w:tcPr>
            <w:tcW w:w="13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Actuarial</w:t>
            </w:r>
          </w:p>
        </w:tc>
        <w:tc>
          <w:tcPr>
            <w:tcW w:w="12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Foreign</w:t>
            </w:r>
          </w:p>
        </w:tc>
        <w:tc>
          <w:tcPr>
            <w:tcW w:w="3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Unrealized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87"/>
              </w:rPr>
              <w:t>Unrealized</w:t>
            </w:r>
          </w:p>
        </w:tc>
        <w:tc>
          <w:tcPr>
            <w:tcW w:w="14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Gain (Loss)</w:t>
            </w:r>
          </w:p>
        </w:tc>
        <w:tc>
          <w:tcPr>
            <w:tcW w:w="10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Currency</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Gain (Loss)</w:t>
            </w:r>
          </w:p>
        </w:tc>
        <w:tc>
          <w:tcPr>
            <w:tcW w:w="320" w:type="dxa"/>
            <w:vAlign w:val="bottom"/>
          </w:tcPr>
          <w:p>
            <w:pPr>
              <w:spacing w:after="0"/>
              <w:rPr>
                <w:sz w:val="12"/>
                <w:szCs w:val="12"/>
                <w:color w:val="auto"/>
              </w:rPr>
            </w:pPr>
          </w:p>
        </w:tc>
        <w:tc>
          <w:tcPr>
            <w:tcW w:w="1540" w:type="dxa"/>
            <w:vAlign w:val="bottom"/>
            <w:gridSpan w:val="3"/>
          </w:tcPr>
          <w:p>
            <w:pPr>
              <w:jc w:val="right"/>
              <w:ind w:right="780"/>
              <w:spacing w:after="0" w:line="149" w:lineRule="exact"/>
              <w:rPr>
                <w:sz w:val="20"/>
                <w:szCs w:val="20"/>
                <w:color w:val="auto"/>
              </w:rPr>
            </w:pPr>
            <w:r>
              <w:rPr>
                <w:rFonts w:ascii="Arial" w:cs="Arial" w:eastAsia="Arial" w:hAnsi="Arial"/>
                <w:sz w:val="14"/>
                <w:szCs w:val="14"/>
                <w:b w:val="1"/>
                <w:bCs w:val="1"/>
                <w:color w:val="auto"/>
                <w:w w:val="96"/>
              </w:rPr>
              <w:t>Gain (Loss)</w:t>
            </w:r>
          </w:p>
        </w:tc>
        <w:tc>
          <w:tcPr>
            <w:tcW w:w="144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on Defined</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3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20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On Securities</w:t>
            </w:r>
          </w:p>
        </w:tc>
        <w:tc>
          <w:tcPr>
            <w:tcW w:w="3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on Derivatives</w:t>
            </w:r>
          </w:p>
        </w:tc>
        <w:tc>
          <w:tcPr>
            <w:tcW w:w="14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Benefit Plans</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30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2006</w:t>
            </w:r>
          </w:p>
        </w:tc>
        <w:tc>
          <w:tcPr>
            <w:tcW w:w="1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Change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Change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(95.7)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Change</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3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(92.3)</w:t>
            </w:r>
          </w:p>
        </w:tc>
        <w:tc>
          <w:tcPr>
            <w:tcW w:w="5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FAIR VALUE MEASUREMENTS</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Accounting guidance on fair value measurements and related disclosures provides direction for using fair value to measure assets and liabilities by defining fair value and establishing a framework for measuring fair value. The guidance creates a three-level hierarchy that establishes classification of fair value measurements for disclosure purposes.</w:t>
      </w:r>
    </w:p>
    <w:p>
      <w:pPr>
        <w:spacing w:after="0" w:line="59" w:lineRule="exact"/>
        <w:rPr>
          <w:sz w:val="20"/>
          <w:szCs w:val="20"/>
          <w:color w:val="auto"/>
        </w:rPr>
      </w:pPr>
    </w:p>
    <w:p>
      <w:pPr>
        <w:ind w:left="900" w:right="6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1 inputs, which are considered the most reliable evidence of fair value, consist of quoted prices (unadjusted) for identical assets or liabilities in active markets.</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Level 2 inputs consist of observable market data, other than level 1 inputs, such as quoted prices for similar assets and liabilities in active markets or inputs other than quoted prices that are directly observable.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Level 3 inputs consist of unobservable inputs which are derived and cannot be corroborated by market data or other entity-specific inputs.</w:t>
      </w:r>
    </w:p>
    <w:p>
      <w:pPr>
        <w:spacing w:after="0" w:line="1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general, the company uses quoted prices in active markets for identical assets to determine the fair value of marketable securities, securities lending collateral and equity investments. Level 1 assets generally include U.S. Treasury securities and exchange-traded mutual funds, and publicly-traded equity securities. If quoted prices are not available to determine fair value, the company uses other inputs that are observable either directly or indirectly. Assets included in level 2 consist primarily of U.S. Government agency securities, municipal bonds, asset-backed securities and certain corporate bonds. Level 3 assets generally include certain corporate bonds and asset-backed securities. There were no level 3 assets that were valued on a recurring basis as of December 31, 2009. These assets are typically valued using valuation models with inputs that are both observable and</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80" w:right="239" w:bottom="1440" w:gutter="0" w:footer="0" w:header="0"/>
        </w:sectPr>
      </w:pPr>
    </w:p>
    <w:bookmarkStart w:id="125" w:name="page126"/>
    <w:bookmarkEnd w:id="1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unobservable. The unobservable inputs used in these models are significant to the fair value of the assets and require management’s judgment.</w:t>
      </w:r>
    </w:p>
    <w:p>
      <w:pPr>
        <w:spacing w:after="0" w:line="194"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The company determined the fair value of its interest rate swap contracts, considered level 2 assets, using standard valuation models with market-based observable inputs including forward and spot exchange rates and interest rate curves.</w:t>
      </w:r>
    </w:p>
    <w:p>
      <w:pPr>
        <w:spacing w:after="0" w:line="132"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fair value of the liability for the guarantee of ERPs was derived using probability-weighted Black-Scholes option values for various scenarios. The liability was included in level 3 because management used significant unobservable inputs including probability, expected return and volatility factors to determine the fair value.</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Financial assets and liabilities recorded in the consolidated balance sheet as of December 31, 2009 were classified in their entirety based on the lowest level of input that was significant to each asset or liability’s fair value measurement.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0"/>
              </w:rPr>
              <w:t>As of December 31, 2009</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gridSpan w:val="3"/>
            <w:vMerge w:val="continue"/>
          </w:tcPr>
          <w:p>
            <w:pPr>
              <w:spacing w:after="0"/>
              <w:rPr>
                <w:sz w:val="12"/>
                <w:szCs w:val="12"/>
                <w:color w:val="auto"/>
              </w:rPr>
            </w:pPr>
          </w:p>
        </w:tc>
        <w:tc>
          <w:tcPr>
            <w:tcW w:w="4400" w:type="dxa"/>
            <w:vAlign w:val="bottom"/>
          </w:tcPr>
          <w:p>
            <w:pPr>
              <w:spacing w:after="0"/>
              <w:rPr>
                <w:sz w:val="12"/>
                <w:szCs w:val="12"/>
                <w:color w:val="auto"/>
              </w:rPr>
            </w:pPr>
          </w:p>
        </w:tc>
        <w:tc>
          <w:tcPr>
            <w:tcW w:w="4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Level 1</w:t>
            </w:r>
          </w:p>
        </w:tc>
        <w:tc>
          <w:tcPr>
            <w:tcW w:w="320" w:type="dxa"/>
            <w:vAlign w:val="bottom"/>
          </w:tcPr>
          <w:p>
            <w:pPr>
              <w:spacing w:after="0"/>
              <w:rPr>
                <w:sz w:val="12"/>
                <w:szCs w:val="12"/>
                <w:color w:val="auto"/>
              </w:rPr>
            </w:pPr>
          </w:p>
        </w:tc>
        <w:tc>
          <w:tcPr>
            <w:tcW w:w="7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84"/>
              </w:rPr>
              <w:t>Level 2</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at Fair Value:</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4500" w:type="dxa"/>
            <w:vAlign w:val="bottom"/>
            <w:gridSpan w:val="2"/>
            <w:shd w:val="clear" w:color="auto" w:fill="CCEEFF"/>
          </w:tcPr>
          <w:p>
            <w:pPr>
              <w:ind w:left="440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 —</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23.4</w:t>
            </w:r>
          </w:p>
        </w:tc>
        <w:tc>
          <w:tcPr>
            <w:tcW w:w="320" w:type="dxa"/>
            <w:vAlign w:val="bottom"/>
          </w:tcPr>
          <w:p>
            <w:pPr>
              <w:spacing w:after="0"/>
              <w:rPr>
                <w:sz w:val="18"/>
                <w:szCs w:val="18"/>
                <w:color w:val="auto"/>
              </w:rPr>
            </w:pP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Municipal bonds</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4.7</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Asset-backed securities</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tcPr>
          <w:p>
            <w:pPr>
              <w:ind w:left="420"/>
              <w:spacing w:after="0"/>
              <w:rPr>
                <w:sz w:val="20"/>
                <w:szCs w:val="20"/>
                <w:color w:val="auto"/>
              </w:rPr>
            </w:pPr>
            <w:r>
              <w:rPr>
                <w:rFonts w:ascii="Arial" w:cs="Arial" w:eastAsia="Arial" w:hAnsi="Arial"/>
                <w:sz w:val="18"/>
                <w:szCs w:val="18"/>
                <w:color w:val="auto"/>
              </w:rPr>
              <w:t>U.S. Government agency securities</w:t>
            </w: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5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4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28.5</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14.1</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4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66.2</w:t>
            </w:r>
          </w:p>
        </w:tc>
        <w:tc>
          <w:tcPr>
            <w:tcW w:w="3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4500" w:type="dxa"/>
            <w:vAlign w:val="bottom"/>
            <w:gridSpan w:val="2"/>
            <w:shd w:val="clear" w:color="auto" w:fill="CCEEFF"/>
          </w:tcPr>
          <w:p>
            <w:pPr>
              <w:ind w:left="440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94.7</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$ 14.1</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 —</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Liabilities at Fair Value:</w:t>
            </w:r>
          </w:p>
        </w:tc>
        <w:tc>
          <w:tcPr>
            <w:tcW w:w="4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60" w:type="dxa"/>
            <w:vAlign w:val="bottom"/>
            <w:gridSpan w:val="3"/>
            <w:vMerge w:val="continue"/>
          </w:tcPr>
          <w:p>
            <w:pPr>
              <w:spacing w:after="0"/>
              <w:rPr>
                <w:sz w:val="18"/>
                <w:szCs w:val="18"/>
                <w:color w:val="auto"/>
              </w:rPr>
            </w:pPr>
          </w:p>
        </w:tc>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swap contracts</w:t>
            </w:r>
          </w:p>
        </w:tc>
        <w:tc>
          <w:tcPr>
            <w:tcW w:w="4500" w:type="dxa"/>
            <w:vAlign w:val="bottom"/>
            <w:gridSpan w:val="2"/>
            <w:shd w:val="clear" w:color="auto" w:fill="CCEEFF"/>
          </w:tcPr>
          <w:p>
            <w:pPr>
              <w:ind w:left="440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$ 26.3</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6"/>
              </w:rPr>
              <w:t>$ —</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gridSpan w:val="3"/>
            <w:vMerge w:val="restart"/>
          </w:tcPr>
          <w:p>
            <w:pPr>
              <w:spacing w:after="0"/>
              <w:rPr>
                <w:sz w:val="20"/>
                <w:szCs w:val="20"/>
                <w:color w:val="auto"/>
              </w:rPr>
            </w:pPr>
            <w:r>
              <w:rPr>
                <w:rFonts w:ascii="Arial" w:cs="Arial" w:eastAsia="Arial" w:hAnsi="Arial"/>
                <w:sz w:val="18"/>
                <w:szCs w:val="18"/>
                <w:color w:val="auto"/>
              </w:rPr>
              <w:t>Total Liabilities at Fair Value</w:t>
            </w:r>
          </w:p>
        </w:tc>
        <w:tc>
          <w:tcPr>
            <w:tcW w:w="4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60" w:type="dxa"/>
            <w:vAlign w:val="bottom"/>
            <w:gridSpan w:val="3"/>
            <w:vMerge w:val="continue"/>
          </w:tcPr>
          <w:p>
            <w:pPr>
              <w:spacing w:after="0"/>
              <w:rPr>
                <w:sz w:val="19"/>
                <w:szCs w:val="19"/>
                <w:color w:val="auto"/>
              </w:rPr>
            </w:pPr>
          </w:p>
        </w:tc>
        <w:tc>
          <w:tcPr>
            <w:tcW w:w="4500" w:type="dxa"/>
            <w:vAlign w:val="bottom"/>
            <w:gridSpan w:val="2"/>
          </w:tcPr>
          <w:p>
            <w:pPr>
              <w:ind w:left="440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$ 26.3</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w w:val="96"/>
              </w:rPr>
              <w:t>$ —</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4400" w:type="dxa"/>
            <w:vAlign w:val="bottom"/>
            <w:vMerge w:val="restart"/>
          </w:tcPr>
          <w:p>
            <w:pPr>
              <w:ind w:left="1320"/>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26" w:name="page127"/>
    <w:bookmarkEnd w:id="1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ind w:left="260"/>
              <w:spacing w:after="0"/>
              <w:rPr>
                <w:sz w:val="20"/>
                <w:szCs w:val="20"/>
                <w:color w:val="auto"/>
              </w:rPr>
            </w:pPr>
            <w:r>
              <w:rPr>
                <w:rFonts w:ascii="Arial" w:cs="Arial" w:eastAsia="Arial" w:hAnsi="Arial"/>
                <w:sz w:val="14"/>
                <w:szCs w:val="14"/>
                <w:b w:val="1"/>
                <w:bCs w:val="1"/>
                <w:color w:val="auto"/>
                <w:w w:val="93"/>
              </w:rPr>
              <w:t>As of December 31, 2008</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80" w:type="dxa"/>
            <w:vAlign w:val="bottom"/>
            <w:gridSpan w:val="3"/>
            <w:vMerge w:val="continue"/>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2"/>
                <w:szCs w:val="12"/>
                <w:color w:val="auto"/>
              </w:rPr>
            </w:pPr>
          </w:p>
        </w:tc>
        <w:tc>
          <w:tcPr>
            <w:tcW w:w="840" w:type="dxa"/>
            <w:vAlign w:val="bottom"/>
            <w:gridSpan w:val="3"/>
          </w:tcPr>
          <w:p>
            <w:pPr>
              <w:jc w:val="right"/>
              <w:ind w:right="380"/>
              <w:spacing w:after="0" w:line="142" w:lineRule="exact"/>
              <w:rPr>
                <w:sz w:val="20"/>
                <w:szCs w:val="20"/>
                <w:color w:val="auto"/>
              </w:rPr>
            </w:pPr>
            <w:r>
              <w:rPr>
                <w:rFonts w:ascii="Arial" w:cs="Arial" w:eastAsia="Arial" w:hAnsi="Arial"/>
                <w:sz w:val="14"/>
                <w:szCs w:val="14"/>
                <w:b w:val="1"/>
                <w:bCs w:val="1"/>
                <w:color w:val="auto"/>
                <w:w w:val="92"/>
              </w:rPr>
              <w:t>Level 2</w:t>
            </w:r>
          </w:p>
        </w:tc>
        <w:tc>
          <w:tcPr>
            <w:tcW w:w="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 at Fair Value: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U.S. Treasury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284.8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284.8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Mutual funds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Municipal bonds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U.S. Government agency securities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Securities lending collateral:</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400.6</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w w:val="79"/>
              </w:rPr>
              <w:t>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Repurchase agreements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407.1</w:t>
            </w:r>
          </w:p>
        </w:tc>
        <w:tc>
          <w:tcPr>
            <w:tcW w:w="120" w:type="dxa"/>
            <w:vAlign w:val="bottom"/>
          </w:tcPr>
          <w:p>
            <w:pPr>
              <w:spacing w:after="0"/>
              <w:rPr>
                <w:sz w:val="19"/>
                <w:szCs w:val="19"/>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w w:val="79"/>
              </w:rPr>
              <w:t>1.5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426.9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3"/>
          </w:tcPr>
          <w:p>
            <w:pPr>
              <w:spacing w:after="0"/>
              <w:rPr>
                <w:sz w:val="20"/>
                <w:szCs w:val="20"/>
                <w:color w:val="auto"/>
              </w:rPr>
            </w:pPr>
            <w:r>
              <w:rPr>
                <w:rFonts w:ascii="Arial" w:cs="Arial" w:eastAsia="Arial" w:hAnsi="Arial"/>
                <w:sz w:val="18"/>
                <w:szCs w:val="18"/>
                <w:color w:val="auto"/>
              </w:rPr>
              <w:t>Total Assets at Fair Value</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368.0</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415.2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00" w:type="dxa"/>
            <w:vAlign w:val="bottom"/>
          </w:tcPr>
          <w:p>
            <w:pPr>
              <w:ind w:left="80"/>
              <w:spacing w:after="0"/>
              <w:rPr>
                <w:sz w:val="20"/>
                <w:szCs w:val="20"/>
                <w:color w:val="auto"/>
              </w:rPr>
            </w:pPr>
            <w:r>
              <w:rPr>
                <w:rFonts w:ascii="Arial" w:cs="Arial" w:eastAsia="Arial" w:hAnsi="Arial"/>
                <w:sz w:val="18"/>
                <w:szCs w:val="18"/>
                <w:color w:val="auto"/>
                <w:w w:val="79"/>
              </w:rPr>
              <w:t>1.5</w:t>
            </w:r>
          </w:p>
        </w:tc>
        <w:tc>
          <w:tcPr>
            <w:tcW w:w="2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784.7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 at Fair Value: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ind w:left="420"/>
              <w:spacing w:after="0"/>
              <w:rPr>
                <w:sz w:val="20"/>
                <w:szCs w:val="20"/>
                <w:color w:val="auto"/>
              </w:rPr>
            </w:pPr>
            <w:r>
              <w:rPr>
                <w:rFonts w:ascii="Arial" w:cs="Arial" w:eastAsia="Arial" w:hAnsi="Arial"/>
                <w:sz w:val="18"/>
                <w:szCs w:val="18"/>
                <w:color w:val="auto"/>
              </w:rPr>
              <w:t>Interest rate swap contracts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Guarantee of CBOE exercise right privileges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gridSpan w:val="3"/>
          </w:tcPr>
          <w:p>
            <w:pPr>
              <w:spacing w:after="0"/>
              <w:rPr>
                <w:sz w:val="20"/>
                <w:szCs w:val="20"/>
                <w:color w:val="auto"/>
              </w:rPr>
            </w:pPr>
            <w:r>
              <w:rPr>
                <w:rFonts w:ascii="Arial" w:cs="Arial" w:eastAsia="Arial" w:hAnsi="Arial"/>
                <w:sz w:val="18"/>
                <w:szCs w:val="18"/>
                <w:color w:val="auto"/>
              </w:rPr>
              <w:t>Total Liabilities at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00" w:type="dxa"/>
            <w:vAlign w:val="bottom"/>
          </w:tcPr>
          <w:p>
            <w:pPr>
              <w:ind w:left="80"/>
              <w:spacing w:after="0"/>
              <w:rPr>
                <w:sz w:val="20"/>
                <w:szCs w:val="20"/>
                <w:color w:val="auto"/>
              </w:rPr>
            </w:pPr>
            <w:r>
              <w:rPr>
                <w:rFonts w:ascii="Arial" w:cs="Arial" w:eastAsia="Arial" w:hAnsi="Arial"/>
                <w:sz w:val="18"/>
                <w:szCs w:val="18"/>
                <w:color w:val="auto"/>
                <w:w w:val="79"/>
              </w:rPr>
              <w:t>1.2</w:t>
            </w:r>
          </w:p>
        </w:tc>
        <w:tc>
          <w:tcPr>
            <w:tcW w:w="22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assets and liabilities valued at fair value on a recurring basis using significant unobservable inputs (level 3) during 2009.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Guarantee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88"/>
              </w:rPr>
              <w:t>Asset-</w:t>
            </w:r>
          </w:p>
        </w:tc>
        <w:tc>
          <w:tcPr>
            <w:tcW w:w="40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CBOE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right"/>
              <w:ind w:right="560"/>
              <w:spacing w:after="0" w:line="135" w:lineRule="exact"/>
              <w:rPr>
                <w:sz w:val="20"/>
                <w:szCs w:val="20"/>
                <w:color w:val="auto"/>
              </w:rPr>
            </w:pPr>
            <w:r>
              <w:rPr>
                <w:rFonts w:ascii="Arial" w:cs="Arial" w:eastAsia="Arial" w:hAnsi="Arial"/>
                <w:sz w:val="14"/>
                <w:szCs w:val="14"/>
                <w:b w:val="1"/>
                <w:bCs w:val="1"/>
                <w:color w:val="auto"/>
                <w:w w:val="84"/>
              </w:rPr>
              <w:t>Backed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ERP</w:t>
            </w:r>
          </w:p>
        </w:tc>
        <w:tc>
          <w:tcPr>
            <w:tcW w:w="0" w:type="dxa"/>
            <w:vAlign w:val="bottom"/>
          </w:tcPr>
          <w:p>
            <w:pPr>
              <w:spacing w:after="0"/>
              <w:rPr>
                <w:sz w:val="1"/>
                <w:szCs w:val="1"/>
                <w:color w:val="auto"/>
              </w:rPr>
            </w:pPr>
          </w:p>
        </w:tc>
      </w:tr>
      <w:tr>
        <w:trPr>
          <w:trHeight w:val="176"/>
        </w:trPr>
        <w:tc>
          <w:tcPr>
            <w:tcW w:w="920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100" w:type="dxa"/>
            <w:vAlign w:val="bottom"/>
            <w:gridSpan w:val="3"/>
          </w:tcPr>
          <w:p>
            <w:pPr>
              <w:spacing w:after="0" w:line="176" w:lineRule="exact"/>
              <w:rPr>
                <w:sz w:val="20"/>
                <w:szCs w:val="20"/>
                <w:color w:val="auto"/>
              </w:rPr>
            </w:pPr>
            <w:r>
              <w:rPr>
                <w:rFonts w:ascii="Arial" w:cs="Arial" w:eastAsia="Arial" w:hAnsi="Arial"/>
                <w:sz w:val="13"/>
                <w:szCs w:val="13"/>
                <w:b w:val="1"/>
                <w:bCs w:val="1"/>
                <w:color w:val="auto"/>
              </w:rPr>
              <w:t xml:space="preserve">Security </w:t>
            </w:r>
            <w:r>
              <w:rPr>
                <w:rFonts w:ascii="Arial" w:cs="Arial" w:eastAsia="Arial" w:hAnsi="Arial"/>
                <w:sz w:val="20"/>
                <w:szCs w:val="20"/>
                <w:b w:val="1"/>
                <w:bCs w:val="1"/>
                <w:color w:val="auto"/>
                <w:vertAlign w:val="superscript"/>
              </w:rPr>
              <w:t>(1)</w:t>
            </w:r>
          </w:p>
        </w:tc>
        <w:tc>
          <w:tcPr>
            <w:tcW w:w="400" w:type="dxa"/>
            <w:vAlign w:val="bottom"/>
          </w:tcPr>
          <w:p>
            <w:pPr>
              <w:spacing w:after="0"/>
              <w:rPr>
                <w:sz w:val="15"/>
                <w:szCs w:val="15"/>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Liability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assets (liabilities) at January 1,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spacing w:after="0"/>
              <w:rPr>
                <w:sz w:val="20"/>
                <w:szCs w:val="20"/>
                <w:color w:val="auto"/>
              </w:rPr>
            </w:pPr>
            <w:r>
              <w:rPr>
                <w:rFonts w:ascii="Arial" w:cs="Arial" w:eastAsia="Arial" w:hAnsi="Arial"/>
                <w:sz w:val="18"/>
                <w:szCs w:val="18"/>
                <w:color w:val="auto"/>
              </w:rPr>
              <w:t>Realized and unrealized gains (losses):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Included in non-operating income (expense)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gridSpan w:val="3"/>
          </w:tcPr>
          <w:p>
            <w:pPr>
              <w:spacing w:after="0"/>
              <w:rPr>
                <w:sz w:val="20"/>
                <w:szCs w:val="20"/>
                <w:color w:val="auto"/>
              </w:rPr>
            </w:pPr>
            <w:r>
              <w:rPr>
                <w:rFonts w:ascii="Arial" w:cs="Arial" w:eastAsia="Arial" w:hAnsi="Arial"/>
                <w:sz w:val="18"/>
                <w:szCs w:val="18"/>
                <w:color w:val="auto"/>
              </w:rPr>
              <w:t>Settlements</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assets (liabilities) at December 31,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0" w:type="dxa"/>
            <w:vAlign w:val="bottom"/>
            <w:gridSpan w:val="4"/>
            <w:vMerge w:val="restart"/>
          </w:tcPr>
          <w:p>
            <w:pPr>
              <w:spacing w:after="0"/>
              <w:rPr>
                <w:sz w:val="20"/>
                <w:szCs w:val="20"/>
                <w:color w:val="auto"/>
              </w:rPr>
            </w:pPr>
            <w:r>
              <w:rPr>
                <w:rFonts w:ascii="Arial" w:cs="Arial" w:eastAsia="Arial" w:hAnsi="Arial"/>
                <w:sz w:val="18"/>
                <w:szCs w:val="18"/>
                <w:color w:val="auto"/>
              </w:rPr>
              <w:t>Total unrealized gains (losses) related to financial assets and liabilities in the consolidated balance sheet at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920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gridSpan w:val="3"/>
          </w:tcPr>
          <w:p>
            <w:pPr>
              <w:ind w:left="200"/>
              <w:spacing w:after="0"/>
              <w:rPr>
                <w:sz w:val="20"/>
                <w:szCs w:val="20"/>
                <w:color w:val="auto"/>
              </w:rPr>
            </w:pPr>
            <w:r>
              <w:rPr>
                <w:rFonts w:ascii="Arial" w:cs="Arial" w:eastAsia="Arial" w:hAnsi="Arial"/>
                <w:sz w:val="18"/>
                <w:szCs w:val="18"/>
                <w:color w:val="auto"/>
              </w:rPr>
              <w:t>December 31, 2009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ind w:left="5580" w:right="20" w:hanging="5572"/>
        <w:spacing w:after="0" w:line="440" w:lineRule="auto"/>
        <w:tabs>
          <w:tab w:leader="none" w:pos="4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This asset-backed security was transferred from the securities lending program investment portfolio to the marketable securities portfolio during June 2009. 127</w:t>
      </w:r>
    </w:p>
    <w:p>
      <w:pPr>
        <w:sectPr>
          <w:pgSz w:w="11900" w:h="16838" w:orient="portrait"/>
          <w:cols w:equalWidth="0" w:num="1">
            <w:col w:w="11420"/>
          </w:cols>
          <w:pgMar w:left="240" w:top="275" w:right="23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is a reconciliation of assets and liabilities valued at fair value on a recurring basis using significant unobservable inputs (level 3) during 2008.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Guarantee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Securities</w:t>
            </w:r>
          </w:p>
        </w:tc>
        <w:tc>
          <w:tcPr>
            <w:tcW w:w="9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Foreign</w:t>
            </w:r>
          </w:p>
        </w:tc>
        <w:tc>
          <w:tcPr>
            <w:tcW w:w="34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 CBOE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3"/>
          </w:tcPr>
          <w:p>
            <w:pPr>
              <w:jc w:val="right"/>
              <w:ind w:right="760"/>
              <w:spacing w:after="0" w:line="149" w:lineRule="exact"/>
              <w:rPr>
                <w:sz w:val="20"/>
                <w:szCs w:val="20"/>
                <w:color w:val="auto"/>
              </w:rPr>
            </w:pPr>
            <w:r>
              <w:rPr>
                <w:rFonts w:ascii="Arial" w:cs="Arial" w:eastAsia="Arial" w:hAnsi="Arial"/>
                <w:sz w:val="14"/>
                <w:szCs w:val="14"/>
                <w:b w:val="1"/>
                <w:bCs w:val="1"/>
                <w:color w:val="auto"/>
                <w:w w:val="95"/>
              </w:rPr>
              <w:t>Lending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Currency</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ERP</w:t>
            </w:r>
          </w:p>
        </w:tc>
        <w:tc>
          <w:tcPr>
            <w:tcW w:w="0" w:type="dxa"/>
            <w:vAlign w:val="bottom"/>
          </w:tcPr>
          <w:p>
            <w:pPr>
              <w:spacing w:after="0"/>
              <w:rPr>
                <w:sz w:val="1"/>
                <w:szCs w:val="1"/>
                <w:color w:val="auto"/>
              </w:rPr>
            </w:pPr>
          </w:p>
        </w:tc>
      </w:tr>
      <w:tr>
        <w:trPr>
          <w:trHeight w:val="161"/>
        </w:trPr>
        <w:tc>
          <w:tcPr>
            <w:tcW w:w="780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Collateral</w:t>
            </w: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Option</w:t>
            </w:r>
          </w:p>
        </w:tc>
        <w:tc>
          <w:tcPr>
            <w:tcW w:w="340" w:type="dxa"/>
            <w:vAlign w:val="bottom"/>
          </w:tcPr>
          <w:p>
            <w:pPr>
              <w:spacing w:after="0"/>
              <w:rPr>
                <w:sz w:val="14"/>
                <w:szCs w:val="14"/>
                <w:color w:val="auto"/>
              </w:rPr>
            </w:pPr>
          </w:p>
        </w:tc>
        <w:tc>
          <w:tcPr>
            <w:tcW w:w="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Liability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assets (liabilities) at January 1, 2008</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Purchases and issuances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22.5</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45.2</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in (out) of level 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Realized and unrealized gains (losses):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Included in non-operating income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(24.4)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Included in other comprehensive income (loss)</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(37.3)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8"/>
                <w:szCs w:val="18"/>
                <w:color w:val="auto"/>
              </w:rPr>
              <w:t>Fair value of assets (liabilities) at December 31, 2008</w:t>
            </w: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00" w:type="dxa"/>
            <w:vAlign w:val="bottom"/>
            <w:gridSpan w:val="3"/>
            <w:vMerge w:val="continue"/>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5</w:t>
            </w:r>
          </w:p>
        </w:tc>
        <w:tc>
          <w:tcPr>
            <w:tcW w:w="7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1"/>
              </w:rPr>
              <w:t>Total unrealized gains (losses) related to financial assets and liabilities in the consolidated balance sheet at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2008</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2009, CME Group revalued its investment in DME to fair value as a result of an other-than-temporary impairment. Prior to the revaluation, the investment in DME was accounted for using the equity method of accounting. The investment is classified as level 3 as it was valued using a discounted cash flow model which was based on both observable and unobservable inputs.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asset valued at fair value on a non-recurring basis using significant unobservable inputs (level 3) during 2009.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161"/>
        </w:trPr>
        <w:tc>
          <w:tcPr>
            <w:tcW w:w="1066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in DME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the asset at January 1, 2009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gridSpan w:val="2"/>
          </w:tcPr>
          <w:p>
            <w:pPr>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and unrealized gains (losses):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640" w:type="dxa"/>
            <w:vAlign w:val="bottom"/>
            <w:gridSpan w:val="2"/>
          </w:tcPr>
          <w:p>
            <w:pPr>
              <w:ind w:left="420"/>
              <w:spacing w:after="0"/>
              <w:rPr>
                <w:sz w:val="20"/>
                <w:szCs w:val="20"/>
                <w:color w:val="auto"/>
              </w:rPr>
            </w:pPr>
            <w:r>
              <w:rPr>
                <w:rFonts w:ascii="Arial" w:cs="Arial" w:eastAsia="Arial" w:hAnsi="Arial"/>
                <w:sz w:val="18"/>
                <w:szCs w:val="18"/>
                <w:color w:val="auto"/>
              </w:rPr>
              <w:t>Included in non-operating income (expense)</w:t>
            </w: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asset at December 31, 2009</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60" w:type="dxa"/>
            <w:vAlign w:val="bottom"/>
            <w:gridSpan w:val="3"/>
            <w:vMerge w:val="restart"/>
          </w:tcPr>
          <w:p>
            <w:pPr>
              <w:spacing w:after="0"/>
              <w:rPr>
                <w:sz w:val="20"/>
                <w:szCs w:val="20"/>
                <w:color w:val="auto"/>
              </w:rPr>
            </w:pPr>
            <w:r>
              <w:rPr>
                <w:rFonts w:ascii="Arial" w:cs="Arial" w:eastAsia="Arial" w:hAnsi="Arial"/>
                <w:sz w:val="18"/>
                <w:szCs w:val="18"/>
                <w:color w:val="auto"/>
              </w:rPr>
              <w:t>Total unrealized gains (losses) related to financial assets and liabilities in the consolidated balance sheet at December 31, 2009</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60" w:type="dxa"/>
            <w:vAlign w:val="bottom"/>
            <w:gridSpan w:val="3"/>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EARNINGS PER SHARE</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Basic earnings per share is computed by dividing net income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and restricted stock awards of approximately 612,000 were anti-dilutive for the year ended December 31, 2009. Outstanding stock options of approximately 493,000 and 134,000 were anti-dilutive for the years ended December 31, 2008 and 2007, respectively. There were no anti-dilutive restricted stock awards for the years ended December 31, 2008 and 2007.</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80" w:right="239" w:bottom="1440" w:gutter="0" w:footer="0" w:header="0"/>
        </w:sectPr>
      </w:pPr>
    </w:p>
    <w:bookmarkStart w:id="128" w:name="page129"/>
    <w:bookmarkEnd w:id="128"/>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Beginning January 1, 2009, a change in accounting guidance requires the use of a two-class method to determine the impact of outstanding stock options and restricted stock awards on diluted earnings per common share. The company determined that the impact of using the two-class method is immaterial. If the impact becomes material, the company will change its application of the guidance.</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2007</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Income (in millions)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825.8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715.5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658.5</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66,366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3"/>
              </w:rPr>
              <w:t>58,738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43,754</w:t>
            </w: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Effect of stock options</w:t>
            </w: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 of restricted stock awards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66,548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58,967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44,107</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4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12.44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12.18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QUARTERLY INFORMATION (UNAUDITED)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First</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Second</w:t>
            </w: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4"/>
                <w:szCs w:val="14"/>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Fourth</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23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Ended December 31, 2009:</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420" w:type="dxa"/>
            <w:vAlign w:val="bottom"/>
            <w:gridSpan w:val="2"/>
          </w:tcPr>
          <w:p>
            <w:pPr>
              <w:ind w:left="23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647.1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647.8</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650.4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667.5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2,612.8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386.4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398.8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(35.9)</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(23.9)</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(45.6)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350.5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374.9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1,437.5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199.1</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221.8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202.3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825.8</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2420" w:type="dxa"/>
            <w:vAlign w:val="bottom"/>
            <w:gridSpan w:val="2"/>
          </w:tcPr>
          <w:p>
            <w:pPr>
              <w:ind w:left="23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3.34</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322"/>
        </w:trPr>
        <w:tc>
          <w:tcPr>
            <w:tcW w:w="4640" w:type="dxa"/>
            <w:vAlign w:val="bottom"/>
            <w:gridSpan w:val="3"/>
          </w:tcPr>
          <w:p>
            <w:pPr>
              <w:spacing w:after="0"/>
              <w:rPr>
                <w:sz w:val="20"/>
                <w:szCs w:val="20"/>
                <w:color w:val="auto"/>
              </w:rPr>
            </w:pPr>
            <w:r>
              <w:rPr>
                <w:rFonts w:ascii="Arial" w:cs="Arial" w:eastAsia="Arial" w:hAnsi="Arial"/>
                <w:sz w:val="18"/>
                <w:szCs w:val="18"/>
                <w:color w:val="auto"/>
              </w:rPr>
              <w:t>Year Ended December 31, 2008:</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625.1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563.2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680.9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691.8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2,561.0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399.9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343.7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420.7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417.9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Non-operating income (expense)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(10.1)</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(306.7)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407.2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333.6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283.5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Earnings per common share: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4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SUBSEQUENT EVENTS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has evaluated subsequent events through February 26, 2010, the date the financial statements were issued, and has determined that there are no subsequent events that require disclosure other than the following events:</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2010, the company announced a global strategic alliance with BM&amp;FBOVESPA to jointly develop a new multi-asset class electronic trading platform, subject to regulatory approval. The new trading system is expected to launch in early 2011. As part of the expanded partnership, BM&amp;FBOVESPA will increase its ownership interest in the company to 5%.</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280" w:right="239" w:bottom="1440" w:gutter="0" w:footer="0" w:header="0"/>
        </w:sectPr>
      </w:pPr>
    </w:p>
    <w:bookmarkStart w:id="129" w:name="page130"/>
    <w:bookmarkEnd w:id="129"/>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February 2010, the company announced that its board of directors had authorized a plan to repurchase up to 2.35 million shares of its Class A common stock.</w:t>
      </w:r>
    </w:p>
    <w:p>
      <w:pPr>
        <w:spacing w:after="0" w:line="20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also announced in February 2010 that it will take a 90 percent ownership interest and Dow Jones will take a 10 percent ownership interest in a new joint venture that will own the Dow Jones Indexes. Pending regulatory approval and completion of customary closing conditions, the transaction is expected to close during the first quarter of 2010.</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340"/>
          </w:cols>
          <w:pgMar w:left="240" w:top="280" w:right="319" w:bottom="1440" w:gutter="0" w:footer="0" w:header="0"/>
        </w:sectPr>
      </w:pPr>
    </w:p>
    <w:bookmarkStart w:id="130" w:name="page131"/>
    <w:bookmarkEnd w:id="130"/>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such term is defined in Rules 13a-15(e) and 15d-15(e) under the Securities Exchange Act of 1934, as amended (Exchange Act)) as of the end of the period covered by this Annual Report on Form 10-K. Based on such evaluation, our Chief Executive Officer and Chief Financial Officer have concluded that, as of the end of such period, our disclosure controls and procedures are effective.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Our internal control system has been designed to provide reasonable assurance to management and the board of directors regarding the preparation and fair presentation of published financial statements.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Management assessed the effectiveness of the Company’s internal control over financial reporting as of December 31, 2009. Management based its assessment on criteria for effective internal control over financial reporting described in Internal Control-Integrated Framework Issued by the Committee of Sponsoring Organizations of the Treadway Commission. Management’s assessment included evaluating the design of our internal control over financial reporting and testing the operational effectiveness of our internal control over financial reporting. The results of its assessment were reviewed with the audit committee of the board of directors.</w:t>
      </w:r>
    </w:p>
    <w:p>
      <w:pPr>
        <w:spacing w:after="0" w:line="14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Based on this assessment, management believes that, as of December 31, 2009, our internal control over financial reporting is effective. The effectiveness of our internal control over financial reporting as of December 31, 2009 has been audited by Ernst &amp; Young LLP, an independent registered public accounting firm, as stated in the following report.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274" w:right="259" w:bottom="1440" w:gutter="0" w:footer="0" w:header="0"/>
        </w:sectPr>
      </w:pPr>
    </w:p>
    <w:bookmarkStart w:id="131" w:name="page132"/>
    <w:bookmarkEnd w:id="131"/>
    <w:p>
      <w:pPr>
        <w:ind w:right="2580" w:firstLine="2651"/>
        <w:spacing w:after="0" w:line="39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REPORTS OF INDEPENDENT REGISTERED PUBLIC ACCOUNTING FIRM The Board of Directors and Shareholders of CME Group Inc.</w:t>
      </w:r>
    </w:p>
    <w:p>
      <w:pPr>
        <w:spacing w:after="0" w:line="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We have audited the accompanying consolidated balance sheets of CME Group Inc. and its subsidiaries as of December 31, 2009 and 2008, and the related consolidated statements of income, shareholders’ equity, and cash flows for each of the three years in the period ended December 31, 2009. Our audit also included the financial statement schedule listed in the Index at Item 15(a). These financial statements are the responsibility of the Company’s management. Our responsibility is to express an opinion on these financial statements based on our audits.</w:t>
      </w:r>
    </w:p>
    <w:p>
      <w:pPr>
        <w:spacing w:after="0" w:line="1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CME Group Inc. and its subsidiaries at December 31, 2009 and 2008, and the consolidated results of their operations and their cash flows for each of the three years in the period ended December 31, 2009, in conformity with U.S. generally accepted accounting principles.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CME Group Inc.’s internal control over financial reporting as of December 31, 2009, based on criteria established in Internal Control-Integrated Framework issued by the Committee of Sponsoring Organizations of the Treadway Commission and our report dated February 26, 2010 expressed an unqualified opinion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40"/>
          </w:cols>
          <w:pgMar w:left="240" w:top="274" w:right="31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Board of Directors and Shareholders of CME Group, Inc.</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CME Group Inc.’s internal control over financial reporting as of December 31, 2009, based on criteria established in Internal Control— Integrated Framework issued by the Committee of Sponsoring Organizations of the Treadway Commission (the COSO criteria). CME Group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43"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In our opinion, CME Group Inc. maintained, in all material respects, effective internal control over financial reporting as of December 31, 2009, based on the COSO criteria</w:t>
      </w:r>
      <w:r>
        <w:rPr>
          <w:rFonts w:ascii="Arial" w:cs="Arial" w:eastAsia="Arial" w:hAnsi="Arial"/>
          <w:sz w:val="18"/>
          <w:szCs w:val="18"/>
          <w:b w:val="1"/>
          <w:bCs w:val="1"/>
          <w:color w:val="auto"/>
        </w:rPr>
        <w:t>.</w:t>
      </w:r>
    </w:p>
    <w:p>
      <w:pPr>
        <w:spacing w:after="0" w:line="13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consolidated balance sheets as of December 31, 2009 and 2008, and the related consolidated statements of income, shareholders’ equity, and cash flows for each of the three years in the period ended December 31, 2009 of CME Group Inc. and our report dated February 26, 2010 expressed an unqualified opinion thereon.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274" w:right="25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in Internal Control over Financial Reporting</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August 22, 2008, CME Group completed its merger with NYMEX Holdings. In connection with the merger, NYMEX Holdings was merged into CMEG NY Inc., a wholly-owned subsidiary of CME Group, and the subsidiaries of NYMEX Holdings, including NYMEX and COMEX, became part of the consolidated group of subsidiaries of CME Group. The company substantially completed the process of integrating the internal controls and procedures of the former NYMEX Holdings and its subsidiaries into its internal control over financial reporting during the fourth quarter of 2009. There were no other changes in the company’s internal control over financial reporting during the period covered by this report that have materially affected, or are reasonably likely to materially affect, internal control over financial reporting, other than the merger with NYMEX Holdings.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00"/>
          </w:cols>
          <w:pgMar w:left="240" w:top="280" w:right="259"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information required by this Item is included in CME Group’s Proxy Statement under the headings “Composition of the Board,” “Director Qualifications and Equity Director Nomination Process,” “Section 16(a) Beneficial Ownership Reporting Compliance” and “Meetings of Our Board and Board Committees—Audit Committee,” and is incorporated herein by reference, pursuant to General Instruction G(3).</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We have adopted a written code of conduct applicable to all of our employees, including our Chief Executive Officer, Chief Financial Officer, Chief Accounting Officer and other senior financial officers. In accordance with SEC rules and regulations, our Code of Conduct is available on our Web site at </w:t>
      </w:r>
      <w:r>
        <w:rPr>
          <w:rFonts w:ascii="Arial" w:cs="Arial" w:eastAsia="Arial" w:hAnsi="Arial"/>
          <w:sz w:val="16"/>
          <w:szCs w:val="16"/>
          <w:i w:val="1"/>
          <w:iCs w:val="1"/>
          <w:color w:val="auto"/>
        </w:rPr>
        <w:t>www.cmegroup.com</w:t>
      </w:r>
      <w:r>
        <w:rPr>
          <w:rFonts w:ascii="Arial" w:cs="Arial" w:eastAsia="Arial" w:hAnsi="Arial"/>
          <w:sz w:val="16"/>
          <w:szCs w:val="16"/>
          <w:color w:val="auto"/>
        </w:rPr>
        <w:t xml:space="preserve"> under the “Investor Relations—Corporate Governance” link. We intend to disclose promptly on our Web site any substantive amendments to our Code of Conduct and, in accordance with the listing requirements of the NASDAQ, any waivers granted to our executive officers or Board members will be promptly disclosed on a Current Report on Form 8-K. You may also obtain a copy of our Code of Conduct by following the instructions in the section of this Annual Report on Form 10-K entitled “Item 1. Business—Available Information.”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information required by this Item is included in CME Group’s Proxy Statement under the headings “Compensation Discussion and Analysis,” “Executive Compensation,” “Director Compensation,” “Compensation Interlocks and Insider Participation” and “Compensation Committee Report” and is incorporated herein by reference, pursuant to General Instruction G(3); provided, however, that the Compensation Committee Report contained in the Proxy Statement is not incorporated herein by reference.</w:t>
      </w:r>
    </w:p>
    <w:p>
      <w:pPr>
        <w:spacing w:after="0" w:line="259" w:lineRule="exact"/>
        <w:rPr>
          <w:sz w:val="20"/>
          <w:szCs w:val="20"/>
          <w:color w:val="auto"/>
        </w:rPr>
      </w:pPr>
    </w:p>
    <w:p>
      <w:pPr>
        <w:ind w:left="1040" w:right="7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4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information required by this Item relating to the security ownership of certain beneficial owners and management is included in CME Group’s Proxy Statement under the headings “Security Ownership of CME Group Common Stock” and is incorporated herein by reference, pursuant to General Instruction G(3).</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currently have the following equity compensation plans: CME Group Inc. Amended and Restated Omnibus Stock Plan, the CME Group Inc. 2005 Director Stock Plan, Chicago Mercantile Exchange Holdings Inc. Amended and Restated Employee Stock Purchase Plan, Amended and Restated CBOT Holdings, Inc. 2005 Long-Term Equity Plan and the Amended and Restated NYMEX Holdings, Inc. 2006 Omnibus Stock Plan. A description of each of these plans and the number of shares authorized and available for future awards is included in note 21 of the notes to consolidated financial statements of CME Group Inc. and subsidiaries. In connection with our receipt of shareholder approval to increase the authorized shares under our Omnibus Stock Plan and our Director Stock Plan, we agreed not to issue future awards under the CBOT Holdings and NYMEX plans.</w:t>
      </w:r>
    </w:p>
    <w:p>
      <w:pPr>
        <w:spacing w:after="0" w:line="1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Prior to our holding company reorganization in 2001, CME issued options under the Chicago Mercantile Exchange Omnibus Stock Plan, which was not approved by CME shareholders. In connection with our holding company reorganization, CME, as the sole shareholder of CME Holdings, approved the assumption by CME Holdings of the Omnibus Stock Plan. After the reorganization, the plan was amended and restated as the Chicago Mercantile Exchange Holdings Inc. Amended and Restated Omnibus Stock Plan. Options issued prior to the sole shareholder approval are listed in the table below as being made under an equity compensation plan not approved by security holders, and options issued after such time are listed below as being made under an equity compensation plan approved by security holders. The Employee Stock Purchase Plan and the 2005 Director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274" w:right="239" w:bottom="1440" w:gutter="0" w:footer="0" w:header="0"/>
        </w:sectPr>
      </w:pPr>
    </w:p>
    <w:bookmarkStart w:id="135" w:name="page136"/>
    <w:bookmarkEnd w:id="135"/>
    <w:p>
      <w:pPr>
        <w:ind w:right="2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 Plan were approved by shareholders at our 2005 annual meeting of shareholders. In connection with our mergers with CBOT Holdings and NYMEX Holdings, we assumed their existing equity plans. The shares relating to the CBOT Holdings and NYMEX Holdings plans are listed in the table below as being made under an equity compensation plan approved by security holders based upon the fact that shareholders of the Company approved the related merger transactions.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be Issued Upon</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140" w:type="dxa"/>
            <w:vAlign w:val="bottom"/>
          </w:tcPr>
          <w:p>
            <w:pPr>
              <w:spacing w:after="0"/>
              <w:rPr>
                <w:sz w:val="12"/>
                <w:szCs w:val="12"/>
                <w:color w:val="auto"/>
              </w:rPr>
            </w:pP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Exercise of</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140" w:type="dxa"/>
            <w:vAlign w:val="bottom"/>
          </w:tcPr>
          <w:p>
            <w:pPr>
              <w:spacing w:after="0"/>
              <w:rPr>
                <w:sz w:val="12"/>
                <w:szCs w:val="12"/>
                <w:color w:val="auto"/>
              </w:rPr>
            </w:pP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(excluding securities</w:t>
            </w:r>
          </w:p>
        </w:tc>
        <w:tc>
          <w:tcPr>
            <w:tcW w:w="0" w:type="dxa"/>
            <w:vAlign w:val="bottom"/>
          </w:tcPr>
          <w:p>
            <w:pPr>
              <w:spacing w:after="0"/>
              <w:rPr>
                <w:sz w:val="1"/>
                <w:szCs w:val="1"/>
                <w:color w:val="auto"/>
              </w:rPr>
            </w:pPr>
          </w:p>
        </w:tc>
      </w:tr>
      <w:tr>
        <w:trPr>
          <w:trHeight w:val="161"/>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Plan category</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 Options (a)</w:t>
            </w:r>
          </w:p>
        </w:tc>
        <w:tc>
          <w:tcPr>
            <w:tcW w:w="112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Outstanding Options (b)</w:t>
            </w:r>
          </w:p>
        </w:tc>
        <w:tc>
          <w:tcPr>
            <w:tcW w:w="1140" w:type="dxa"/>
            <w:vAlign w:val="bottom"/>
          </w:tcPr>
          <w:p>
            <w:pPr>
              <w:spacing w:after="0"/>
              <w:rPr>
                <w:sz w:val="14"/>
                <w:szCs w:val="14"/>
                <w:color w:val="auto"/>
              </w:rPr>
            </w:pPr>
          </w:p>
        </w:tc>
        <w:tc>
          <w:tcPr>
            <w:tcW w:w="1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reflected in column (a))(c)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holders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1,045,025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312.22</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5,531,022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holders</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26,188</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22.00</w:t>
            </w:r>
          </w:p>
        </w:tc>
        <w:tc>
          <w:tcPr>
            <w:tcW w:w="1140" w:type="dxa"/>
            <w:vAlign w:val="bottom"/>
          </w:tcPr>
          <w:p>
            <w:pPr>
              <w:spacing w:after="0"/>
              <w:rPr>
                <w:sz w:val="20"/>
                <w:szCs w:val="20"/>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1,071,213</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305.12</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5,531,022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RELATED TRANSACTIONS AND DIRECTOR INDEPENDENCE</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information required by this Item is included in CME Group’s Proxy Statement under the heading “Certain Business Relationships with Related Parties” and “Corporate Governance—Director Independence” and is incorporated herein by reference, pursuant to General Instruction G(3).</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information required by this Item is included in CME Group’s Proxy Statement under the heading “Audit Committee Disclosures—Principal Accountant Fees and Services” and “Audit Committee Disclosures—Audit Committee Policy for Approval of Audit and Permitted Non-Audit Services” and is incorporated herein by reference, pursuant to General Instruction G(3).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280" w:right="239" w:bottom="1440" w:gutter="0" w:footer="0" w:header="0"/>
        </w:sectPr>
      </w:pPr>
    </w:p>
    <w:bookmarkStart w:id="136" w:name="page137"/>
    <w:bookmarkEnd w:id="136"/>
    <w:p>
      <w:pPr>
        <w:ind w:left="5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90" w:lineRule="exact"/>
        <w:rPr>
          <w:sz w:val="20"/>
          <w:szCs w:val="20"/>
          <w:color w:val="auto"/>
        </w:rPr>
      </w:pPr>
    </w:p>
    <w:p>
      <w:pPr>
        <w:ind w:left="260" w:hanging="252"/>
        <w:spacing w:after="0"/>
        <w:tabs>
          <w:tab w:leader="none" w:pos="2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Financial Statement Schedules and Exhibits</w:t>
      </w:r>
    </w:p>
    <w:p>
      <w:pPr>
        <w:spacing w:after="0" w:line="9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(1) Financial Statements</w:t>
      </w:r>
    </w:p>
    <w:p>
      <w:pPr>
        <w:spacing w:after="0" w:line="9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Consolidated Financial Statements and related Notes, together with the Reports of Independent Registered Public Accounting Firm with respect thereto, included within Item 8 are hereby incorporated by reference:</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Balance Sheets at December 31, 2009 and 2008</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Income for the Years Ended December 31, 2009, 2008 and 2007</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Shareholders’ Equity for the Years Ended December 31, 2009, 2008 and 2007</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Consolidated Statements of Cash Flows for the Years Ended December 31, 2009, 2008 and 2007</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(2)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is filed as part of this Annual Report on Form 10-K:</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2009, 2008 and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Charged</w:t>
            </w:r>
          </w:p>
        </w:tc>
        <w:tc>
          <w:tcPr>
            <w:tcW w:w="100" w:type="dxa"/>
            <w:vAlign w:val="bottom"/>
          </w:tcPr>
          <w:p>
            <w:pPr>
              <w:spacing w:after="0"/>
              <w:rPr>
                <w:sz w:val="14"/>
                <w:szCs w:val="1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5"/>
              </w:rPr>
              <w:t>Foreign</w:t>
            </w: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Balance at</w:t>
            </w:r>
          </w:p>
        </w:tc>
        <w:tc>
          <w:tcPr>
            <w:tcW w:w="240" w:type="dxa"/>
            <w:vAlign w:val="bottom"/>
          </w:tcPr>
          <w:p>
            <w:pPr>
              <w:spacing w:after="0"/>
              <w:rPr>
                <w:sz w:val="12"/>
                <w:szCs w:val="12"/>
                <w:color w:val="auto"/>
              </w:rPr>
            </w:pPr>
          </w:p>
        </w:tc>
        <w:tc>
          <w:tcPr>
            <w:tcW w:w="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Charged</w:t>
            </w:r>
          </w:p>
        </w:tc>
        <w:tc>
          <w:tcPr>
            <w:tcW w:w="46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(credited) to</w:t>
            </w:r>
          </w:p>
        </w:tc>
        <w:tc>
          <w:tcPr>
            <w:tcW w:w="12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currency</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240" w:type="dxa"/>
            <w:vAlign w:val="bottom"/>
          </w:tcPr>
          <w:p>
            <w:pPr>
              <w:spacing w:after="0"/>
              <w:rPr>
                <w:sz w:val="12"/>
                <w:szCs w:val="12"/>
                <w:color w:val="auto"/>
              </w:rPr>
            </w:pP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against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costs and</w:t>
            </w:r>
          </w:p>
        </w:tc>
        <w:tc>
          <w:tcPr>
            <w:tcW w:w="12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22"/>
                <w:szCs w:val="22"/>
                <w:b w:val="1"/>
                <w:bCs w:val="1"/>
                <w:color w:val="auto"/>
                <w:vertAlign w:val="superscript"/>
              </w:rPr>
              <w:t>(1)</w:t>
            </w:r>
          </w:p>
        </w:tc>
        <w:tc>
          <w:tcPr>
            <w:tcW w:w="26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at end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of year</w:t>
            </w:r>
          </w:p>
        </w:tc>
        <w:tc>
          <w:tcPr>
            <w:tcW w:w="24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goodwill</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1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of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2009:</w:t>
            </w: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(1.3)</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deferred tax assets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264.4</w:t>
            </w:r>
          </w:p>
        </w:tc>
        <w:tc>
          <w:tcPr>
            <w:tcW w:w="0" w:type="dxa"/>
            <w:vAlign w:val="bottom"/>
          </w:tcPr>
          <w:p>
            <w:pPr>
              <w:spacing w:after="0"/>
              <w:rPr>
                <w:sz w:val="1"/>
                <w:szCs w:val="1"/>
                <w:color w:val="auto"/>
              </w:rPr>
            </w:pPr>
          </w:p>
        </w:tc>
      </w:tr>
      <w:tr>
        <w:trPr>
          <w:trHeight w:val="322"/>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Year ended December 31, 2008:</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40" w:type="dxa"/>
            <w:vAlign w:val="bottom"/>
            <w:gridSpan w:val="2"/>
            <w:shd w:val="clear" w:color="auto" w:fill="CCEEFF"/>
          </w:tcPr>
          <w:p>
            <w:pPr>
              <w:ind w:left="46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(0.5)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Allowance for deferred tax assets</w:t>
            </w:r>
          </w:p>
        </w:tc>
        <w:tc>
          <w:tcPr>
            <w:tcW w:w="8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55.8</w:t>
            </w:r>
          </w:p>
        </w:tc>
        <w:tc>
          <w:tcPr>
            <w:tcW w:w="300" w:type="dxa"/>
            <w:vAlign w:val="bottom"/>
          </w:tcPr>
          <w:p>
            <w:pPr>
              <w:spacing w:after="0"/>
              <w:rPr>
                <w:sz w:val="19"/>
                <w:szCs w:val="19"/>
                <w:color w:val="auto"/>
              </w:rPr>
            </w:pP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168.3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0.5</w:t>
            </w:r>
          </w:p>
        </w:tc>
        <w:tc>
          <w:tcPr>
            <w:tcW w:w="540" w:type="dxa"/>
            <w:vAlign w:val="bottom"/>
            <w:gridSpan w:val="2"/>
          </w:tcPr>
          <w:p>
            <w:pPr>
              <w:ind w:left="4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20"/>
              <w:spacing w:after="0"/>
              <w:rPr>
                <w:sz w:val="20"/>
                <w:szCs w:val="20"/>
                <w:color w:val="auto"/>
              </w:rPr>
            </w:pPr>
            <w:r>
              <w:rPr>
                <w:rFonts w:ascii="Arial" w:cs="Arial" w:eastAsia="Arial" w:hAnsi="Arial"/>
                <w:sz w:val="18"/>
                <w:szCs w:val="18"/>
                <w:color w:val="auto"/>
              </w:rPr>
              <w:t>(0.2)</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deferred tax assets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write-offs of doubtful accounts</w:t>
      </w:r>
    </w:p>
    <w:p>
      <w:pPr>
        <w:spacing w:after="0" w:line="17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All other schedules have been omitted because the information required to be set forth in those schedules is not applicable or is shown in the consolidated financial statements or notes thereto.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274"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See (b) Exhibits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60"/>
              <w:spacing w:after="0"/>
              <w:rPr>
                <w:sz w:val="20"/>
                <w:szCs w:val="20"/>
                <w:color w:val="auto"/>
              </w:rPr>
            </w:pPr>
            <w:r>
              <w:rPr>
                <w:rFonts w:ascii="Arial" w:cs="Arial" w:eastAsia="Arial" w:hAnsi="Arial"/>
                <w:sz w:val="14"/>
                <w:szCs w:val="14"/>
                <w:b w:val="1"/>
                <w:bCs w:val="1"/>
                <w:color w:val="auto"/>
                <w:w w:val="94"/>
              </w:rPr>
              <w:t>Exhibit</w:t>
            </w:r>
          </w:p>
        </w:tc>
        <w:tc>
          <w:tcPr>
            <w:tcW w:w="5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161"/>
        </w:trPr>
        <w:tc>
          <w:tcPr>
            <w:tcW w:w="5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Number</w:t>
            </w:r>
          </w:p>
        </w:tc>
        <w:tc>
          <w:tcPr>
            <w:tcW w:w="5380" w:type="dxa"/>
            <w:vAlign w:val="bottom"/>
          </w:tcPr>
          <w:p>
            <w:pPr>
              <w:spacing w:after="0"/>
              <w:rPr>
                <w:sz w:val="14"/>
                <w:szCs w:val="14"/>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Exhibit</w:t>
            </w:r>
          </w:p>
        </w:tc>
        <w:tc>
          <w:tcPr>
            <w:tcW w:w="4140" w:type="dxa"/>
            <w:vAlign w:val="bottom"/>
          </w:tcPr>
          <w:p>
            <w:pPr>
              <w:spacing w:after="0"/>
              <w:rPr>
                <w:sz w:val="14"/>
                <w:szCs w:val="14"/>
                <w:color w:val="auto"/>
              </w:rPr>
            </w:pPr>
          </w:p>
        </w:tc>
      </w:tr>
      <w:tr>
        <w:trPr>
          <w:trHeight w:val="316"/>
        </w:trPr>
        <w:tc>
          <w:tcPr>
            <w:tcW w:w="520" w:type="dxa"/>
            <w:vAlign w:val="bottom"/>
          </w:tcPr>
          <w:p>
            <w:pPr>
              <w:spacing w:after="0"/>
              <w:rPr>
                <w:sz w:val="20"/>
                <w:szCs w:val="20"/>
                <w:color w:val="auto"/>
              </w:rPr>
            </w:pPr>
            <w:r>
              <w:rPr>
                <w:rFonts w:ascii="Arial" w:cs="Arial" w:eastAsia="Arial" w:hAnsi="Arial"/>
                <w:sz w:val="18"/>
                <w:szCs w:val="18"/>
                <w:b w:val="1"/>
                <w:bCs w:val="1"/>
                <w:i w:val="1"/>
                <w:iCs w:val="1"/>
                <w:color w:val="auto"/>
              </w:rPr>
              <w:t>2.</w:t>
            </w:r>
          </w:p>
        </w:tc>
        <w:tc>
          <w:tcPr>
            <w:tcW w:w="10860" w:type="dxa"/>
            <w:vAlign w:val="bottom"/>
            <w:gridSpan w:val="3"/>
          </w:tcPr>
          <w:p>
            <w:pPr>
              <w:ind w:left="1200"/>
              <w:spacing w:after="0"/>
              <w:rPr>
                <w:sz w:val="20"/>
                <w:szCs w:val="20"/>
                <w:color w:val="auto"/>
              </w:rPr>
            </w:pPr>
            <w:r>
              <w:rPr>
                <w:rFonts w:ascii="Arial" w:cs="Arial" w:eastAsia="Arial" w:hAnsi="Arial"/>
                <w:sz w:val="18"/>
                <w:szCs w:val="18"/>
                <w:b w:val="1"/>
                <w:bCs w:val="1"/>
                <w:i w:val="1"/>
                <w:iCs w:val="1"/>
                <w:color w:val="auto"/>
              </w:rPr>
              <w:t>Plan of Acquisition, Reorganization, Arrangement, Liquidation or Succession</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2.1</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88"/>
              </w:rPr>
              <w:t>Agreement and Plan of Merger, dated as of October 1, 2001, between Chicago Mercantile Exchange Inc., Chicago Mercantile Exchange</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3"/>
              </w:rPr>
              <w:t>Holdings Inc. and CME Merger Subsidiary Inc. (incorporated by reference to Exhibit 2.1 to Chicago Mercantile Exchange Holdings</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Inc.’s Form S-4, filed with the SEC on August 7, 2001, File No. 333-66988).</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2.2</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89"/>
              </w:rPr>
              <w:t>Agreement and Plan of Merger, dated as of October 17, 2006, among Chicago Mercantile Exchange Holdings Inc., CBOT Holdings, Inc.</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3"/>
              </w:rPr>
              <w:t>and Board of Trade of the City of Chicago, Inc. (incorporated by reference to Exhibit 2.1 to Chicago Mercantile Exchange Holdings</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0"/>
              </w:rPr>
              <w:t>Inc.’s Form 8-K, filed with the SEC on October 19, 2006, File No. 000-33379); Amendment, dated as of May 11, 2007 (incorporated by</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1"/>
              </w:rPr>
              <w:t>reference to Exhibit 2.1 to Chicago Mercantile Exchange Holdings Inc.’s Form 8-K, filed with the SEC on May 11, 2007, File No. 000-</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2"/>
              </w:rPr>
              <w:t>33379); Amendment, dated as of June 14, 2007 (incorporated by reference to Exhibit 2.1 to Chicago Mercantile Exchange Holdings</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3"/>
              </w:rPr>
              <w:t>Inc.’s Form 8-K, filed with the SEC on June 14, 2007, File No. 000-33379); Amendment, dated as of July 6, 2007 (incorporated by</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reference to Exhibit 2.1 to CME Group Inc.’s Form 8-K, filed with SEC on July 6, 2007, File No. 000-33379).</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2.3</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0"/>
              </w:rPr>
              <w:t>Agreement and Plan of Merger, dated as of March 17, 2008, among CME Group Inc., CMEG NY Inc., NYMEX Holdings, Inc. and New</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1"/>
              </w:rPr>
              <w:t>York Mercantile Exchange, Inc. (incorporated by reference to Exhibit 2.1 to CME Group Inc.’s Form 8-K, filed with the SEC on March</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0"/>
              </w:rPr>
              <w:t>21, 2008, File No. 000-33379); Amendment, dated June 30, 2008 (incorporated by reference to Exhibit 2.1 to CME Group Inc.’s Form</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0"/>
              </w:rPr>
              <w:t>10-Q, filed with the SEC on August 7, 2008, File No. 001-31553); Amendment, dated as of July 18, 2008 (incorporated by reference to</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0"/>
              </w:rPr>
              <w:t>Exhibit 2.1 to CME Group’s Current Report on Form 8-K, filed with the SEC on July 23, 2008, File No. 001-31553); Amendment, dated</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2"/>
              </w:rPr>
              <w:t>as of August 7, 2008 (incorporated by reference to Exhibit No. 2.2 to CME Group’s Form 10-Q filed with the SEC on November 11,</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2008, File No. 001-31553).</w:t>
            </w:r>
          </w:p>
        </w:tc>
      </w:tr>
      <w:tr>
        <w:trPr>
          <w:trHeight w:val="324"/>
        </w:trPr>
        <w:tc>
          <w:tcPr>
            <w:tcW w:w="520" w:type="dxa"/>
            <w:vAlign w:val="bottom"/>
          </w:tcPr>
          <w:p>
            <w:pPr>
              <w:spacing w:after="0"/>
              <w:rPr>
                <w:sz w:val="20"/>
                <w:szCs w:val="20"/>
                <w:color w:val="auto"/>
              </w:rPr>
            </w:pPr>
            <w:r>
              <w:rPr>
                <w:rFonts w:ascii="Arial" w:cs="Arial" w:eastAsia="Arial" w:hAnsi="Arial"/>
                <w:sz w:val="18"/>
                <w:szCs w:val="18"/>
                <w:b w:val="1"/>
                <w:bCs w:val="1"/>
                <w:i w:val="1"/>
                <w:iCs w:val="1"/>
                <w:color w:val="auto"/>
              </w:rPr>
              <w:t>3.</w:t>
            </w:r>
          </w:p>
        </w:tc>
        <w:tc>
          <w:tcPr>
            <w:tcW w:w="10860" w:type="dxa"/>
            <w:vAlign w:val="bottom"/>
            <w:gridSpan w:val="3"/>
          </w:tcPr>
          <w:p>
            <w:pPr>
              <w:ind w:left="1200"/>
              <w:spacing w:after="0"/>
              <w:rPr>
                <w:sz w:val="20"/>
                <w:szCs w:val="20"/>
                <w:color w:val="auto"/>
              </w:rPr>
            </w:pPr>
            <w:r>
              <w:rPr>
                <w:rFonts w:ascii="Arial" w:cs="Arial" w:eastAsia="Arial" w:hAnsi="Arial"/>
                <w:sz w:val="18"/>
                <w:szCs w:val="18"/>
                <w:b w:val="1"/>
                <w:bCs w:val="1"/>
                <w:i w:val="1"/>
                <w:iCs w:val="1"/>
                <w:color w:val="auto"/>
              </w:rPr>
              <w:t>Articles of Incorporation and Bylaws</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0"/>
              </w:rPr>
              <w:t>Third Amended and Restated Certificate of Incorporation of CME Group Inc. (incorporated by reference to Exhibit 3.1 to CME Group’s</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Current Report on Form 8-K, filed with the SEC on August 28, 2008, File No. 001-31553).</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3"/>
              </w:rPr>
              <w:t>Seventh Amended and Restated Bylaws of CME Group Inc. (incorporated by reference to Exhibit 3.1 to CME Group Inc.’s Current</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rPr>
              <w:t>Report on Form 8-K, filed with the SEC on May 20, 2009, File No. 001-31553).</w:t>
            </w:r>
          </w:p>
        </w:tc>
      </w:tr>
      <w:tr>
        <w:trPr>
          <w:trHeight w:val="324"/>
        </w:trPr>
        <w:tc>
          <w:tcPr>
            <w:tcW w:w="520" w:type="dxa"/>
            <w:vAlign w:val="bottom"/>
          </w:tcPr>
          <w:p>
            <w:pPr>
              <w:spacing w:after="0"/>
              <w:rPr>
                <w:sz w:val="20"/>
                <w:szCs w:val="20"/>
                <w:color w:val="auto"/>
              </w:rPr>
            </w:pPr>
            <w:r>
              <w:rPr>
                <w:rFonts w:ascii="Arial" w:cs="Arial" w:eastAsia="Arial" w:hAnsi="Arial"/>
                <w:sz w:val="18"/>
                <w:szCs w:val="18"/>
                <w:b w:val="1"/>
                <w:bCs w:val="1"/>
                <w:i w:val="1"/>
                <w:iCs w:val="1"/>
                <w:color w:val="auto"/>
              </w:rPr>
              <w:t>4.</w:t>
            </w:r>
          </w:p>
        </w:tc>
        <w:tc>
          <w:tcPr>
            <w:tcW w:w="10860" w:type="dxa"/>
            <w:vAlign w:val="bottom"/>
            <w:gridSpan w:val="3"/>
          </w:tcPr>
          <w:p>
            <w:pPr>
              <w:ind w:left="1200"/>
              <w:spacing w:after="0"/>
              <w:rPr>
                <w:sz w:val="20"/>
                <w:szCs w:val="20"/>
                <w:color w:val="auto"/>
              </w:rPr>
            </w:pPr>
            <w:r>
              <w:rPr>
                <w:rFonts w:ascii="Arial" w:cs="Arial" w:eastAsia="Arial" w:hAnsi="Arial"/>
                <w:sz w:val="18"/>
                <w:szCs w:val="18"/>
                <w:b w:val="1"/>
                <w:bCs w:val="1"/>
                <w:i w:val="1"/>
                <w:iCs w:val="1"/>
                <w:color w:val="auto"/>
              </w:rPr>
              <w:t>Instruments Defining the Rights of Security Holders</w:t>
            </w:r>
          </w:p>
        </w:tc>
      </w:tr>
      <w:tr>
        <w:trPr>
          <w:trHeight w:val="318"/>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89"/>
              </w:rPr>
              <w:t>Rights Agreement, dated as of November 30, 2001, between Chicago Mercantile Exchange Holdings Inc. and Mellon Investor Services</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6"/>
              </w:rPr>
              <w:t>LLC (incorporated by reference to Exhibit 4.1 to Chicago Mercantile Exchange Holdings Inc.’s Form 8-A, filed with the SEC on</w:t>
            </w:r>
          </w:p>
        </w:tc>
      </w:tr>
      <w:tr>
        <w:trPr>
          <w:trHeight w:val="216"/>
        </w:trPr>
        <w:tc>
          <w:tcPr>
            <w:tcW w:w="520" w:type="dxa"/>
            <w:vAlign w:val="bottom"/>
          </w:tcPr>
          <w:p>
            <w:pPr>
              <w:spacing w:after="0"/>
              <w:rPr>
                <w:sz w:val="18"/>
                <w:szCs w:val="18"/>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88"/>
              </w:rPr>
              <w:t>December 4, 2001, File No. 000-33379); Amendment, dated as of November 13, 2002 (incorporated by reference to Exhibit 5 to Chicago</w:t>
            </w:r>
          </w:p>
        </w:tc>
      </w:tr>
      <w:tr>
        <w:trPr>
          <w:trHeight w:val="222"/>
        </w:trPr>
        <w:tc>
          <w:tcPr>
            <w:tcW w:w="520" w:type="dxa"/>
            <w:vAlign w:val="bottom"/>
          </w:tcPr>
          <w:p>
            <w:pPr>
              <w:spacing w:after="0"/>
              <w:rPr>
                <w:sz w:val="19"/>
                <w:szCs w:val="19"/>
                <w:color w:val="auto"/>
              </w:rPr>
            </w:pPr>
          </w:p>
        </w:tc>
        <w:tc>
          <w:tcPr>
            <w:tcW w:w="10860" w:type="dxa"/>
            <w:vAlign w:val="bottom"/>
            <w:gridSpan w:val="3"/>
          </w:tcPr>
          <w:p>
            <w:pPr>
              <w:ind w:left="1200"/>
              <w:spacing w:after="0"/>
              <w:rPr>
                <w:sz w:val="20"/>
                <w:szCs w:val="20"/>
                <w:color w:val="auto"/>
              </w:rPr>
            </w:pPr>
            <w:r>
              <w:rPr>
                <w:rFonts w:ascii="Arial" w:cs="Arial" w:eastAsia="Arial" w:hAnsi="Arial"/>
                <w:sz w:val="18"/>
                <w:szCs w:val="18"/>
                <w:color w:val="auto"/>
                <w:w w:val="92"/>
              </w:rPr>
              <w:t>Mercantile Exchange Holdings Inc.’s Form 8-A, filed with the SEC on November 29, 2002, File No. 001-31553); Amendment, dated</w:t>
            </w:r>
          </w:p>
        </w:tc>
      </w:tr>
    </w:tbl>
    <w:p>
      <w:pPr>
        <w:ind w:left="1720" w:right="300"/>
        <w:spacing w:after="0" w:line="261" w:lineRule="auto"/>
        <w:rPr>
          <w:sz w:val="20"/>
          <w:szCs w:val="20"/>
          <w:color w:val="auto"/>
        </w:rPr>
      </w:pPr>
      <w:r>
        <w:rPr>
          <w:rFonts w:ascii="Arial" w:cs="Arial" w:eastAsia="Arial" w:hAnsi="Arial"/>
          <w:sz w:val="18"/>
          <w:szCs w:val="18"/>
          <w:color w:val="auto"/>
        </w:rPr>
        <w:t>October 26, 2005, (incorporated by reference to Exhibit 4.1 to Chicago Mercantile Exchange Holdings Inc.’s Form 8-K filed with the SEC on October 27, 2005, File No. 001-31553).</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280" w:right="27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2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4"/>
              </w:rPr>
              <w:t>Exhibit</w:t>
            </w:r>
          </w:p>
        </w:tc>
        <w:tc>
          <w:tcPr>
            <w:tcW w:w="4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80" w:type="dxa"/>
            <w:vAlign w:val="bottom"/>
          </w:tcPr>
          <w:p>
            <w:pPr>
              <w:spacing w:after="0"/>
              <w:rPr>
                <w:sz w:val="14"/>
                <w:szCs w:val="14"/>
                <w:color w:val="auto"/>
              </w:rPr>
            </w:pPr>
          </w:p>
        </w:tc>
      </w:tr>
      <w:tr>
        <w:trPr>
          <w:trHeight w:val="161"/>
        </w:trPr>
        <w:tc>
          <w:tcPr>
            <w:tcW w:w="6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7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Description of Exhibit</w:t>
            </w:r>
          </w:p>
        </w:tc>
        <w:tc>
          <w:tcPr>
            <w:tcW w:w="4080" w:type="dxa"/>
            <w:vAlign w:val="bottom"/>
          </w:tcPr>
          <w:p>
            <w:pPr>
              <w:spacing w:after="0"/>
              <w:rPr>
                <w:sz w:val="14"/>
                <w:szCs w:val="14"/>
                <w:color w:val="auto"/>
              </w:rPr>
            </w:pPr>
          </w:p>
        </w:tc>
      </w:tr>
      <w:tr>
        <w:trPr>
          <w:trHeight w:val="309"/>
        </w:trPr>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4.2</w:t>
            </w:r>
          </w:p>
        </w:tc>
        <w:tc>
          <w:tcPr>
            <w:tcW w:w="700" w:type="dxa"/>
            <w:vAlign w:val="bottom"/>
          </w:tcPr>
          <w:p>
            <w:pPr>
              <w:spacing w:after="0"/>
              <w:rPr>
                <w:sz w:val="24"/>
                <w:szCs w:val="24"/>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92"/>
              </w:rPr>
              <w:t>Commercial Paper Dealer Agreement, dated as of August 16, 2007, among CME Group Inc., as Issuer, and Merrill Lynch Money</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90"/>
              </w:rPr>
              <w:t>Markets Inc., as Dealer for Notes with maturities up to 270 days, and Merrill Lynch, Pierce, Fenner &amp; Smith Incorporated, as Dealer</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90"/>
              </w:rPr>
              <w:t>for Notes with maturities over 270 days (incorporated by reference to Exhibit 4.2 to CME Group Inc.’s Form 10-Q, filed with the SEC</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rPr>
              <w:t>on November 8, 2007, File No. 000-33379).</w:t>
            </w:r>
          </w:p>
        </w:tc>
      </w:tr>
      <w:tr>
        <w:trPr>
          <w:trHeight w:val="318"/>
        </w:trPr>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4.3</w:t>
            </w:r>
          </w:p>
        </w:tc>
        <w:tc>
          <w:tcPr>
            <w:tcW w:w="700" w:type="dxa"/>
            <w:vAlign w:val="bottom"/>
          </w:tcPr>
          <w:p>
            <w:pPr>
              <w:spacing w:after="0"/>
              <w:rPr>
                <w:sz w:val="24"/>
                <w:szCs w:val="24"/>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89"/>
              </w:rPr>
              <w:t>Issuing and Paying Agency Agreement, dated as of August 16, 2007, between CME Group Inc. and JPMorgan Chase Bank, National</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89"/>
              </w:rPr>
              <w:t>Association, as issuing and paying agent (incorporated by reference to Exhibit 4.3 to CME Group Inc.’s Form 10-Q, filed with the SEC</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rPr>
              <w:t>on November 8, 2007, File No. 000-33379).</w:t>
            </w:r>
          </w:p>
        </w:tc>
      </w:tr>
      <w:tr>
        <w:trPr>
          <w:trHeight w:val="318"/>
        </w:trPr>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4.4</w:t>
            </w:r>
          </w:p>
        </w:tc>
        <w:tc>
          <w:tcPr>
            <w:tcW w:w="700" w:type="dxa"/>
            <w:vAlign w:val="bottom"/>
          </w:tcPr>
          <w:p>
            <w:pPr>
              <w:spacing w:after="0"/>
              <w:rPr>
                <w:sz w:val="24"/>
                <w:szCs w:val="24"/>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94"/>
              </w:rPr>
              <w:t>Commercial Paper Dealer Agreement, dated as of August 20, 2008, between CME Group Inc., as Issuer, and Bank of America</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90"/>
              </w:rPr>
              <w:t>Securities LLC, as Dealer (incorporated by reference to Exhibit 10.1 to CME Group Inc.’s Current Report on Form 8-K, filed with the</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rPr>
              <w:t>SEC on August 26, 2008, File No. 001-31553).</w:t>
            </w:r>
          </w:p>
        </w:tc>
      </w:tr>
      <w:tr>
        <w:trPr>
          <w:trHeight w:val="318"/>
        </w:trPr>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4.5</w:t>
            </w:r>
          </w:p>
        </w:tc>
        <w:tc>
          <w:tcPr>
            <w:tcW w:w="700" w:type="dxa"/>
            <w:vAlign w:val="bottom"/>
          </w:tcPr>
          <w:p>
            <w:pPr>
              <w:spacing w:after="0"/>
              <w:rPr>
                <w:sz w:val="24"/>
                <w:szCs w:val="24"/>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89"/>
              </w:rPr>
              <w:t>Commercial Paper Dealer Agreement, dated as of August 22, 2008, between CME Group Inc., as Issuer, and Goldman, Sachs &amp; Co.,</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90"/>
              </w:rPr>
              <w:t>as Dealer (incorporated by reference to Exhibit 10.2 to CME Group Inc.’s Current Report on Form 8-K, filed with the SEC on August</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740" w:type="dxa"/>
            <w:vAlign w:val="bottom"/>
          </w:tcPr>
          <w:p>
            <w:pPr>
              <w:ind w:left="660"/>
              <w:spacing w:after="0"/>
              <w:rPr>
                <w:sz w:val="20"/>
                <w:szCs w:val="20"/>
                <w:color w:val="auto"/>
              </w:rPr>
            </w:pPr>
            <w:r>
              <w:rPr>
                <w:rFonts w:ascii="Arial" w:cs="Arial" w:eastAsia="Arial" w:hAnsi="Arial"/>
                <w:sz w:val="18"/>
                <w:szCs w:val="18"/>
                <w:color w:val="auto"/>
              </w:rPr>
              <w:t>26, 2008,</w:t>
            </w:r>
          </w:p>
        </w:tc>
        <w:tc>
          <w:tcPr>
            <w:tcW w:w="1340" w:type="dxa"/>
            <w:vAlign w:val="bottom"/>
          </w:tcPr>
          <w:p>
            <w:pPr>
              <w:spacing w:after="0"/>
              <w:rPr>
                <w:sz w:val="18"/>
                <w:szCs w:val="18"/>
                <w:color w:val="auto"/>
              </w:rPr>
            </w:pPr>
          </w:p>
        </w:tc>
        <w:tc>
          <w:tcPr>
            <w:tcW w:w="4080" w:type="dxa"/>
            <w:vAlign w:val="bottom"/>
          </w:tcPr>
          <w:p>
            <w:pPr>
              <w:spacing w:after="0"/>
              <w:rPr>
                <w:sz w:val="18"/>
                <w:szCs w:val="18"/>
                <w:color w:val="auto"/>
              </w:rPr>
            </w:pP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rPr>
              <w:t>File No. 001-31553).</w:t>
            </w:r>
          </w:p>
        </w:tc>
      </w:tr>
      <w:tr>
        <w:trPr>
          <w:trHeight w:val="318"/>
        </w:trPr>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4.6</w:t>
            </w:r>
          </w:p>
        </w:tc>
        <w:tc>
          <w:tcPr>
            <w:tcW w:w="700" w:type="dxa"/>
            <w:vAlign w:val="bottom"/>
          </w:tcPr>
          <w:p>
            <w:pPr>
              <w:spacing w:after="0"/>
              <w:rPr>
                <w:sz w:val="24"/>
                <w:szCs w:val="24"/>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89"/>
              </w:rPr>
              <w:t>Indenture, dated August 12, 2008, between CME Group Inc. and U.S. Bank National Association (incorporated by reference to Exhibit</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rPr>
              <w:t>4.1 to CME Group Inc.’s Current Report on Form 8-K, filed with the SEC on August 13, 2008, File No. 001-31553).</w:t>
            </w:r>
          </w:p>
        </w:tc>
      </w:tr>
      <w:tr>
        <w:trPr>
          <w:trHeight w:val="318"/>
        </w:trPr>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4.7</w:t>
            </w:r>
          </w:p>
        </w:tc>
        <w:tc>
          <w:tcPr>
            <w:tcW w:w="700" w:type="dxa"/>
            <w:vAlign w:val="bottom"/>
          </w:tcPr>
          <w:p>
            <w:pPr>
              <w:spacing w:after="0"/>
              <w:rPr>
                <w:sz w:val="24"/>
                <w:szCs w:val="24"/>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89"/>
              </w:rPr>
              <w:t>Second Supplemental Indenture (including the form of floating rate note due 2010), dated August 12, 2008, between CME Group Inc.</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90"/>
              </w:rPr>
              <w:t>and U.S. Bank National Association (incorporated by reference to Exhibit 4.3 to CME Group Inc.’s Current Report on Form 8-K, filed</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rPr>
              <w:t>with the SEC on August 13, 2008, File No. 001-31553).</w:t>
            </w:r>
          </w:p>
        </w:tc>
      </w:tr>
      <w:tr>
        <w:trPr>
          <w:trHeight w:val="318"/>
        </w:trPr>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4.8</w:t>
            </w:r>
          </w:p>
        </w:tc>
        <w:tc>
          <w:tcPr>
            <w:tcW w:w="700" w:type="dxa"/>
            <w:vAlign w:val="bottom"/>
          </w:tcPr>
          <w:p>
            <w:pPr>
              <w:spacing w:after="0"/>
              <w:rPr>
                <w:sz w:val="24"/>
                <w:szCs w:val="24"/>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89"/>
              </w:rPr>
              <w:t>Third Supplemental Indenture, dated August 12, 2008 (including the form of 5.4% note due 2013), between CME Group Inc. and U.S.</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91"/>
              </w:rPr>
              <w:t>Bank National Association (incorporated by reference to Exhibit 4.4 to CME Group Inc.’s Current Report on Form 8-K, filed with the</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rPr>
              <w:t>SEC on August 13, 2008, File No. 001-31553).</w:t>
            </w:r>
          </w:p>
        </w:tc>
      </w:tr>
      <w:tr>
        <w:trPr>
          <w:trHeight w:val="318"/>
        </w:trPr>
        <w:tc>
          <w:tcPr>
            <w:tcW w:w="560" w:type="dxa"/>
            <w:vAlign w:val="bottom"/>
            <w:gridSpan w:val="2"/>
          </w:tcPr>
          <w:p>
            <w:pPr>
              <w:jc w:val="right"/>
              <w:ind w:right="172"/>
              <w:spacing w:after="0"/>
              <w:rPr>
                <w:sz w:val="20"/>
                <w:szCs w:val="20"/>
                <w:color w:val="auto"/>
              </w:rPr>
            </w:pPr>
            <w:r>
              <w:rPr>
                <w:rFonts w:ascii="Arial" w:cs="Arial" w:eastAsia="Arial" w:hAnsi="Arial"/>
                <w:sz w:val="18"/>
                <w:szCs w:val="18"/>
                <w:color w:val="auto"/>
              </w:rPr>
              <w:t>4.9</w:t>
            </w:r>
          </w:p>
        </w:tc>
        <w:tc>
          <w:tcPr>
            <w:tcW w:w="700" w:type="dxa"/>
            <w:vAlign w:val="bottom"/>
          </w:tcPr>
          <w:p>
            <w:pPr>
              <w:spacing w:after="0"/>
              <w:rPr>
                <w:sz w:val="24"/>
                <w:szCs w:val="24"/>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90"/>
              </w:rPr>
              <w:t>Fourth Supplemental Indenture (including the form of 5.75% note due 2014), dated February 9, 2009, between CME Group Inc. and</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93"/>
              </w:rPr>
              <w:t>U.S. Bank National Association (incorporated by reference to Exhibit 4.2 to CME Group Inc.’s Current Report on Form 8-K, filed</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rPr>
              <w:t>with the SEC on February 9, 2009, File No. 001-31553).</w:t>
            </w:r>
          </w:p>
        </w:tc>
      </w:tr>
      <w:tr>
        <w:trPr>
          <w:trHeight w:val="324"/>
        </w:trPr>
        <w:tc>
          <w:tcPr>
            <w:tcW w:w="560" w:type="dxa"/>
            <w:vAlign w:val="bottom"/>
            <w:gridSpan w:val="2"/>
          </w:tcPr>
          <w:p>
            <w:pPr>
              <w:jc w:val="right"/>
              <w:ind w:right="272"/>
              <w:spacing w:after="0"/>
              <w:rPr>
                <w:sz w:val="20"/>
                <w:szCs w:val="20"/>
                <w:color w:val="auto"/>
              </w:rPr>
            </w:pPr>
            <w:r>
              <w:rPr>
                <w:rFonts w:ascii="Arial" w:cs="Arial" w:eastAsia="Arial" w:hAnsi="Arial"/>
                <w:sz w:val="18"/>
                <w:szCs w:val="18"/>
                <w:b w:val="1"/>
                <w:bCs w:val="1"/>
                <w:i w:val="1"/>
                <w:iCs w:val="1"/>
                <w:color w:val="auto"/>
                <w:w w:val="79"/>
              </w:rPr>
              <w:t>10.</w:t>
            </w:r>
          </w:p>
        </w:tc>
        <w:tc>
          <w:tcPr>
            <w:tcW w:w="700" w:type="dxa"/>
            <w:vAlign w:val="bottom"/>
          </w:tcPr>
          <w:p>
            <w:pPr>
              <w:spacing w:after="0"/>
              <w:rPr>
                <w:sz w:val="24"/>
                <w:szCs w:val="24"/>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b w:val="1"/>
                <w:bCs w:val="1"/>
                <w:i w:val="1"/>
                <w:iCs w:val="1"/>
                <w:color w:val="auto"/>
              </w:rPr>
              <w:t>Material Contracts</w:t>
            </w:r>
          </w:p>
        </w:tc>
      </w:tr>
      <w:tr>
        <w:trPr>
          <w:trHeight w:val="318"/>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10.1(1)</w:t>
            </w:r>
          </w:p>
        </w:tc>
        <w:tc>
          <w:tcPr>
            <w:tcW w:w="700" w:type="dxa"/>
            <w:vAlign w:val="bottom"/>
          </w:tcPr>
          <w:p>
            <w:pPr>
              <w:spacing w:after="0"/>
              <w:rPr>
                <w:sz w:val="24"/>
                <w:szCs w:val="24"/>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90"/>
              </w:rPr>
              <w:t>CME Group Inc. Amended and Restated Omnibus Stock Plan, amended and restated effective as of June 17, 2009 (incorporated by</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rPr>
              <w:t>reference to Exhibit 10.3 to CME Group Inc.’s Form 10-Q, filed with the SEC on August 6, 2009, File No. 001-31553).</w:t>
            </w:r>
          </w:p>
        </w:tc>
      </w:tr>
      <w:tr>
        <w:trPr>
          <w:trHeight w:val="324"/>
        </w:trPr>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w w:val="90"/>
              </w:rPr>
              <w:t>10.2(1)*</w:t>
            </w: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rPr>
              <w:t>Form of Equity Grant Letter for Executive Officers.</w:t>
            </w:r>
          </w:p>
        </w:tc>
      </w:tr>
      <w:tr>
        <w:trPr>
          <w:trHeight w:val="318"/>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10.3(1)</w:t>
            </w:r>
          </w:p>
        </w:tc>
        <w:tc>
          <w:tcPr>
            <w:tcW w:w="700" w:type="dxa"/>
            <w:vAlign w:val="bottom"/>
          </w:tcPr>
          <w:p>
            <w:pPr>
              <w:spacing w:after="0"/>
              <w:rPr>
                <w:sz w:val="24"/>
                <w:szCs w:val="24"/>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92"/>
              </w:rPr>
              <w:t>CME Group Inc. 2005 Director Stock Plan, amended and restated (incorporated by reference to Exhibit 10.2 to CME Group Inc.’s</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rPr>
              <w:t>Current Report on Form 8-K, filed with the SEC on May 18, 2009, File No. 001-31553).</w:t>
            </w:r>
          </w:p>
        </w:tc>
      </w:tr>
      <w:tr>
        <w:trPr>
          <w:trHeight w:val="324"/>
        </w:trPr>
        <w:tc>
          <w:tcPr>
            <w:tcW w:w="1260" w:type="dxa"/>
            <w:vAlign w:val="bottom"/>
            <w:gridSpan w:val="3"/>
          </w:tcPr>
          <w:p>
            <w:pPr>
              <w:jc w:val="right"/>
              <w:ind w:right="660"/>
              <w:spacing w:after="0"/>
              <w:rPr>
                <w:sz w:val="20"/>
                <w:szCs w:val="20"/>
                <w:color w:val="auto"/>
              </w:rPr>
            </w:pPr>
            <w:r>
              <w:rPr>
                <w:rFonts w:ascii="Arial" w:cs="Arial" w:eastAsia="Arial" w:hAnsi="Arial"/>
                <w:sz w:val="18"/>
                <w:szCs w:val="18"/>
                <w:color w:val="auto"/>
                <w:w w:val="90"/>
              </w:rPr>
              <w:t>10.4(1)*</w:t>
            </w: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rPr>
              <w:t>Form of Equity Stipend Grant Letter for Non-Executive Directors.</w:t>
            </w:r>
          </w:p>
        </w:tc>
      </w:tr>
      <w:tr>
        <w:trPr>
          <w:trHeight w:val="318"/>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87"/>
              </w:rPr>
              <w:t>10.5(1)</w:t>
            </w:r>
          </w:p>
        </w:tc>
        <w:tc>
          <w:tcPr>
            <w:tcW w:w="700" w:type="dxa"/>
            <w:vAlign w:val="bottom"/>
          </w:tcPr>
          <w:p>
            <w:pPr>
              <w:spacing w:after="0"/>
              <w:rPr>
                <w:sz w:val="24"/>
                <w:szCs w:val="24"/>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w w:val="91"/>
              </w:rPr>
              <w:t>Chicago Mercantile Exchange Holdings Inc. Amended and Restated Employee Stock Purchase Plan (incorporated by reference to</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160" w:type="dxa"/>
            <w:vAlign w:val="bottom"/>
            <w:gridSpan w:val="3"/>
          </w:tcPr>
          <w:p>
            <w:pPr>
              <w:ind w:left="660"/>
              <w:spacing w:after="0"/>
              <w:rPr>
                <w:sz w:val="20"/>
                <w:szCs w:val="20"/>
                <w:color w:val="auto"/>
              </w:rPr>
            </w:pPr>
            <w:r>
              <w:rPr>
                <w:rFonts w:ascii="Arial" w:cs="Arial" w:eastAsia="Arial" w:hAnsi="Arial"/>
                <w:sz w:val="18"/>
                <w:szCs w:val="18"/>
                <w:color w:val="auto"/>
              </w:rPr>
              <w:t>Exhibit 10.1 to CME Group Inc.’s Form 10-Q, filed with the SEC on August 3, 2007, File No. 000-33379).</w:t>
            </w:r>
          </w:p>
        </w:tc>
      </w:tr>
      <w:tr>
        <w:trPr>
          <w:trHeight w:val="36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40" w:type="dxa"/>
            <w:vAlign w:val="bottom"/>
          </w:tcPr>
          <w:p>
            <w:pPr>
              <w:ind w:left="4320"/>
              <w:spacing w:after="0"/>
              <w:rPr>
                <w:sz w:val="20"/>
                <w:szCs w:val="20"/>
                <w:color w:val="auto"/>
              </w:rPr>
            </w:pPr>
            <w:r>
              <w:rPr>
                <w:rFonts w:ascii="Arial" w:cs="Arial" w:eastAsia="Arial" w:hAnsi="Arial"/>
                <w:sz w:val="18"/>
                <w:szCs w:val="18"/>
                <w:color w:val="auto"/>
              </w:rPr>
              <w:t>139</w:t>
            </w:r>
          </w:p>
        </w:tc>
        <w:tc>
          <w:tcPr>
            <w:tcW w:w="1340" w:type="dxa"/>
            <w:vAlign w:val="bottom"/>
          </w:tcPr>
          <w:p>
            <w:pPr>
              <w:spacing w:after="0"/>
              <w:rPr>
                <w:sz w:val="24"/>
                <w:szCs w:val="24"/>
                <w:color w:val="auto"/>
              </w:rPr>
            </w:pPr>
          </w:p>
        </w:tc>
        <w:tc>
          <w:tcPr>
            <w:tcW w:w="4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39" w:name="page140"/>
    <w:bookmarkEnd w:id="139"/>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2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Exhibit</w:t>
            </w:r>
          </w:p>
        </w:tc>
        <w:tc>
          <w:tcPr>
            <w:tcW w:w="4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40" w:type="dxa"/>
            <w:vAlign w:val="bottom"/>
          </w:tcPr>
          <w:p>
            <w:pPr>
              <w:spacing w:after="0"/>
              <w:rPr>
                <w:sz w:val="14"/>
                <w:szCs w:val="14"/>
                <w:color w:val="auto"/>
              </w:rPr>
            </w:pPr>
          </w:p>
        </w:tc>
      </w:tr>
      <w:tr>
        <w:trPr>
          <w:trHeight w:val="161"/>
        </w:trPr>
        <w:tc>
          <w:tcPr>
            <w:tcW w:w="1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7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Description of Exhibit</w:t>
            </w:r>
          </w:p>
        </w:tc>
        <w:tc>
          <w:tcPr>
            <w:tcW w:w="4040" w:type="dxa"/>
            <w:vAlign w:val="bottom"/>
          </w:tcPr>
          <w:p>
            <w:pPr>
              <w:spacing w:after="0"/>
              <w:rPr>
                <w:sz w:val="14"/>
                <w:szCs w:val="14"/>
                <w:color w:val="auto"/>
              </w:rPr>
            </w:pPr>
          </w:p>
        </w:tc>
      </w:tr>
      <w:tr>
        <w:trPr>
          <w:trHeight w:val="309"/>
        </w:trPr>
        <w:tc>
          <w:tcPr>
            <w:tcW w:w="600" w:type="dxa"/>
            <w:vAlign w:val="bottom"/>
            <w:gridSpan w:val="2"/>
          </w:tcPr>
          <w:p>
            <w:pPr>
              <w:spacing w:after="0"/>
              <w:rPr>
                <w:sz w:val="20"/>
                <w:szCs w:val="20"/>
                <w:color w:val="auto"/>
              </w:rPr>
            </w:pPr>
            <w:r>
              <w:rPr>
                <w:rFonts w:ascii="Arial" w:cs="Arial" w:eastAsia="Arial" w:hAnsi="Arial"/>
                <w:sz w:val="18"/>
                <w:szCs w:val="18"/>
                <w:color w:val="auto"/>
              </w:rPr>
              <w:t>10.6(1)</w:t>
            </w:r>
          </w:p>
        </w:tc>
        <w:tc>
          <w:tcPr>
            <w:tcW w:w="740" w:type="dxa"/>
            <w:vAlign w:val="bottom"/>
          </w:tcPr>
          <w:p>
            <w:pPr>
              <w:spacing w:after="0"/>
              <w:rPr>
                <w:sz w:val="24"/>
                <w:szCs w:val="24"/>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6"/>
              </w:rPr>
              <w:t>Amended and Restated CBOT Holdings, Inc. 2005 Long-Term Equity Plan, amended and restated as of December 2, 2008</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4"/>
              </w:rPr>
              <w:t>(incorporated by reference to Exhibit 10.6 to CME Group Inc.’s Form 10-K, filed with the SEC on March 2, 2009, File No. 001-</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31553).</w:t>
            </w:r>
          </w:p>
        </w:tc>
        <w:tc>
          <w:tcPr>
            <w:tcW w:w="13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10.7(1)</w:t>
            </w:r>
          </w:p>
        </w:tc>
        <w:tc>
          <w:tcPr>
            <w:tcW w:w="740" w:type="dxa"/>
            <w:vAlign w:val="bottom"/>
          </w:tcPr>
          <w:p>
            <w:pPr>
              <w:spacing w:after="0"/>
              <w:rPr>
                <w:sz w:val="24"/>
                <w:szCs w:val="24"/>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89"/>
              </w:rPr>
              <w:t>Amended and Restated NYMEX Holdings, Inc. 2006 Omnibus Long-Term Incentive Plan, amended and restated as of December 2,</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0"/>
              </w:rPr>
              <w:t>2008 (incorporated by reference to Exhibit 10.7 to CME Group Inc.’s Form 10-K, filed with the SEC on March 2, 2009, File No. 001-</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31553).</w:t>
            </w:r>
          </w:p>
        </w:tc>
        <w:tc>
          <w:tcPr>
            <w:tcW w:w="1340" w:type="dxa"/>
            <w:vAlign w:val="bottom"/>
          </w:tcPr>
          <w:p>
            <w:pPr>
              <w:spacing w:after="0"/>
              <w:rPr>
                <w:sz w:val="19"/>
                <w:szCs w:val="19"/>
                <w:color w:val="auto"/>
              </w:rPr>
            </w:pPr>
          </w:p>
        </w:tc>
        <w:tc>
          <w:tcPr>
            <w:tcW w:w="4040" w:type="dxa"/>
            <w:vAlign w:val="bottom"/>
          </w:tcPr>
          <w:p>
            <w:pPr>
              <w:spacing w:after="0"/>
              <w:rPr>
                <w:sz w:val="19"/>
                <w:szCs w:val="19"/>
                <w:color w:val="auto"/>
              </w:rPr>
            </w:pP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10.8(1)</w:t>
            </w:r>
          </w:p>
        </w:tc>
        <w:tc>
          <w:tcPr>
            <w:tcW w:w="740" w:type="dxa"/>
            <w:vAlign w:val="bottom"/>
          </w:tcPr>
          <w:p>
            <w:pPr>
              <w:spacing w:after="0"/>
              <w:rPr>
                <w:sz w:val="24"/>
                <w:szCs w:val="24"/>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7"/>
              </w:rPr>
              <w:t>Chicago Mercantile Exchange Inc. Senior Management Supplemental Deferred Savings Plan (SMSDSP) consisting of the</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87"/>
              </w:rPr>
              <w:t>Grandfathered SMSDSP, amended and restated as of January 1, 2008, and the Amended and Restated 409A SMSDSP, amended and</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3"/>
              </w:rPr>
              <w:t>restated as of January 1, 2008 (incorporated by reference to Exhibit 10.7 to CME Group Inc.’s Form 10-K, filed with the SEC on</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rPr>
              <w:t>February 28, 2008, File No. 000-33379).</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rPr>
              <w:t>10.9(1)</w:t>
            </w:r>
          </w:p>
        </w:tc>
        <w:tc>
          <w:tcPr>
            <w:tcW w:w="740" w:type="dxa"/>
            <w:vAlign w:val="bottom"/>
          </w:tcPr>
          <w:p>
            <w:pPr>
              <w:spacing w:after="0"/>
              <w:rPr>
                <w:sz w:val="24"/>
                <w:szCs w:val="24"/>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2"/>
              </w:rPr>
              <w:t>Amended and Restated Chicago Mercantile Exchange Inc. Directors’ Deferred Compensation Plan, amended and restated as of</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2"/>
              </w:rPr>
              <w:t>January 1, 2009 (incorporated by reference to Exhibit 10.9 to CME Group Inc.’s Form 10-K, filed with the SEC on March 2, 2009,</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rPr>
              <w:t>File No. 001-31553).</w:t>
            </w:r>
          </w:p>
        </w:tc>
      </w:tr>
      <w:tr>
        <w:trPr>
          <w:trHeight w:val="318"/>
        </w:trPr>
        <w:tc>
          <w:tcPr>
            <w:tcW w:w="1340" w:type="dxa"/>
            <w:vAlign w:val="bottom"/>
            <w:gridSpan w:val="3"/>
          </w:tcPr>
          <w:p>
            <w:pPr>
              <w:spacing w:after="0"/>
              <w:rPr>
                <w:sz w:val="20"/>
                <w:szCs w:val="20"/>
                <w:color w:val="auto"/>
              </w:rPr>
            </w:pPr>
            <w:r>
              <w:rPr>
                <w:rFonts w:ascii="Arial" w:cs="Arial" w:eastAsia="Arial" w:hAnsi="Arial"/>
                <w:sz w:val="18"/>
                <w:szCs w:val="18"/>
                <w:color w:val="auto"/>
              </w:rPr>
              <w:t>10.10(1)</w:t>
            </w: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3"/>
              </w:rPr>
              <w:t>NYMEX Holdings, Inc. Executive Deferred Compensation Plan for Key Employees (incorporated by reference to Exhibit 10.5 to</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rPr>
              <w:t>NYMEX Holdings, Inc.’s Form 10-K, filed with the SEC on March 29, 2001, File No. 000-1105018).</w:t>
            </w:r>
          </w:p>
        </w:tc>
      </w:tr>
      <w:tr>
        <w:trPr>
          <w:trHeight w:val="318"/>
        </w:trPr>
        <w:tc>
          <w:tcPr>
            <w:tcW w:w="600" w:type="dxa"/>
            <w:vAlign w:val="bottom"/>
            <w:gridSpan w:val="2"/>
          </w:tcPr>
          <w:p>
            <w:pPr>
              <w:spacing w:after="0"/>
              <w:rPr>
                <w:sz w:val="20"/>
                <w:szCs w:val="20"/>
                <w:color w:val="auto"/>
              </w:rPr>
            </w:pPr>
            <w:r>
              <w:rPr>
                <w:rFonts w:ascii="Arial" w:cs="Arial" w:eastAsia="Arial" w:hAnsi="Arial"/>
                <w:sz w:val="18"/>
                <w:szCs w:val="18"/>
                <w:color w:val="auto"/>
                <w:w w:val="86"/>
              </w:rPr>
              <w:t>10.11(1)</w:t>
            </w:r>
          </w:p>
        </w:tc>
        <w:tc>
          <w:tcPr>
            <w:tcW w:w="740" w:type="dxa"/>
            <w:vAlign w:val="bottom"/>
          </w:tcPr>
          <w:p>
            <w:pPr>
              <w:spacing w:after="0"/>
              <w:rPr>
                <w:sz w:val="24"/>
                <w:szCs w:val="24"/>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6"/>
              </w:rPr>
              <w:t>Chicago Mercantile Exchange Inc. Supplemental Executive Retirement Plan consisting of the Grandfathered Supplemental</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3"/>
              </w:rPr>
              <w:t>Retirement Plan, amended and restated as of January 1, 2008, and the Amended and Restated 409A Supplemental Executive</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4"/>
              </w:rPr>
              <w:t>Retirement Plan, amended and restated as of January 1, 2008 (incorporated by reference to Exhibit 10.9 to CME Group Inc.’s</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rPr>
              <w:t>Form 10-K, filed with the SEC on February 28, 2008, File No. 000-33379).</w:t>
            </w:r>
          </w:p>
        </w:tc>
      </w:tr>
      <w:tr>
        <w:trPr>
          <w:trHeight w:val="318"/>
        </w:trPr>
        <w:tc>
          <w:tcPr>
            <w:tcW w:w="1340" w:type="dxa"/>
            <w:vAlign w:val="bottom"/>
            <w:gridSpan w:val="3"/>
          </w:tcPr>
          <w:p>
            <w:pPr>
              <w:spacing w:after="0"/>
              <w:rPr>
                <w:sz w:val="20"/>
                <w:szCs w:val="20"/>
                <w:color w:val="auto"/>
              </w:rPr>
            </w:pPr>
            <w:r>
              <w:rPr>
                <w:rFonts w:ascii="Arial" w:cs="Arial" w:eastAsia="Arial" w:hAnsi="Arial"/>
                <w:sz w:val="18"/>
                <w:szCs w:val="18"/>
                <w:color w:val="auto"/>
              </w:rPr>
              <w:t>10.12(1)</w:t>
            </w: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1"/>
              </w:rPr>
              <w:t>Chicago Mercantile Exchange Inc. Supplemental Executive Retirement Trust; First Amendment thereto, dated September 7, 1993</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89"/>
              </w:rPr>
              <w:t>(incorporated by reference to Exhibit 10.5 to Chicago Mercantile Exchange Inc.’s Form S-4, filed with the SEC on February 24, 2000,</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rPr>
              <w:t>File No. 333-95561).</w:t>
            </w:r>
          </w:p>
        </w:tc>
      </w:tr>
      <w:tr>
        <w:trPr>
          <w:trHeight w:val="318"/>
        </w:trPr>
        <w:tc>
          <w:tcPr>
            <w:tcW w:w="1340" w:type="dxa"/>
            <w:vAlign w:val="bottom"/>
            <w:gridSpan w:val="3"/>
          </w:tcPr>
          <w:p>
            <w:pPr>
              <w:spacing w:after="0"/>
              <w:rPr>
                <w:sz w:val="20"/>
                <w:szCs w:val="20"/>
                <w:color w:val="auto"/>
              </w:rPr>
            </w:pPr>
            <w:r>
              <w:rPr>
                <w:rFonts w:ascii="Arial" w:cs="Arial" w:eastAsia="Arial" w:hAnsi="Arial"/>
                <w:sz w:val="18"/>
                <w:szCs w:val="18"/>
                <w:color w:val="auto"/>
              </w:rPr>
              <w:t>10.13(1)</w:t>
            </w: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2"/>
              </w:rPr>
              <w:t>COMEX Members’ Recognition and Retention Plan (incorporated by reference to Exhibit 10.11 to NYMEX Holdings, Inc.’s Form</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rPr>
              <w:t>10-K, filed with the SEC on March 29, 2001, File No. 000-1105018).</w:t>
            </w:r>
          </w:p>
        </w:tc>
      </w:tr>
      <w:tr>
        <w:trPr>
          <w:trHeight w:val="318"/>
        </w:trPr>
        <w:tc>
          <w:tcPr>
            <w:tcW w:w="1340" w:type="dxa"/>
            <w:vAlign w:val="bottom"/>
            <w:gridSpan w:val="3"/>
          </w:tcPr>
          <w:p>
            <w:pPr>
              <w:spacing w:after="0"/>
              <w:rPr>
                <w:sz w:val="20"/>
                <w:szCs w:val="20"/>
                <w:color w:val="auto"/>
              </w:rPr>
            </w:pPr>
            <w:r>
              <w:rPr>
                <w:rFonts w:ascii="Arial" w:cs="Arial" w:eastAsia="Arial" w:hAnsi="Arial"/>
                <w:sz w:val="18"/>
                <w:szCs w:val="18"/>
                <w:color w:val="auto"/>
              </w:rPr>
              <w:t>10.14(1)*</w:t>
            </w: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0"/>
              </w:rPr>
              <w:t>Amended and Restated CME Group Inc. Incentive Plan for Named Executive Officers (incorporated by reference to Exhibit 10.3 to</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0"/>
              </w:rPr>
              <w:t>CME Group Inc.’s Current Report on Form 8-K, filed with the SEC on May 18, 2009, File No. 001-31553); Amendment, effective as</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rPr>
              <w:t>of February 2, 2010.*</w:t>
            </w:r>
          </w:p>
        </w:tc>
      </w:tr>
      <w:tr>
        <w:trPr>
          <w:trHeight w:val="318"/>
        </w:trPr>
        <w:tc>
          <w:tcPr>
            <w:tcW w:w="1340" w:type="dxa"/>
            <w:vAlign w:val="bottom"/>
            <w:gridSpan w:val="3"/>
          </w:tcPr>
          <w:p>
            <w:pPr>
              <w:spacing w:after="0"/>
              <w:rPr>
                <w:sz w:val="20"/>
                <w:szCs w:val="20"/>
                <w:color w:val="auto"/>
              </w:rPr>
            </w:pPr>
            <w:r>
              <w:rPr>
                <w:rFonts w:ascii="Arial" w:cs="Arial" w:eastAsia="Arial" w:hAnsi="Arial"/>
                <w:sz w:val="18"/>
                <w:szCs w:val="18"/>
                <w:color w:val="auto"/>
              </w:rPr>
              <w:t>10.15(1)*</w:t>
            </w: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89"/>
              </w:rPr>
              <w:t>CME Group Inc. Annual Incentive Plan, adopted as of March 4, 2008 (incorporated by reference to Exhibit 10.2 to CME Group Inc.’s</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rPr>
              <w:t>Form 10-Q, filed with the SEC on May 9, 2008, File No. 000-33379); Amendment, effective as of February 2, 2010.*</w:t>
            </w:r>
          </w:p>
        </w:tc>
      </w:tr>
      <w:tr>
        <w:trPr>
          <w:trHeight w:val="318"/>
        </w:trPr>
        <w:tc>
          <w:tcPr>
            <w:tcW w:w="1340" w:type="dxa"/>
            <w:vAlign w:val="bottom"/>
            <w:gridSpan w:val="3"/>
          </w:tcPr>
          <w:p>
            <w:pPr>
              <w:spacing w:after="0"/>
              <w:rPr>
                <w:sz w:val="20"/>
                <w:szCs w:val="20"/>
                <w:color w:val="auto"/>
              </w:rPr>
            </w:pPr>
            <w:r>
              <w:rPr>
                <w:rFonts w:ascii="Arial" w:cs="Arial" w:eastAsia="Arial" w:hAnsi="Arial"/>
                <w:sz w:val="18"/>
                <w:szCs w:val="18"/>
                <w:color w:val="auto"/>
              </w:rPr>
              <w:t>10.16(1)</w:t>
            </w: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3"/>
              </w:rPr>
              <w:t>Amended and Restated CME Group Inc. Severance Plan for Corporate Officers, dated as of August 13, 2007 (incorporated by</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8"/>
              </w:rPr>
              <w:t>reference to Exhibit 10.9 to CME Group Inc.’s Form 10-Q, filed with the SEC on November 8, 2007, File No. 000-33379);</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1"/>
              </w:rPr>
              <w:t>Amendment, effective as of December 21, 2007 (incorporated by reference to Exhibit 10.12 to CME Group Inc.’s Form 10-K, filed</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rPr>
              <w:t>with the SEC on February 28, 2008, File No. 000-33379).</w:t>
            </w:r>
          </w:p>
        </w:tc>
      </w:tr>
      <w:tr>
        <w:trPr>
          <w:trHeight w:val="318"/>
        </w:trPr>
        <w:tc>
          <w:tcPr>
            <w:tcW w:w="1340" w:type="dxa"/>
            <w:vAlign w:val="bottom"/>
            <w:gridSpan w:val="3"/>
          </w:tcPr>
          <w:p>
            <w:pPr>
              <w:spacing w:after="0"/>
              <w:rPr>
                <w:sz w:val="20"/>
                <w:szCs w:val="20"/>
                <w:color w:val="auto"/>
              </w:rPr>
            </w:pPr>
            <w:r>
              <w:rPr>
                <w:rFonts w:ascii="Arial" w:cs="Arial" w:eastAsia="Arial" w:hAnsi="Arial"/>
                <w:sz w:val="18"/>
                <w:szCs w:val="18"/>
                <w:color w:val="auto"/>
              </w:rPr>
              <w:t>10.17(1)</w:t>
            </w: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w w:val="92"/>
              </w:rPr>
              <w:t>Agreement, dated August 5, 2009, between CME Group Inc. and Craig S. Donohue (incorporated by reference to Exhibit 10.1 to</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80" w:type="dxa"/>
            <w:vAlign w:val="bottom"/>
            <w:gridSpan w:val="3"/>
          </w:tcPr>
          <w:p>
            <w:pPr>
              <w:ind w:left="640"/>
              <w:spacing w:after="0"/>
              <w:rPr>
                <w:sz w:val="20"/>
                <w:szCs w:val="20"/>
                <w:color w:val="auto"/>
              </w:rPr>
            </w:pPr>
            <w:r>
              <w:rPr>
                <w:rFonts w:ascii="Arial" w:cs="Arial" w:eastAsia="Arial" w:hAnsi="Arial"/>
                <w:sz w:val="18"/>
                <w:szCs w:val="18"/>
                <w:color w:val="auto"/>
              </w:rPr>
              <w:t>CME Group Inc.’s Form 8-K, filed with the SEC on August 6, 2009, File No. 001-31553).</w:t>
            </w:r>
          </w:p>
        </w:tc>
      </w:tr>
      <w:tr>
        <w:trPr>
          <w:trHeight w:val="365"/>
        </w:trPr>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700" w:type="dxa"/>
            <w:vAlign w:val="bottom"/>
          </w:tcPr>
          <w:p>
            <w:pPr>
              <w:ind w:left="4240"/>
              <w:spacing w:after="0"/>
              <w:rPr>
                <w:sz w:val="20"/>
                <w:szCs w:val="20"/>
                <w:color w:val="auto"/>
              </w:rPr>
            </w:pPr>
            <w:r>
              <w:rPr>
                <w:rFonts w:ascii="Arial" w:cs="Arial" w:eastAsia="Arial" w:hAnsi="Arial"/>
                <w:sz w:val="18"/>
                <w:szCs w:val="18"/>
                <w:color w:val="auto"/>
              </w:rPr>
              <w:t>140</w:t>
            </w:r>
          </w:p>
        </w:tc>
        <w:tc>
          <w:tcPr>
            <w:tcW w:w="1340" w:type="dxa"/>
            <w:vAlign w:val="bottom"/>
          </w:tcPr>
          <w:p>
            <w:pPr>
              <w:spacing w:after="0"/>
              <w:rPr>
                <w:sz w:val="24"/>
                <w:szCs w:val="24"/>
                <w:color w:val="auto"/>
              </w:rPr>
            </w:pPr>
          </w:p>
        </w:tc>
        <w:tc>
          <w:tcPr>
            <w:tcW w:w="40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63"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140" w:name="page141"/>
    <w:bookmarkEnd w:id="140"/>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2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Exhibit</w:t>
            </w:r>
          </w:p>
        </w:tc>
        <w:tc>
          <w:tcPr>
            <w:tcW w:w="4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161"/>
        </w:trPr>
        <w:tc>
          <w:tcPr>
            <w:tcW w:w="10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7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Description of Exhibit</w:t>
            </w:r>
          </w:p>
        </w:tc>
        <w:tc>
          <w:tcPr>
            <w:tcW w:w="4020" w:type="dxa"/>
            <w:vAlign w:val="bottom"/>
          </w:tcPr>
          <w:p>
            <w:pPr>
              <w:spacing w:after="0"/>
              <w:rPr>
                <w:sz w:val="14"/>
                <w:szCs w:val="14"/>
                <w:color w:val="auto"/>
              </w:rPr>
            </w:pPr>
          </w:p>
        </w:tc>
      </w:tr>
      <w:tr>
        <w:trPr>
          <w:trHeight w:val="309"/>
        </w:trPr>
        <w:tc>
          <w:tcPr>
            <w:tcW w:w="1340" w:type="dxa"/>
            <w:vAlign w:val="bottom"/>
            <w:gridSpan w:val="3"/>
          </w:tcPr>
          <w:p>
            <w:pPr>
              <w:spacing w:after="0"/>
              <w:rPr>
                <w:sz w:val="20"/>
                <w:szCs w:val="20"/>
                <w:color w:val="auto"/>
              </w:rPr>
            </w:pPr>
            <w:r>
              <w:rPr>
                <w:rFonts w:ascii="Arial" w:cs="Arial" w:eastAsia="Arial" w:hAnsi="Arial"/>
                <w:sz w:val="18"/>
                <w:szCs w:val="18"/>
                <w:color w:val="auto"/>
              </w:rPr>
              <w:t>10.18(1)</w:t>
            </w: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w w:val="88"/>
              </w:rPr>
              <w:t>Amended and Restated Agreement, dated August 5, 2009, between CME Group Inc. and Phupinder Gill (incorporated by reference to</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rPr>
              <w:t>Exhibit 10.2 to CME Group Inc.’s Form 8-K, filed with the SEC on August 6, 2009).</w:t>
            </w:r>
          </w:p>
        </w:tc>
      </w:tr>
      <w:tr>
        <w:trPr>
          <w:trHeight w:val="318"/>
        </w:trPr>
        <w:tc>
          <w:tcPr>
            <w:tcW w:w="1340" w:type="dxa"/>
            <w:vAlign w:val="bottom"/>
            <w:gridSpan w:val="3"/>
          </w:tcPr>
          <w:p>
            <w:pPr>
              <w:spacing w:after="0"/>
              <w:rPr>
                <w:sz w:val="20"/>
                <w:szCs w:val="20"/>
                <w:color w:val="auto"/>
              </w:rPr>
            </w:pPr>
            <w:r>
              <w:rPr>
                <w:rFonts w:ascii="Arial" w:cs="Arial" w:eastAsia="Arial" w:hAnsi="Arial"/>
                <w:sz w:val="18"/>
                <w:szCs w:val="18"/>
                <w:color w:val="auto"/>
              </w:rPr>
              <w:t>10.19(1)</w:t>
            </w: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w w:val="89"/>
              </w:rPr>
              <w:t>Retention Arrangement between Terrence A. Duffy and CME Group Inc., effective as of May 14, 2009 (incorporated by reference to</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rPr>
              <w:t>Exhibit 10.1 to CME Group Inc.’s Form 10-Q, filed with the SEC on August 6, 2009, File No. 001-31553).</w:t>
            </w:r>
          </w:p>
        </w:tc>
      </w:tr>
      <w:tr>
        <w:trPr>
          <w:trHeight w:val="318"/>
        </w:trPr>
        <w:tc>
          <w:tcPr>
            <w:tcW w:w="1340" w:type="dxa"/>
            <w:vAlign w:val="bottom"/>
            <w:gridSpan w:val="3"/>
          </w:tcPr>
          <w:p>
            <w:pPr>
              <w:spacing w:after="0"/>
              <w:rPr>
                <w:sz w:val="20"/>
                <w:szCs w:val="20"/>
                <w:color w:val="auto"/>
              </w:rPr>
            </w:pPr>
            <w:r>
              <w:rPr>
                <w:rFonts w:ascii="Arial" w:cs="Arial" w:eastAsia="Arial" w:hAnsi="Arial"/>
                <w:sz w:val="18"/>
                <w:szCs w:val="18"/>
                <w:color w:val="auto"/>
              </w:rPr>
              <w:t>10.20(1)</w:t>
            </w: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w w:val="89"/>
              </w:rPr>
              <w:t>Employment Agreement, dated October 5, 2007, between Chicago Mercantile Exchange Inc., Board of Trade of the City of Chicago,</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w w:val="91"/>
              </w:rPr>
              <w:t>Inc. and Bryan Durkin (incorporated by reference to Exhibit 10.17 to CME Group Inc.’s Form 10-K, filed with the SEC on February</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rPr>
              <w:t>28, 2008, File No. 000-33379).</w:t>
            </w:r>
          </w:p>
        </w:tc>
      </w:tr>
      <w:tr>
        <w:trPr>
          <w:trHeight w:val="318"/>
        </w:trPr>
        <w:tc>
          <w:tcPr>
            <w:tcW w:w="1340" w:type="dxa"/>
            <w:vAlign w:val="bottom"/>
            <w:gridSpan w:val="3"/>
          </w:tcPr>
          <w:p>
            <w:pPr>
              <w:spacing w:after="0"/>
              <w:rPr>
                <w:sz w:val="20"/>
                <w:szCs w:val="20"/>
                <w:color w:val="auto"/>
              </w:rPr>
            </w:pPr>
            <w:r>
              <w:rPr>
                <w:rFonts w:ascii="Arial" w:cs="Arial" w:eastAsia="Arial" w:hAnsi="Arial"/>
                <w:sz w:val="18"/>
                <w:szCs w:val="18"/>
                <w:color w:val="auto"/>
              </w:rPr>
              <w:t>10.21(1)</w:t>
            </w: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w w:val="90"/>
              </w:rPr>
              <w:t>Consulting Agreement between Leo Melamed and CME Group Inc., dated June 26, 2009 (incorporated by reference to Exhibit 10.2</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rPr>
              <w:t>to CME Group Inc.’s Form 10-Q, filed with the SEC on August 6, 2009, File No. 001-31553).</w:t>
            </w:r>
          </w:p>
        </w:tc>
      </w:tr>
      <w:tr>
        <w:trPr>
          <w:trHeight w:val="318"/>
        </w:trPr>
        <w:tc>
          <w:tcPr>
            <w:tcW w:w="1340" w:type="dxa"/>
            <w:vAlign w:val="bottom"/>
            <w:gridSpan w:val="3"/>
          </w:tcPr>
          <w:p>
            <w:pPr>
              <w:spacing w:after="0"/>
              <w:rPr>
                <w:sz w:val="20"/>
                <w:szCs w:val="20"/>
                <w:color w:val="auto"/>
              </w:rPr>
            </w:pPr>
            <w:r>
              <w:rPr>
                <w:rFonts w:ascii="Arial" w:cs="Arial" w:eastAsia="Arial" w:hAnsi="Arial"/>
                <w:sz w:val="18"/>
                <w:szCs w:val="18"/>
                <w:color w:val="auto"/>
              </w:rPr>
              <w:t>10.22(1)</w:t>
            </w: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w w:val="96"/>
              </w:rPr>
              <w:t>Consulting Agreement between Chicago Mercantile Exchange Holdings Inc. and Leo Melamed, dated November 14, 2005</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w w:val="90"/>
              </w:rPr>
              <w:t>(incorporated by reference to Exhibit 10.28 to Chicago Mercantile Exchange Holdings Inc.’s Form 10-K filed with the SEC on March</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rPr>
              <w:t>6, 2006, File No. 000-33379).</w:t>
            </w:r>
          </w:p>
        </w:tc>
      </w:tr>
      <w:tr>
        <w:trPr>
          <w:trHeight w:val="318"/>
        </w:trPr>
        <w:tc>
          <w:tcPr>
            <w:tcW w:w="1340" w:type="dxa"/>
            <w:vAlign w:val="bottom"/>
            <w:gridSpan w:val="3"/>
          </w:tcPr>
          <w:p>
            <w:pPr>
              <w:spacing w:after="0"/>
              <w:rPr>
                <w:sz w:val="20"/>
                <w:szCs w:val="20"/>
                <w:color w:val="auto"/>
              </w:rPr>
            </w:pPr>
            <w:r>
              <w:rPr>
                <w:rFonts w:ascii="Arial" w:cs="Arial" w:eastAsia="Arial" w:hAnsi="Arial"/>
                <w:sz w:val="18"/>
                <w:szCs w:val="18"/>
                <w:color w:val="auto"/>
              </w:rPr>
              <w:t>10.23(1)</w:t>
            </w: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w w:val="88"/>
              </w:rPr>
              <w:t>Consulting Agreement between Chicago Mercantile Exchange Holdings Inc. and Jack Sandner, dated October 10, 2005 (incorporated</w:t>
            </w:r>
          </w:p>
        </w:tc>
      </w:tr>
      <w:tr>
        <w:trPr>
          <w:trHeight w:val="216"/>
        </w:trPr>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w w:val="91"/>
              </w:rPr>
              <w:t>by reference to Exhibit 10.4 to Chicago Mercantile Exchange Holdings Inc.’s Form 10-Q, filed with the SEC on November 4, 2005,</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rPr>
              <w:t>File No. 000-33379).</w:t>
            </w:r>
          </w:p>
        </w:tc>
      </w:tr>
      <w:tr>
        <w:trPr>
          <w:trHeight w:val="318"/>
        </w:trPr>
        <w:tc>
          <w:tcPr>
            <w:tcW w:w="1340" w:type="dxa"/>
            <w:vAlign w:val="bottom"/>
            <w:gridSpan w:val="3"/>
          </w:tcPr>
          <w:p>
            <w:pPr>
              <w:spacing w:after="0"/>
              <w:rPr>
                <w:sz w:val="20"/>
                <w:szCs w:val="20"/>
                <w:color w:val="auto"/>
              </w:rPr>
            </w:pPr>
            <w:r>
              <w:rPr>
                <w:rFonts w:ascii="Arial" w:cs="Arial" w:eastAsia="Arial" w:hAnsi="Arial"/>
                <w:sz w:val="18"/>
                <w:szCs w:val="18"/>
                <w:color w:val="auto"/>
              </w:rPr>
              <w:t>10.24(1)</w:t>
            </w: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w w:val="87"/>
              </w:rPr>
              <w:t>Agreement, dated September 24, 2009, between Chicago Mercantile Exchange Inc. and James Newsome (incorporated by Reference</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rPr>
              <w:t>to Exhibit 10.3 to CME Group Inc.’s Form 10-Q, filed with the SEC on November 6, 2009, File No. 001-31553).</w:t>
            </w:r>
          </w:p>
        </w:tc>
      </w:tr>
      <w:tr>
        <w:trPr>
          <w:trHeight w:val="324"/>
        </w:trPr>
        <w:tc>
          <w:tcPr>
            <w:tcW w:w="1340" w:type="dxa"/>
            <w:vAlign w:val="bottom"/>
            <w:gridSpan w:val="3"/>
          </w:tcPr>
          <w:p>
            <w:pPr>
              <w:spacing w:after="0"/>
              <w:rPr>
                <w:sz w:val="20"/>
                <w:szCs w:val="20"/>
                <w:color w:val="auto"/>
              </w:rPr>
            </w:pPr>
            <w:r>
              <w:rPr>
                <w:rFonts w:ascii="Arial" w:cs="Arial" w:eastAsia="Arial" w:hAnsi="Arial"/>
                <w:sz w:val="18"/>
                <w:szCs w:val="18"/>
                <w:color w:val="auto"/>
              </w:rPr>
              <w:t>10.25(1)*</w:t>
            </w: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rPr>
              <w:t>Agreement, dated August 26, 2009, between New York Mercantile Exchange Inc. and Laurent Paulhac.</w:t>
            </w:r>
          </w:p>
        </w:tc>
      </w:tr>
      <w:tr>
        <w:trPr>
          <w:trHeight w:val="318"/>
        </w:trPr>
        <w:tc>
          <w:tcPr>
            <w:tcW w:w="1340" w:type="dxa"/>
            <w:vAlign w:val="bottom"/>
            <w:gridSpan w:val="3"/>
          </w:tcPr>
          <w:p>
            <w:pPr>
              <w:spacing w:after="0"/>
              <w:rPr>
                <w:sz w:val="20"/>
                <w:szCs w:val="20"/>
                <w:color w:val="auto"/>
              </w:rPr>
            </w:pPr>
            <w:r>
              <w:rPr>
                <w:rFonts w:ascii="Arial" w:cs="Arial" w:eastAsia="Arial" w:hAnsi="Arial"/>
                <w:sz w:val="18"/>
                <w:szCs w:val="18"/>
                <w:color w:val="auto"/>
              </w:rPr>
              <w:t>10.26(2)*</w:t>
            </w: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w w:val="88"/>
              </w:rPr>
              <w:t>Amended and Restated License Agreement, effective as of September 20, 2005, by and between Standard &amp; Poor’s, a division of The</w:t>
            </w:r>
          </w:p>
        </w:tc>
      </w:tr>
      <w:tr>
        <w:trPr>
          <w:trHeight w:val="222"/>
        </w:trPr>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60" w:type="dxa"/>
            <w:vAlign w:val="bottom"/>
            <w:gridSpan w:val="3"/>
          </w:tcPr>
          <w:p>
            <w:pPr>
              <w:ind w:left="640"/>
              <w:spacing w:after="0"/>
              <w:rPr>
                <w:sz w:val="20"/>
                <w:szCs w:val="20"/>
                <w:color w:val="auto"/>
              </w:rPr>
            </w:pPr>
            <w:r>
              <w:rPr>
                <w:rFonts w:ascii="Arial" w:cs="Arial" w:eastAsia="Arial" w:hAnsi="Arial"/>
                <w:sz w:val="18"/>
                <w:szCs w:val="18"/>
                <w:color w:val="auto"/>
                <w:w w:val="96"/>
              </w:rPr>
              <w:t>McGraw-Hill Companies, Inc., and Chicago Mercantile Exchange Inc. (incorporated by reference to Exhibit 10.1 to Chicago</w:t>
            </w:r>
          </w:p>
        </w:tc>
      </w:tr>
    </w:tbl>
    <w:p>
      <w:pPr>
        <w:ind w:left="19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Mercantile Exchange Holdings Inc.’s Form 10-Q, filed with the SEC on November 4, 2005, File No. 000-33379); Amendment, dated March 30, 2006 (incorporated by reference to Exhibit 10.3 to Chicago Mercantile Exchange Holdings Inc.’s Form 10-Q, filed with the SEC on May 8, 2006, File No. 000-33379); Amendment, dated September 22, 2006 (incorporated by reference to Exhibit 10.3 to Chicago Mercantile Exchange Holdings Inc.’s Form 10-Q filed with the SEC on November 6, 2006, File No. 000-33379); Amendment, dated September 28, 2006 (incorporated by reference to Exhibit 10.4 to Chicago Mercantile Exchange Holdings Inc.’s Form 10-Q filed with the SEC on November 6, 2006, File No. 000-33379); Amendment, dated as of March 2, 2009 (incorporated by reference to Exhibit 10.1 to CME Group Inc.’s Form 10-Q, filed with the SEC on May 8, 2009, File No. 001-31553); Amendment, dated as of April 27, 2009 (incorporated by reference to Exhibit 10.6 to CME Group Inc.’s Form 10-Q, filed with the SEC on August 6, 2009, File No. 001-31553); Amendment, dated as of April 27, 2009 (incorporated by reference to Exhibit 10.7 to CME Group Inc.’s Form 10-Q, filed with the SEC on August 6, 2009, File No. 001-31553); Amendment, dated as of July 24, 2009, (incorporated by reference to Exhibit 10.5 to CME Group Inc.’s Form 10-Q, filed with the SEC on November 6, 2009, File No. 001-31553); Amendment, dated October 2, 2009.*</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263" w:right="2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Exhibit</w:t>
            </w:r>
          </w:p>
        </w:tc>
        <w:tc>
          <w:tcPr>
            <w:tcW w:w="4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61"/>
        </w:trPr>
        <w:tc>
          <w:tcPr>
            <w:tcW w:w="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Exhibit</w:t>
            </w:r>
          </w:p>
        </w:tc>
        <w:tc>
          <w:tcPr>
            <w:tcW w:w="4100" w:type="dxa"/>
            <w:vAlign w:val="bottom"/>
          </w:tcPr>
          <w:p>
            <w:pPr>
              <w:spacing w:after="0"/>
              <w:rPr>
                <w:sz w:val="14"/>
                <w:szCs w:val="14"/>
                <w:color w:val="auto"/>
              </w:rPr>
            </w:pPr>
          </w:p>
        </w:tc>
      </w:tr>
      <w:tr>
        <w:trPr>
          <w:trHeight w:val="309"/>
        </w:trPr>
        <w:tc>
          <w:tcPr>
            <w:tcW w:w="1200" w:type="dxa"/>
            <w:vAlign w:val="bottom"/>
            <w:gridSpan w:val="3"/>
          </w:tcPr>
          <w:p>
            <w:pPr>
              <w:spacing w:after="0"/>
              <w:rPr>
                <w:sz w:val="20"/>
                <w:szCs w:val="20"/>
                <w:color w:val="auto"/>
              </w:rPr>
            </w:pPr>
            <w:r>
              <w:rPr>
                <w:rFonts w:ascii="Arial" w:cs="Arial" w:eastAsia="Arial" w:hAnsi="Arial"/>
                <w:sz w:val="18"/>
                <w:szCs w:val="18"/>
                <w:color w:val="auto"/>
              </w:rPr>
              <w:t>10.27(2)</w:t>
            </w: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90"/>
              </w:rPr>
              <w:t>License Agreement, effective as of October 9, 2003, between The Nasdaq Stock Market, Inc., a subsidiary of National Association of</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90"/>
              </w:rPr>
              <w:t>Securities Dealers, Inc., and Chicago Mercantile Exchange Inc. (incorporated by reference to Chicago Mercantile Exchange Holdings</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93"/>
              </w:rPr>
              <w:t>Inc.’s Form 10-K, filed with the SEC on March 11, 2004, File No. 001-31553), Amendment, dated April 26, 2005 (incorporated by</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91"/>
              </w:rPr>
              <w:t>reference to Exhibit 10.1 to Chicago Mercantile Exchange Holdings Inc.’s Form 10-Q, filed with the SEC on August 4, 2005, File No.</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91"/>
              </w:rPr>
              <w:t>001-31553); Amendment, dated June 22, 2005 (incorporated by reference to Exhibit 10.2 to Chicago Mercantile Exchange Holdings</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89"/>
              </w:rPr>
              <w:t>Inc.’s Form 10-Q, filed with the SEC on August 4, 2005, File No. 001-31553); Amendment, dated as of June 26, 2008 (incorporated by</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rPr>
              <w:t>reference to Exhibit 10.1 to CME Group Inc.’s Form 10-Q, filed with the SEC on August 7, 2008, File No. 000-31553).</w:t>
            </w:r>
          </w:p>
        </w:tc>
      </w:tr>
      <w:tr>
        <w:trPr>
          <w:trHeight w:val="318"/>
        </w:trPr>
        <w:tc>
          <w:tcPr>
            <w:tcW w:w="1200" w:type="dxa"/>
            <w:vAlign w:val="bottom"/>
            <w:gridSpan w:val="3"/>
          </w:tcPr>
          <w:p>
            <w:pPr>
              <w:spacing w:after="0"/>
              <w:rPr>
                <w:sz w:val="20"/>
                <w:szCs w:val="20"/>
                <w:color w:val="auto"/>
              </w:rPr>
            </w:pPr>
            <w:r>
              <w:rPr>
                <w:rFonts w:ascii="Arial" w:cs="Arial" w:eastAsia="Arial" w:hAnsi="Arial"/>
                <w:sz w:val="18"/>
                <w:szCs w:val="18"/>
                <w:color w:val="auto"/>
              </w:rPr>
              <w:t>10.28(2)</w:t>
            </w: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99"/>
              </w:rPr>
              <w:t>Index License Agreement between Dow Jones &amp; Company, Inc. and Board of Trade of the City of Chicago, Inc., effective</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91"/>
              </w:rPr>
              <w:t>September 11, 2007 (incorporated by reference to Exhibit 10.7 to CME Group Inc.’s Form 10-Q, filed with the SEC on November 8,</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rPr>
              <w:t>2007, File No. 000-33379).</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10.29</w:t>
            </w:r>
          </w:p>
        </w:tc>
        <w:tc>
          <w:tcPr>
            <w:tcW w:w="640" w:type="dxa"/>
            <w:vAlign w:val="bottom"/>
          </w:tcPr>
          <w:p>
            <w:pPr>
              <w:spacing w:after="0"/>
              <w:rPr>
                <w:sz w:val="24"/>
                <w:szCs w:val="24"/>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88"/>
              </w:rPr>
              <w:t>Credit Agreement, dated as of August 22, 2008, among CME Group Inc., as Borrower, the Lenders party thereto, and Bank of America,</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91"/>
              </w:rPr>
              <w:t>N.A., as Administrative Agent (incorporated by reference to Exhibit 10.1 to CME Group Inc.’s Current Report on Form 8-K, filed with</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rPr>
              <w:t>the SEC on August 28, 2008, File No. 001-31553).</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10.30</w:t>
            </w:r>
          </w:p>
        </w:tc>
        <w:tc>
          <w:tcPr>
            <w:tcW w:w="640" w:type="dxa"/>
            <w:vAlign w:val="bottom"/>
          </w:tcPr>
          <w:p>
            <w:pPr>
              <w:spacing w:after="0"/>
              <w:rPr>
                <w:sz w:val="24"/>
                <w:szCs w:val="24"/>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89"/>
              </w:rPr>
              <w:t>Credit Agreement, dated as of December 9, 2009, between Chicago Mercantile Exchange Inc. and each of the banks from time to time</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88"/>
              </w:rPr>
              <w:t>party thereto and JP Morgan Chase Bank N.A., as administrative agent and collateral agent (incorporated by reference to Exhibit 10.1 to</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rPr>
              <w:t>CME Group Inc.’s Current Report on Form 8-K, filed with the SEC on December 11, 2009, File No. 001-31553).</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10.31</w:t>
            </w:r>
          </w:p>
        </w:tc>
        <w:tc>
          <w:tcPr>
            <w:tcW w:w="640" w:type="dxa"/>
            <w:vAlign w:val="bottom"/>
          </w:tcPr>
          <w:p>
            <w:pPr>
              <w:spacing w:after="0"/>
              <w:rPr>
                <w:sz w:val="24"/>
                <w:szCs w:val="24"/>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92"/>
              </w:rPr>
              <w:t>Commercial Paper Dealer Agreement, dated as of August 16, 2007, between CME Group Inc., as Issuer, and Merrill Lynch Money</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89"/>
              </w:rPr>
              <w:t>Markets Inc., as Dealer for Notes with maturities up to 270 days and Merrill Lynch, Pierce, Fenner &amp; Smith Incorporated, as Dealer for</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rPr>
              <w:t>Notes with maturities over 270 days (incorporated by reference to Exhibit 4.2 above).</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10.32</w:t>
            </w:r>
          </w:p>
        </w:tc>
        <w:tc>
          <w:tcPr>
            <w:tcW w:w="640" w:type="dxa"/>
            <w:vAlign w:val="bottom"/>
          </w:tcPr>
          <w:p>
            <w:pPr>
              <w:spacing w:after="0"/>
              <w:rPr>
                <w:sz w:val="24"/>
                <w:szCs w:val="24"/>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90"/>
              </w:rPr>
              <w:t>Issuing and Paying Agency Agreement, dated as of August 16, 2007, between CME Group Inc. and JPMorgan Chase Bank, National</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rPr>
              <w:t>Association, as issuing and paying agent (incorporated by reference to Exhibit 4.3 above).</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10.33</w:t>
            </w:r>
          </w:p>
        </w:tc>
        <w:tc>
          <w:tcPr>
            <w:tcW w:w="640" w:type="dxa"/>
            <w:vAlign w:val="bottom"/>
          </w:tcPr>
          <w:p>
            <w:pPr>
              <w:spacing w:after="0"/>
              <w:rPr>
                <w:sz w:val="24"/>
                <w:szCs w:val="24"/>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94"/>
              </w:rPr>
              <w:t>Commercial Paper Dealer Agreement, dated as of August 20, 2008, between CME Group Inc., as Issuer, and Bank of America</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rPr>
              <w:t>Securities LLC, as Dealer (incorporated by reference to Exhibit 4.4 above).</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10.34</w:t>
            </w:r>
          </w:p>
        </w:tc>
        <w:tc>
          <w:tcPr>
            <w:tcW w:w="640" w:type="dxa"/>
            <w:vAlign w:val="bottom"/>
          </w:tcPr>
          <w:p>
            <w:pPr>
              <w:spacing w:after="0"/>
              <w:rPr>
                <w:sz w:val="24"/>
                <w:szCs w:val="24"/>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87"/>
              </w:rPr>
              <w:t>Commercial Paper Dealer Agreement, dated as of August 22, 2008, between CME Group Inc., as Issuer, and Goldman, Sachs &amp; Co., as</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rPr>
              <w:t>Dealer (incorporated by reference to Exhibit 4.5 above).</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10.35</w:t>
            </w:r>
          </w:p>
        </w:tc>
        <w:tc>
          <w:tcPr>
            <w:tcW w:w="640" w:type="dxa"/>
            <w:vAlign w:val="bottom"/>
          </w:tcPr>
          <w:p>
            <w:pPr>
              <w:spacing w:after="0"/>
              <w:rPr>
                <w:sz w:val="24"/>
                <w:szCs w:val="24"/>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88"/>
              </w:rPr>
              <w:t>Ground Lease between Battery Park City Authority and New York Mercantile Exchange dated May 18, 1995 (incorporated by reference</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rPr>
              <w:t>to Exhibit 10.3 to NYMEX Holdings, Inc.’s Registration Statement on Form S-4, File No. 333-30332).</w:t>
            </w:r>
          </w:p>
        </w:tc>
      </w:tr>
      <w:tr>
        <w:trPr>
          <w:trHeight w:val="318"/>
        </w:trPr>
        <w:tc>
          <w:tcPr>
            <w:tcW w:w="560" w:type="dxa"/>
            <w:vAlign w:val="bottom"/>
            <w:gridSpan w:val="2"/>
          </w:tcPr>
          <w:p>
            <w:pPr>
              <w:spacing w:after="0"/>
              <w:rPr>
                <w:sz w:val="20"/>
                <w:szCs w:val="20"/>
                <w:color w:val="auto"/>
              </w:rPr>
            </w:pPr>
            <w:r>
              <w:rPr>
                <w:rFonts w:ascii="Arial" w:cs="Arial" w:eastAsia="Arial" w:hAnsi="Arial"/>
                <w:sz w:val="18"/>
                <w:szCs w:val="18"/>
                <w:color w:val="auto"/>
              </w:rPr>
              <w:t>10.36</w:t>
            </w:r>
          </w:p>
        </w:tc>
        <w:tc>
          <w:tcPr>
            <w:tcW w:w="640" w:type="dxa"/>
            <w:vAlign w:val="bottom"/>
          </w:tcPr>
          <w:p>
            <w:pPr>
              <w:spacing w:after="0"/>
              <w:rPr>
                <w:sz w:val="24"/>
                <w:szCs w:val="24"/>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92"/>
              </w:rPr>
              <w:t>Funding Agreement among New York State Urban Development Corporation, New York City Economic Development Corporation,</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w w:val="93"/>
              </w:rPr>
              <w:t>Battery Park City Authority and New York Mercantile Exchange dated May 18, 1995 (incorporated by reference to Exhibit 10.4 to</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rPr>
              <w:t>NYMEX Holdings, Inc.’s Registration Statement on Form S-4, File No. 333-30332).</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12.1*</w:t>
            </w:r>
          </w:p>
        </w:tc>
        <w:tc>
          <w:tcPr>
            <w:tcW w:w="640" w:type="dxa"/>
            <w:vAlign w:val="bottom"/>
          </w:tcPr>
          <w:p>
            <w:pPr>
              <w:spacing w:after="0"/>
              <w:rPr>
                <w:sz w:val="24"/>
                <w:szCs w:val="24"/>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rPr>
              <w:t>Ratio of Fixed Charges.</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21.1*</w:t>
            </w:r>
          </w:p>
        </w:tc>
        <w:tc>
          <w:tcPr>
            <w:tcW w:w="640" w:type="dxa"/>
            <w:vAlign w:val="bottom"/>
          </w:tcPr>
          <w:p>
            <w:pPr>
              <w:spacing w:after="0"/>
              <w:rPr>
                <w:sz w:val="24"/>
                <w:szCs w:val="24"/>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rPr>
              <w:t>List of Subsidiaries of CME Group Inc.</w:t>
            </w:r>
          </w:p>
        </w:tc>
      </w:tr>
      <w:tr>
        <w:trPr>
          <w:trHeight w:val="324"/>
        </w:trPr>
        <w:tc>
          <w:tcPr>
            <w:tcW w:w="560" w:type="dxa"/>
            <w:vAlign w:val="bottom"/>
            <w:gridSpan w:val="2"/>
          </w:tcPr>
          <w:p>
            <w:pPr>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10180" w:type="dxa"/>
            <w:vAlign w:val="bottom"/>
            <w:gridSpan w:val="3"/>
          </w:tcPr>
          <w:p>
            <w:pPr>
              <w:ind w:left="600"/>
              <w:spacing w:after="0"/>
              <w:rPr>
                <w:sz w:val="20"/>
                <w:szCs w:val="20"/>
                <w:color w:val="auto"/>
              </w:rPr>
            </w:pPr>
            <w:r>
              <w:rPr>
                <w:rFonts w:ascii="Arial" w:cs="Arial" w:eastAsia="Arial" w:hAnsi="Arial"/>
                <w:sz w:val="18"/>
                <w:szCs w:val="18"/>
                <w:color w:val="auto"/>
              </w:rPr>
              <w:t>Consent of Ernst &amp; Young LLP.</w:t>
            </w:r>
          </w:p>
        </w:tc>
      </w:tr>
      <w:tr>
        <w:trPr>
          <w:trHeight w:val="36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740" w:type="dxa"/>
            <w:vAlign w:val="bottom"/>
          </w:tcPr>
          <w:p>
            <w:pPr>
              <w:ind w:left="4380"/>
              <w:spacing w:after="0"/>
              <w:rPr>
                <w:sz w:val="20"/>
                <w:szCs w:val="20"/>
                <w:color w:val="auto"/>
              </w:rPr>
            </w:pPr>
            <w:r>
              <w:rPr>
                <w:rFonts w:ascii="Arial" w:cs="Arial" w:eastAsia="Arial" w:hAnsi="Arial"/>
                <w:sz w:val="18"/>
                <w:szCs w:val="18"/>
                <w:color w:val="auto"/>
              </w:rPr>
              <w:t>142</w:t>
            </w:r>
          </w:p>
        </w:tc>
        <w:tc>
          <w:tcPr>
            <w:tcW w:w="1340" w:type="dxa"/>
            <w:vAlign w:val="bottom"/>
          </w:tcPr>
          <w:p>
            <w:pPr>
              <w:spacing w:after="0"/>
              <w:rPr>
                <w:sz w:val="24"/>
                <w:szCs w:val="24"/>
                <w:color w:val="auto"/>
              </w:rPr>
            </w:pPr>
          </w:p>
        </w:tc>
        <w:tc>
          <w:tcPr>
            <w:tcW w:w="4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80"/>
          </w:cols>
          <w:pgMar w:left="240" w:top="263" w:right="2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2" w:name="page143"/>
    <w:bookmarkEnd w:id="142"/>
    <w:tbl>
      <w:tblPr>
        <w:tblLayout w:type="fixed"/>
        <w:tblInd w:w="0" w:type="dxa"/>
        <w:tblCellMar>
          <w:top w:w="0" w:type="dxa"/>
          <w:left w:w="0" w:type="dxa"/>
          <w:bottom w:w="0" w:type="dxa"/>
          <w:right w:w="0" w:type="dxa"/>
        </w:tblCellMar>
      </w:tblPr>
      <w:tr>
        <w:trPr>
          <w:trHeight w:val="161"/>
        </w:trPr>
        <w:tc>
          <w:tcPr>
            <w:tcW w:w="160" w:type="dxa"/>
            <w:vAlign w:val="bottom"/>
          </w:tcPr>
          <w:p>
            <w:pPr>
              <w:spacing w:after="0"/>
              <w:rPr>
                <w:sz w:val="14"/>
                <w:szCs w:val="14"/>
                <w:color w:val="auto"/>
              </w:rPr>
            </w:pPr>
          </w:p>
        </w:tc>
        <w:tc>
          <w:tcPr>
            <w:tcW w:w="10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Exhibit</w:t>
            </w:r>
          </w:p>
        </w:tc>
        <w:tc>
          <w:tcPr>
            <w:tcW w:w="4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60" w:type="dxa"/>
            <w:vAlign w:val="bottom"/>
          </w:tcPr>
          <w:p>
            <w:pPr>
              <w:spacing w:after="0"/>
              <w:rPr>
                <w:sz w:val="14"/>
                <w:szCs w:val="14"/>
                <w:color w:val="auto"/>
              </w:rPr>
            </w:pPr>
          </w:p>
        </w:tc>
      </w:tr>
      <w:tr>
        <w:trPr>
          <w:trHeight w:val="161"/>
        </w:trPr>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8"/>
              </w:rPr>
              <w:t>Description of Exhibit</w:t>
            </w:r>
          </w:p>
        </w:tc>
        <w:tc>
          <w:tcPr>
            <w:tcW w:w="3060" w:type="dxa"/>
            <w:vAlign w:val="bottom"/>
          </w:tcPr>
          <w:p>
            <w:pPr>
              <w:spacing w:after="0"/>
              <w:rPr>
                <w:sz w:val="14"/>
                <w:szCs w:val="14"/>
                <w:color w:val="auto"/>
              </w:rPr>
            </w:pPr>
          </w:p>
        </w:tc>
      </w:tr>
      <w:tr>
        <w:trPr>
          <w:trHeight w:val="316"/>
        </w:trPr>
        <w:tc>
          <w:tcPr>
            <w:tcW w:w="660" w:type="dxa"/>
            <w:vAlign w:val="bottom"/>
            <w:gridSpan w:val="2"/>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Section 302—Certification of Craig S. Donohue.</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Section 302— Certification of James E. Parisi.</w:t>
            </w:r>
          </w:p>
        </w:tc>
      </w:tr>
      <w:tr>
        <w:trPr>
          <w:trHeight w:val="324"/>
        </w:trPr>
        <w:tc>
          <w:tcPr>
            <w:tcW w:w="660" w:type="dxa"/>
            <w:vAlign w:val="bottom"/>
            <w:gridSpan w:val="2"/>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XBRL Instance Document</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060" w:type="dxa"/>
            <w:vAlign w:val="bottom"/>
            <w:gridSpan w:val="3"/>
          </w:tcPr>
          <w:p>
            <w:pPr>
              <w:ind w:left="4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Confidential treatment pursuant to Rule 406 of the Securities Act has been previously granted by the SEC for portions of this exhibit.</w:t>
      </w:r>
    </w:p>
    <w:p>
      <w:pPr>
        <w:spacing w:after="0" w:line="17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300"/>
          </w:cols>
          <w:pgMar w:left="240" w:top="263" w:right="1359" w:bottom="1440" w:gutter="0" w:footer="0" w:header="0"/>
        </w:sectPr>
      </w:pPr>
    </w:p>
    <w:bookmarkStart w:id="143" w:name="page144"/>
    <w:bookmarkEnd w:id="14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Pursuant to the requirements of Section 13 or 15(d) of the Securities Exchange Act of 1934, the registrant has duly caused this report to be signed on its behalf by the undersigned, thereunto duly authorized, in the City of Chicago and State of Illinois on the 26</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day of February, 2010.</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CME Group Inc.</w:t>
      </w:r>
    </w:p>
    <w:p>
      <w:pPr>
        <w:spacing w:after="0" w:line="225" w:lineRule="exact"/>
        <w:rPr>
          <w:sz w:val="20"/>
          <w:szCs w:val="20"/>
          <w:color w:val="auto"/>
        </w:rPr>
      </w:pPr>
    </w:p>
    <w:p>
      <w:pPr>
        <w:ind w:left="6860"/>
        <w:spacing w:after="0"/>
        <w:tabs>
          <w:tab w:leader="none" w:pos="838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E. P</w:t>
      </w:r>
      <w:r>
        <w:rPr>
          <w:rFonts w:ascii="Arial" w:cs="Arial" w:eastAsia="Arial" w:hAnsi="Arial"/>
          <w:sz w:val="13"/>
          <w:szCs w:val="13"/>
          <w:color w:val="auto"/>
        </w:rPr>
        <w:t>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jc w:val="center"/>
        <w:ind w:left="7220"/>
        <w:spacing w:after="0"/>
        <w:rPr>
          <w:sz w:val="20"/>
          <w:szCs w:val="20"/>
          <w:color w:val="auto"/>
        </w:rPr>
      </w:pPr>
      <w:r>
        <w:rPr>
          <w:rFonts w:ascii="Arial" w:cs="Arial" w:eastAsia="Arial" w:hAnsi="Arial"/>
          <w:sz w:val="14"/>
          <w:szCs w:val="14"/>
          <w:b w:val="1"/>
          <w:bCs w:val="1"/>
          <w:color w:val="auto"/>
        </w:rPr>
        <w:t>James E. Parisi</w:t>
      </w:r>
    </w:p>
    <w:p>
      <w:pPr>
        <w:spacing w:after="0" w:line="1"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Managing Director and Chief Financial Officer</w:t>
      </w:r>
    </w:p>
    <w:p>
      <w:pPr>
        <w:spacing w:after="0" w:line="148"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Pursuant to the requirements of the Securities Exchange Act of 1934, this report has been signed below by the following persons on behalf of the registrant and in the capacities indicated on February 26</w:t>
      </w:r>
      <w:r>
        <w:rPr>
          <w:rFonts w:ascii="Arial" w:cs="Arial" w:eastAsia="Arial" w:hAnsi="Arial"/>
          <w:sz w:val="11"/>
          <w:szCs w:val="11"/>
          <w:b w:val="1"/>
          <w:bCs w:val="1"/>
          <w:color w:val="auto"/>
        </w:rPr>
        <w:t>th</w:t>
      </w:r>
      <w:r>
        <w:rPr>
          <w:rFonts w:ascii="Arial" w:cs="Arial" w:eastAsia="Arial" w:hAnsi="Arial"/>
          <w:sz w:val="18"/>
          <w:szCs w:val="18"/>
          <w:b w:val="1"/>
          <w:bCs w:val="1"/>
          <w:color w:val="auto"/>
        </w:rPr>
        <w:t>, 2010.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440" w:type="dxa"/>
            <w:vAlign w:val="bottom"/>
          </w:tcPr>
          <w:p>
            <w:pPr>
              <w:spacing w:after="0"/>
              <w:rPr>
                <w:sz w:val="14"/>
                <w:szCs w:val="14"/>
                <w:color w:val="auto"/>
              </w:rPr>
            </w:pPr>
          </w:p>
        </w:tc>
      </w:tr>
      <w:tr>
        <w:trPr>
          <w:trHeight w:val="425"/>
        </w:trPr>
        <w:tc>
          <w:tcPr>
            <w:tcW w:w="1780" w:type="dxa"/>
            <w:vAlign w:val="bottom"/>
            <w:tcBorders>
              <w:bottom w:val="single" w:sz="8" w:color="auto"/>
            </w:tcBorders>
            <w:gridSpan w:val="2"/>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ERRENCE</w:t>
            </w:r>
            <w:r>
              <w:rPr>
                <w:rFonts w:ascii="Arial" w:cs="Arial" w:eastAsia="Arial" w:hAnsi="Arial"/>
                <w:sz w:val="18"/>
                <w:szCs w:val="18"/>
                <w:color w:val="auto"/>
                <w:w w:val="98"/>
              </w:rPr>
              <w:t xml:space="preserve"> A. D</w:t>
            </w:r>
            <w:r>
              <w:rPr>
                <w:rFonts w:ascii="Arial" w:cs="Arial" w:eastAsia="Arial" w:hAnsi="Arial"/>
                <w:sz w:val="14"/>
                <w:szCs w:val="14"/>
                <w:color w:val="auto"/>
                <w:w w:val="98"/>
              </w:rPr>
              <w:t>UFFY</w:t>
            </w:r>
          </w:p>
        </w:tc>
        <w:tc>
          <w:tcPr>
            <w:tcW w:w="4060" w:type="dxa"/>
            <w:vAlign w:val="bottom"/>
            <w:gridSpan w:val="3"/>
          </w:tcPr>
          <w:p>
            <w:pPr>
              <w:ind w:left="580"/>
              <w:spacing w:after="0"/>
              <w:rPr>
                <w:sz w:val="20"/>
                <w:szCs w:val="20"/>
                <w:color w:val="auto"/>
              </w:rPr>
            </w:pPr>
            <w:r>
              <w:rPr>
                <w:rFonts w:ascii="Arial" w:cs="Arial" w:eastAsia="Arial" w:hAnsi="Arial"/>
                <w:sz w:val="18"/>
                <w:szCs w:val="18"/>
                <w:color w:val="auto"/>
                <w:w w:val="94"/>
              </w:rPr>
              <w:t>Executive Chairman of the Board and Director</w:t>
            </w:r>
          </w:p>
        </w:tc>
      </w:tr>
      <w:tr>
        <w:trPr>
          <w:trHeight w:val="169"/>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9"/>
              </w:rPr>
              <w:t>Terrence A. Duffy</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780" w:type="dxa"/>
            <w:vAlign w:val="bottom"/>
            <w:tcBorders>
              <w:bottom w:val="single" w:sz="8" w:color="auto"/>
            </w:tcBorders>
            <w:gridSpan w:val="2"/>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6"/>
              </w:rPr>
              <w:t>C</w:t>
            </w:r>
            <w:r>
              <w:rPr>
                <w:rFonts w:ascii="Arial" w:cs="Arial" w:eastAsia="Arial" w:hAnsi="Arial"/>
                <w:sz w:val="14"/>
                <w:szCs w:val="14"/>
                <w:color w:val="auto"/>
                <w:w w:val="96"/>
              </w:rPr>
              <w:t>HARLES</w:t>
            </w:r>
            <w:r>
              <w:rPr>
                <w:rFonts w:ascii="Arial" w:cs="Arial" w:eastAsia="Arial" w:hAnsi="Arial"/>
                <w:sz w:val="18"/>
                <w:szCs w:val="18"/>
                <w:color w:val="auto"/>
                <w:w w:val="96"/>
              </w:rPr>
              <w:t xml:space="preserve"> P. C</w:t>
            </w:r>
            <w:r>
              <w:rPr>
                <w:rFonts w:ascii="Arial" w:cs="Arial" w:eastAsia="Arial" w:hAnsi="Arial"/>
                <w:sz w:val="14"/>
                <w:szCs w:val="14"/>
                <w:color w:val="auto"/>
                <w:w w:val="96"/>
              </w:rPr>
              <w:t>AREY</w:t>
            </w:r>
          </w:p>
        </w:tc>
        <w:tc>
          <w:tcPr>
            <w:tcW w:w="4060" w:type="dxa"/>
            <w:vAlign w:val="bottom"/>
            <w:gridSpan w:val="3"/>
          </w:tcPr>
          <w:p>
            <w:pPr>
              <w:ind w:left="580"/>
              <w:spacing w:after="0"/>
              <w:rPr>
                <w:sz w:val="20"/>
                <w:szCs w:val="20"/>
                <w:color w:val="auto"/>
              </w:rPr>
            </w:pPr>
            <w:r>
              <w:rPr>
                <w:rFonts w:ascii="Arial" w:cs="Arial" w:eastAsia="Arial" w:hAnsi="Arial"/>
                <w:sz w:val="18"/>
                <w:szCs w:val="18"/>
                <w:color w:val="auto"/>
              </w:rPr>
              <w:t>Vice Chairman of the Board and Director</w:t>
            </w:r>
          </w:p>
        </w:tc>
      </w:tr>
      <w:tr>
        <w:trPr>
          <w:trHeight w:val="169"/>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6"/>
              </w:rPr>
              <w:t>Charles P. Carey</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78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RAIG</w:t>
            </w:r>
            <w:r>
              <w:rPr>
                <w:rFonts w:ascii="Arial" w:cs="Arial" w:eastAsia="Arial" w:hAnsi="Arial"/>
                <w:sz w:val="18"/>
                <w:szCs w:val="18"/>
                <w:color w:val="auto"/>
                <w:w w:val="98"/>
              </w:rPr>
              <w:t xml:space="preserve"> S. D</w:t>
            </w:r>
            <w:r>
              <w:rPr>
                <w:rFonts w:ascii="Arial" w:cs="Arial" w:eastAsia="Arial" w:hAnsi="Arial"/>
                <w:sz w:val="14"/>
                <w:szCs w:val="14"/>
                <w:color w:val="auto"/>
                <w:w w:val="98"/>
              </w:rPr>
              <w:t>ONOHUE</w:t>
            </w:r>
          </w:p>
        </w:tc>
        <w:tc>
          <w:tcPr>
            <w:tcW w:w="4060" w:type="dxa"/>
            <w:vAlign w:val="bottom"/>
            <w:gridSpan w:val="3"/>
          </w:tcPr>
          <w:p>
            <w:pPr>
              <w:ind w:left="580"/>
              <w:spacing w:after="0"/>
              <w:rPr>
                <w:sz w:val="20"/>
                <w:szCs w:val="20"/>
                <w:color w:val="auto"/>
              </w:rPr>
            </w:pPr>
            <w:r>
              <w:rPr>
                <w:rFonts w:ascii="Arial" w:cs="Arial" w:eastAsia="Arial" w:hAnsi="Arial"/>
                <w:sz w:val="18"/>
                <w:szCs w:val="18"/>
                <w:color w:val="auto"/>
              </w:rPr>
              <w:t>Chief Executive Officer and Director</w:t>
            </w:r>
          </w:p>
        </w:tc>
      </w:tr>
      <w:tr>
        <w:trPr>
          <w:trHeight w:val="169"/>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8"/>
              </w:rPr>
              <w:t>Craig S. Donohue</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2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AMES</w:t>
            </w:r>
            <w:r>
              <w:rPr>
                <w:rFonts w:ascii="Arial" w:cs="Arial" w:eastAsia="Arial" w:hAnsi="Arial"/>
                <w:sz w:val="18"/>
                <w:szCs w:val="18"/>
                <w:color w:val="auto"/>
                <w:w w:val="94"/>
              </w:rPr>
              <w:t xml:space="preserve"> E. P</w:t>
            </w:r>
            <w:r>
              <w:rPr>
                <w:rFonts w:ascii="Arial" w:cs="Arial" w:eastAsia="Arial" w:hAnsi="Arial"/>
                <w:sz w:val="14"/>
                <w:szCs w:val="14"/>
                <w:color w:val="auto"/>
                <w:w w:val="94"/>
              </w:rPr>
              <w:t>ARISI</w:t>
            </w:r>
          </w:p>
        </w:tc>
        <w:tc>
          <w:tcPr>
            <w:tcW w:w="4060" w:type="dxa"/>
            <w:vAlign w:val="bottom"/>
            <w:gridSpan w:val="3"/>
          </w:tcPr>
          <w:p>
            <w:pPr>
              <w:ind w:left="580"/>
              <w:spacing w:after="0"/>
              <w:rPr>
                <w:sz w:val="20"/>
                <w:szCs w:val="20"/>
                <w:color w:val="auto"/>
              </w:rPr>
            </w:pPr>
            <w:r>
              <w:rPr>
                <w:rFonts w:ascii="Arial" w:cs="Arial" w:eastAsia="Arial" w:hAnsi="Arial"/>
                <w:sz w:val="18"/>
                <w:szCs w:val="18"/>
                <w:color w:val="auto"/>
                <w:w w:val="95"/>
              </w:rPr>
              <w:t>Managing Director and Chief Financial Officer</w:t>
            </w:r>
          </w:p>
        </w:tc>
      </w:tr>
      <w:tr>
        <w:trPr>
          <w:trHeight w:val="169"/>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5"/>
              </w:rPr>
              <w:t>James E. Parisi</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AMES</w:t>
            </w:r>
            <w:r>
              <w:rPr>
                <w:rFonts w:ascii="Arial" w:cs="Arial" w:eastAsia="Arial" w:hAnsi="Arial"/>
                <w:sz w:val="18"/>
                <w:szCs w:val="18"/>
                <w:color w:val="auto"/>
                <w:w w:val="94"/>
              </w:rPr>
              <w:t xml:space="preserve"> V. P</w:t>
            </w:r>
            <w:r>
              <w:rPr>
                <w:rFonts w:ascii="Arial" w:cs="Arial" w:eastAsia="Arial" w:hAnsi="Arial"/>
                <w:sz w:val="14"/>
                <w:szCs w:val="14"/>
                <w:color w:val="auto"/>
                <w:w w:val="94"/>
              </w:rPr>
              <w:t>IEPER</w:t>
            </w:r>
          </w:p>
        </w:tc>
        <w:tc>
          <w:tcPr>
            <w:tcW w:w="4060" w:type="dxa"/>
            <w:vAlign w:val="bottom"/>
            <w:gridSpan w:val="3"/>
          </w:tcPr>
          <w:p>
            <w:pPr>
              <w:ind w:left="580"/>
              <w:spacing w:after="0"/>
              <w:rPr>
                <w:sz w:val="20"/>
                <w:szCs w:val="20"/>
                <w:color w:val="auto"/>
              </w:rPr>
            </w:pPr>
            <w:r>
              <w:rPr>
                <w:rFonts w:ascii="Arial" w:cs="Arial" w:eastAsia="Arial" w:hAnsi="Arial"/>
                <w:sz w:val="18"/>
                <w:szCs w:val="18"/>
                <w:color w:val="auto"/>
                <w:w w:val="90"/>
              </w:rPr>
              <w:t>Managing Director and Chief Accounting Officer</w:t>
            </w:r>
          </w:p>
        </w:tc>
      </w:tr>
      <w:tr>
        <w:trPr>
          <w:trHeight w:val="169"/>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5"/>
              </w:rPr>
              <w:t>James V. Pieper</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54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0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EFFREY</w:t>
            </w:r>
            <w:r>
              <w:rPr>
                <w:rFonts w:ascii="Arial" w:cs="Arial" w:eastAsia="Arial" w:hAnsi="Arial"/>
                <w:sz w:val="18"/>
                <w:szCs w:val="18"/>
                <w:color w:val="auto"/>
                <w:w w:val="99"/>
              </w:rPr>
              <w:t xml:space="preserve"> M. B</w:t>
            </w:r>
            <w:r>
              <w:rPr>
                <w:rFonts w:ascii="Arial" w:cs="Arial" w:eastAsia="Arial" w:hAnsi="Arial"/>
                <w:sz w:val="14"/>
                <w:szCs w:val="14"/>
                <w:color w:val="auto"/>
                <w:w w:val="99"/>
              </w:rPr>
              <w:t>ERNACCHI</w:t>
            </w:r>
          </w:p>
        </w:tc>
        <w:tc>
          <w:tcPr>
            <w:tcW w:w="40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7"/>
              </w:rPr>
              <w:t>Jeffrey M. Bernacchi</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780" w:type="dxa"/>
            <w:vAlign w:val="bottom"/>
            <w:tcBorders>
              <w:bottom w:val="single" w:sz="8" w:color="auto"/>
            </w:tcBorders>
            <w:gridSpan w:val="2"/>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ARK</w:t>
            </w:r>
            <w:r>
              <w:rPr>
                <w:rFonts w:ascii="Arial" w:cs="Arial" w:eastAsia="Arial" w:hAnsi="Arial"/>
                <w:sz w:val="18"/>
                <w:szCs w:val="18"/>
                <w:color w:val="auto"/>
              </w:rPr>
              <w:t xml:space="preserve"> E. C</w:t>
            </w:r>
            <w:r>
              <w:rPr>
                <w:rFonts w:ascii="Arial" w:cs="Arial" w:eastAsia="Arial" w:hAnsi="Arial"/>
                <w:sz w:val="14"/>
                <w:szCs w:val="14"/>
                <w:color w:val="auto"/>
              </w:rPr>
              <w:t>ERMAK</w:t>
            </w:r>
          </w:p>
        </w:tc>
        <w:tc>
          <w:tcPr>
            <w:tcW w:w="40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5"/>
              </w:rPr>
              <w:t>Mark E. Cermak</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5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0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ENNIS</w:t>
            </w:r>
            <w:r>
              <w:rPr>
                <w:rFonts w:ascii="Arial" w:cs="Arial" w:eastAsia="Arial" w:hAnsi="Arial"/>
                <w:sz w:val="18"/>
                <w:szCs w:val="18"/>
                <w:color w:val="auto"/>
              </w:rPr>
              <w:t xml:space="preserve"> H. C</w:t>
            </w:r>
            <w:r>
              <w:rPr>
                <w:rFonts w:ascii="Arial" w:cs="Arial" w:eastAsia="Arial" w:hAnsi="Arial"/>
                <w:sz w:val="14"/>
                <w:szCs w:val="14"/>
                <w:color w:val="auto"/>
              </w:rPr>
              <w:t>HOOKASZIAN</w:t>
            </w:r>
          </w:p>
        </w:tc>
        <w:tc>
          <w:tcPr>
            <w:tcW w:w="40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7"/>
              </w:rPr>
              <w:t>Dennis H. Chookaszian</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ACKIE</w:t>
            </w:r>
            <w:r>
              <w:rPr>
                <w:rFonts w:ascii="Arial" w:cs="Arial" w:eastAsia="Arial" w:hAnsi="Arial"/>
                <w:sz w:val="18"/>
                <w:szCs w:val="18"/>
                <w:color w:val="auto"/>
                <w:w w:val="97"/>
              </w:rPr>
              <w:t xml:space="preserve"> M. C</w:t>
            </w:r>
            <w:r>
              <w:rPr>
                <w:rFonts w:ascii="Arial" w:cs="Arial" w:eastAsia="Arial" w:hAnsi="Arial"/>
                <w:sz w:val="14"/>
                <w:szCs w:val="14"/>
                <w:color w:val="auto"/>
                <w:w w:val="97"/>
              </w:rPr>
              <w:t>LEGG</w:t>
            </w:r>
          </w:p>
        </w:tc>
        <w:tc>
          <w:tcPr>
            <w:tcW w:w="40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7"/>
              </w:rPr>
              <w:t>Jackie M. Clegg</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780" w:type="dxa"/>
            <w:vAlign w:val="bottom"/>
            <w:tcBorders>
              <w:bottom w:val="single" w:sz="8" w:color="auto"/>
            </w:tcBorders>
            <w:gridSpan w:val="2"/>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3"/>
              </w:rPr>
              <w:t>R</w:t>
            </w:r>
            <w:r>
              <w:rPr>
                <w:rFonts w:ascii="Arial" w:cs="Arial" w:eastAsia="Arial" w:hAnsi="Arial"/>
                <w:sz w:val="14"/>
                <w:szCs w:val="14"/>
                <w:color w:val="auto"/>
                <w:w w:val="93"/>
              </w:rPr>
              <w:t>OBERT</w:t>
            </w:r>
            <w:r>
              <w:rPr>
                <w:rFonts w:ascii="Arial" w:cs="Arial" w:eastAsia="Arial" w:hAnsi="Arial"/>
                <w:sz w:val="18"/>
                <w:szCs w:val="18"/>
                <w:color w:val="auto"/>
                <w:w w:val="93"/>
              </w:rPr>
              <w:t xml:space="preserve"> F. C</w:t>
            </w:r>
            <w:r>
              <w:rPr>
                <w:rFonts w:ascii="Arial" w:cs="Arial" w:eastAsia="Arial" w:hAnsi="Arial"/>
                <w:sz w:val="14"/>
                <w:szCs w:val="14"/>
                <w:color w:val="auto"/>
                <w:w w:val="93"/>
              </w:rPr>
              <w:t>ORVINO</w:t>
            </w:r>
          </w:p>
        </w:tc>
        <w:tc>
          <w:tcPr>
            <w:tcW w:w="40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7"/>
              </w:rPr>
              <w:t>Robert F. Corvino</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54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350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8"/>
                <w:szCs w:val="18"/>
                <w:color w:val="auto"/>
                <w:w w:val="99"/>
              </w:rPr>
              <w:t>J</w:t>
            </w:r>
            <w:r>
              <w:rPr>
                <w:rFonts w:ascii="Arial" w:cs="Arial" w:eastAsia="Arial" w:hAnsi="Arial"/>
                <w:sz w:val="14"/>
                <w:szCs w:val="14"/>
                <w:color w:val="auto"/>
                <w:w w:val="99"/>
              </w:rPr>
              <w:t>AMES</w:t>
            </w:r>
            <w:r>
              <w:rPr>
                <w:rFonts w:ascii="Arial" w:cs="Arial" w:eastAsia="Arial" w:hAnsi="Arial"/>
                <w:sz w:val="18"/>
                <w:szCs w:val="18"/>
                <w:color w:val="auto"/>
                <w:w w:val="99"/>
              </w:rPr>
              <w:t xml:space="preserve"> A. D</w:t>
            </w:r>
            <w:r>
              <w:rPr>
                <w:rFonts w:ascii="Arial" w:cs="Arial" w:eastAsia="Arial" w:hAnsi="Arial"/>
                <w:sz w:val="14"/>
                <w:szCs w:val="14"/>
                <w:color w:val="auto"/>
                <w:w w:val="99"/>
              </w:rPr>
              <w:t>ONALDSON</w:t>
            </w:r>
          </w:p>
        </w:tc>
        <w:tc>
          <w:tcPr>
            <w:tcW w:w="40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4"/>
              </w:rPr>
              <w:t>James A. Donaldson</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419"/>
        </w:trPr>
        <w:tc>
          <w:tcPr>
            <w:tcW w:w="1780" w:type="dxa"/>
            <w:vAlign w:val="bottom"/>
            <w:tcBorders>
              <w:bottom w:val="single" w:sz="8" w:color="auto"/>
            </w:tcBorders>
            <w:gridSpan w:val="2"/>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7"/>
              </w:rPr>
              <w:t>M</w:t>
            </w:r>
            <w:r>
              <w:rPr>
                <w:rFonts w:ascii="Arial" w:cs="Arial" w:eastAsia="Arial" w:hAnsi="Arial"/>
                <w:sz w:val="14"/>
                <w:szCs w:val="14"/>
                <w:color w:val="auto"/>
                <w:w w:val="97"/>
              </w:rPr>
              <w:t>ARTIN</w:t>
            </w:r>
            <w:r>
              <w:rPr>
                <w:rFonts w:ascii="Arial" w:cs="Arial" w:eastAsia="Arial" w:hAnsi="Arial"/>
                <w:sz w:val="18"/>
                <w:szCs w:val="18"/>
                <w:color w:val="auto"/>
                <w:w w:val="97"/>
              </w:rPr>
              <w:t xml:space="preserve"> J. G</w:t>
            </w:r>
            <w:r>
              <w:rPr>
                <w:rFonts w:ascii="Arial" w:cs="Arial" w:eastAsia="Arial" w:hAnsi="Arial"/>
                <w:sz w:val="14"/>
                <w:szCs w:val="14"/>
                <w:color w:val="auto"/>
                <w:w w:val="97"/>
              </w:rPr>
              <w:t>EPSMAN</w:t>
            </w:r>
          </w:p>
        </w:tc>
        <w:tc>
          <w:tcPr>
            <w:tcW w:w="4060" w:type="dxa"/>
            <w:vAlign w:val="bottom"/>
            <w:gridSpan w:val="3"/>
          </w:tcPr>
          <w:p>
            <w:pPr>
              <w:ind w:left="580"/>
              <w:spacing w:after="0"/>
              <w:rPr>
                <w:sz w:val="20"/>
                <w:szCs w:val="20"/>
                <w:color w:val="auto"/>
              </w:rPr>
            </w:pPr>
            <w:r>
              <w:rPr>
                <w:rFonts w:ascii="Arial" w:cs="Arial" w:eastAsia="Arial" w:hAnsi="Arial"/>
                <w:sz w:val="18"/>
                <w:szCs w:val="18"/>
                <w:color w:val="auto"/>
              </w:rPr>
              <w:t>Director</w:t>
            </w:r>
          </w:p>
        </w:tc>
      </w:tr>
      <w:tr>
        <w:trPr>
          <w:trHeight w:val="169"/>
        </w:trPr>
        <w:tc>
          <w:tcPr>
            <w:tcW w:w="1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9"/>
              </w:rPr>
              <w:t>Martin J. Gepsman</w:t>
            </w: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50"/>
        </w:trPr>
        <w:tc>
          <w:tcPr>
            <w:tcW w:w="1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340" w:type="dxa"/>
            <w:vAlign w:val="bottom"/>
          </w:tcPr>
          <w:p>
            <w:pPr>
              <w:ind w:left="540"/>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300"/>
          </w:cols>
          <w:pgMar w:left="240" w:top="274" w:right="359" w:bottom="1440" w:gutter="0" w:footer="0" w:header="0"/>
        </w:sectPr>
      </w:pPr>
    </w:p>
    <w:bookmarkStart w:id="144" w:name="page145"/>
    <w:bookmarkEnd w:id="1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3"/>
        </w:trPr>
        <w:tc>
          <w:tcPr>
            <w:tcW w:w="174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tcPr>
          <w:p>
            <w:pPr>
              <w:jc w:val="center"/>
              <w:ind w:right="1705"/>
              <w:spacing w:after="0"/>
              <w:rPr>
                <w:sz w:val="20"/>
                <w:szCs w:val="20"/>
                <w:color w:val="auto"/>
              </w:rPr>
            </w:pPr>
            <w:r>
              <w:rPr>
                <w:rFonts w:ascii="Arial" w:cs="Arial" w:eastAsia="Arial" w:hAnsi="Arial"/>
                <w:sz w:val="18"/>
                <w:szCs w:val="18"/>
                <w:color w:val="auto"/>
                <w:w w:val="95"/>
              </w:rPr>
              <w:t>L</w:t>
            </w:r>
            <w:r>
              <w:rPr>
                <w:rFonts w:ascii="Arial" w:cs="Arial" w:eastAsia="Arial" w:hAnsi="Arial"/>
                <w:sz w:val="14"/>
                <w:szCs w:val="14"/>
                <w:color w:val="auto"/>
                <w:w w:val="95"/>
              </w:rPr>
              <w:t>ARRY</w:t>
            </w:r>
            <w:r>
              <w:rPr>
                <w:rFonts w:ascii="Arial" w:cs="Arial" w:eastAsia="Arial" w:hAnsi="Arial"/>
                <w:sz w:val="18"/>
                <w:szCs w:val="18"/>
                <w:color w:val="auto"/>
                <w:w w:val="95"/>
              </w:rPr>
              <w:t xml:space="preserve"> G. G</w:t>
            </w:r>
            <w:r>
              <w:rPr>
                <w:rFonts w:ascii="Arial" w:cs="Arial" w:eastAsia="Arial" w:hAnsi="Arial"/>
                <w:sz w:val="14"/>
                <w:szCs w:val="14"/>
                <w:color w:val="auto"/>
                <w:w w:val="95"/>
              </w:rPr>
              <w:t>ERDES</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90"/>
              </w:rPr>
              <w:t>Larry G. Gerdes</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Borders>
              <w:bottom w:val="single" w:sz="8" w:color="auto"/>
            </w:tcBorders>
            <w:gridSpan w:val="2"/>
          </w:tcPr>
          <w:p>
            <w:pPr>
              <w:jc w:val="center"/>
              <w:ind w:right="1605"/>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R. G</w:t>
            </w:r>
            <w:r>
              <w:rPr>
                <w:rFonts w:ascii="Arial" w:cs="Arial" w:eastAsia="Arial" w:hAnsi="Arial"/>
                <w:sz w:val="14"/>
                <w:szCs w:val="14"/>
                <w:color w:val="auto"/>
              </w:rPr>
              <w:t>LICKMAN</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91"/>
              </w:rPr>
              <w:t>Daniel R. Glickman</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5"/>
              <w:spacing w:after="0"/>
              <w:rPr>
                <w:sz w:val="20"/>
                <w:szCs w:val="20"/>
                <w:color w:val="auto"/>
              </w:rPr>
            </w:pPr>
            <w:r>
              <w:rPr>
                <w:rFonts w:ascii="Arial" w:cs="Arial" w:eastAsia="Arial" w:hAnsi="Arial"/>
                <w:sz w:val="18"/>
                <w:szCs w:val="18"/>
                <w:color w:val="auto"/>
                <w:w w:val="95"/>
              </w:rPr>
              <w:t>J. D</w:t>
            </w:r>
            <w:r>
              <w:rPr>
                <w:rFonts w:ascii="Arial" w:cs="Arial" w:eastAsia="Arial" w:hAnsi="Arial"/>
                <w:sz w:val="14"/>
                <w:szCs w:val="14"/>
                <w:color w:val="auto"/>
                <w:w w:val="95"/>
              </w:rPr>
              <w:t>ENNIS</w:t>
            </w:r>
            <w:r>
              <w:rPr>
                <w:rFonts w:ascii="Arial" w:cs="Arial" w:eastAsia="Arial" w:hAnsi="Arial"/>
                <w:sz w:val="18"/>
                <w:szCs w:val="18"/>
                <w:color w:val="auto"/>
                <w:w w:val="95"/>
              </w:rPr>
              <w:t xml:space="preserve"> H</w:t>
            </w:r>
            <w:r>
              <w:rPr>
                <w:rFonts w:ascii="Arial" w:cs="Arial" w:eastAsia="Arial" w:hAnsi="Arial"/>
                <w:sz w:val="14"/>
                <w:szCs w:val="14"/>
                <w:color w:val="auto"/>
                <w:w w:val="95"/>
              </w:rPr>
              <w:t>ASTERT</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87"/>
              </w:rPr>
              <w:t>J. Dennis Hastert</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685"/>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RUCE</w:t>
            </w:r>
            <w:r>
              <w:rPr>
                <w:rFonts w:ascii="Arial" w:cs="Arial" w:eastAsia="Arial" w:hAnsi="Arial"/>
                <w:sz w:val="18"/>
                <w:szCs w:val="18"/>
                <w:color w:val="auto"/>
                <w:w w:val="94"/>
              </w:rPr>
              <w:t xml:space="preserve"> F. J</w:t>
            </w:r>
            <w:r>
              <w:rPr>
                <w:rFonts w:ascii="Arial" w:cs="Arial" w:eastAsia="Arial" w:hAnsi="Arial"/>
                <w:sz w:val="14"/>
                <w:szCs w:val="14"/>
                <w:color w:val="auto"/>
                <w:w w:val="94"/>
              </w:rPr>
              <w:t>OHNSON</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84"/>
              </w:rPr>
              <w:t>Bruce F. Johnson</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5"/>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ARY</w:t>
            </w:r>
            <w:r>
              <w:rPr>
                <w:rFonts w:ascii="Arial" w:cs="Arial" w:eastAsia="Arial" w:hAnsi="Arial"/>
                <w:sz w:val="18"/>
                <w:szCs w:val="18"/>
                <w:color w:val="auto"/>
              </w:rPr>
              <w:t xml:space="preserve"> M. K</w:t>
            </w:r>
            <w:r>
              <w:rPr>
                <w:rFonts w:ascii="Arial" w:cs="Arial" w:eastAsia="Arial" w:hAnsi="Arial"/>
                <w:sz w:val="14"/>
                <w:szCs w:val="14"/>
                <w:color w:val="auto"/>
              </w:rPr>
              <w:t>ATLER</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96"/>
              </w:rPr>
              <w:t>Gary M. Katler</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5"/>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ATRICK</w:t>
            </w:r>
            <w:r>
              <w:rPr>
                <w:rFonts w:ascii="Arial" w:cs="Arial" w:eastAsia="Arial" w:hAnsi="Arial"/>
                <w:sz w:val="18"/>
                <w:szCs w:val="18"/>
                <w:color w:val="auto"/>
                <w:w w:val="98"/>
              </w:rPr>
              <w:t xml:space="preserve"> B. L</w:t>
            </w:r>
            <w:r>
              <w:rPr>
                <w:rFonts w:ascii="Arial" w:cs="Arial" w:eastAsia="Arial" w:hAnsi="Arial"/>
                <w:sz w:val="14"/>
                <w:szCs w:val="14"/>
                <w:color w:val="auto"/>
                <w:w w:val="98"/>
              </w:rPr>
              <w:t>YNCH</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87"/>
              </w:rPr>
              <w:t>Patrick B. Lynch</w:t>
            </w:r>
          </w:p>
        </w:tc>
        <w:tc>
          <w:tcPr>
            <w:tcW w:w="1160" w:type="dxa"/>
            <w:vAlign w:val="bottom"/>
          </w:tcPr>
          <w:p>
            <w:pPr>
              <w:spacing w:after="0"/>
              <w:rPr>
                <w:sz w:val="14"/>
                <w:szCs w:val="14"/>
                <w:color w:val="auto"/>
              </w:rPr>
            </w:pPr>
          </w:p>
        </w:tc>
      </w:tr>
      <w:tr>
        <w:trPr>
          <w:trHeight w:val="419"/>
        </w:trPr>
        <w:tc>
          <w:tcPr>
            <w:tcW w:w="5040" w:type="dxa"/>
            <w:vAlign w:val="bottom"/>
            <w:tcBorders>
              <w:bottom w:val="single" w:sz="8" w:color="auto"/>
            </w:tcBorders>
            <w:gridSpan w:val="3"/>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w:t>
            </w:r>
            <w:r>
              <w:rPr>
                <w:rFonts w:ascii="Arial" w:cs="Arial" w:eastAsia="Arial" w:hAnsi="Arial"/>
                <w:sz w:val="14"/>
                <w:szCs w:val="14"/>
                <w:color w:val="auto"/>
              </w:rPr>
              <w:t>ILLIAM</w:t>
            </w:r>
            <w:r>
              <w:rPr>
                <w:rFonts w:ascii="Arial" w:cs="Arial" w:eastAsia="Arial" w:hAnsi="Arial"/>
                <w:sz w:val="18"/>
                <w:szCs w:val="18"/>
                <w:color w:val="auto"/>
              </w:rPr>
              <w:t xml:space="preserve"> P. M</w:t>
            </w:r>
            <w:r>
              <w:rPr>
                <w:rFonts w:ascii="Arial" w:cs="Arial" w:eastAsia="Arial" w:hAnsi="Arial"/>
                <w:sz w:val="14"/>
                <w:szCs w:val="14"/>
                <w:color w:val="auto"/>
              </w:rPr>
              <w:t>ILLER</w:t>
            </w:r>
            <w:r>
              <w:rPr>
                <w:rFonts w:ascii="Arial" w:cs="Arial" w:eastAsia="Arial" w:hAnsi="Arial"/>
                <w:sz w:val="18"/>
                <w:szCs w:val="18"/>
                <w:color w:val="auto"/>
              </w:rPr>
              <w:t xml:space="preserve"> II</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94"/>
              </w:rPr>
              <w:t>William P. Miller II</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Borders>
              <w:bottom w:val="single" w:sz="8" w:color="auto"/>
            </w:tcBorders>
            <w:gridSpan w:val="2"/>
          </w:tcPr>
          <w:p>
            <w:pPr>
              <w:jc w:val="center"/>
              <w:ind w:right="1605"/>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AMES</w:t>
            </w:r>
            <w:r>
              <w:rPr>
                <w:rFonts w:ascii="Arial" w:cs="Arial" w:eastAsia="Arial" w:hAnsi="Arial"/>
                <w:sz w:val="18"/>
                <w:szCs w:val="18"/>
                <w:color w:val="auto"/>
                <w:w w:val="95"/>
              </w:rPr>
              <w:t xml:space="preserve"> E. N</w:t>
            </w:r>
            <w:r>
              <w:rPr>
                <w:rFonts w:ascii="Arial" w:cs="Arial" w:eastAsia="Arial" w:hAnsi="Arial"/>
                <w:sz w:val="14"/>
                <w:szCs w:val="14"/>
                <w:color w:val="auto"/>
                <w:w w:val="95"/>
              </w:rPr>
              <w:t>EWSOME</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83"/>
              </w:rPr>
              <w:t>James E. Newsome</w:t>
            </w:r>
          </w:p>
        </w:tc>
        <w:tc>
          <w:tcPr>
            <w:tcW w:w="1160" w:type="dxa"/>
            <w:vAlign w:val="bottom"/>
          </w:tcPr>
          <w:p>
            <w:pPr>
              <w:spacing w:after="0"/>
              <w:rPr>
                <w:sz w:val="14"/>
                <w:szCs w:val="14"/>
                <w:color w:val="auto"/>
              </w:rPr>
            </w:pPr>
          </w:p>
        </w:tc>
      </w:tr>
      <w:tr>
        <w:trPr>
          <w:trHeight w:val="419"/>
        </w:trPr>
        <w:tc>
          <w:tcPr>
            <w:tcW w:w="1840" w:type="dxa"/>
            <w:vAlign w:val="bottom"/>
            <w:tcBorders>
              <w:bottom w:val="single" w:sz="8" w:color="auto"/>
            </w:tcBorders>
            <w:gridSpan w:val="2"/>
          </w:tcPr>
          <w:p>
            <w:pPr>
              <w:ind w:left="16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200" w:type="dxa"/>
            <w:vAlign w:val="bottom"/>
            <w:tcBorders>
              <w:bottom w:val="single" w:sz="8" w:color="auto"/>
            </w:tcBorders>
          </w:tcPr>
          <w:p>
            <w:pPr>
              <w:jc w:val="center"/>
              <w:ind w:right="1765"/>
              <w:spacing w:after="0"/>
              <w:rPr>
                <w:sz w:val="20"/>
                <w:szCs w:val="20"/>
                <w:color w:val="auto"/>
              </w:rPr>
            </w:pPr>
            <w:r>
              <w:rPr>
                <w:rFonts w:ascii="Arial" w:cs="Arial" w:eastAsia="Arial" w:hAnsi="Arial"/>
                <w:sz w:val="18"/>
                <w:szCs w:val="18"/>
                <w:color w:val="auto"/>
                <w:w w:val="96"/>
              </w:rPr>
              <w:t>C.C. O</w:t>
            </w:r>
            <w:r>
              <w:rPr>
                <w:rFonts w:ascii="Arial" w:cs="Arial" w:eastAsia="Arial" w:hAnsi="Arial"/>
                <w:sz w:val="14"/>
                <w:szCs w:val="14"/>
                <w:color w:val="auto"/>
                <w:w w:val="96"/>
              </w:rPr>
              <w:t>DOM</w:t>
            </w:r>
            <w:r>
              <w:rPr>
                <w:rFonts w:ascii="Arial" w:cs="Arial" w:eastAsia="Arial" w:hAnsi="Arial"/>
                <w:sz w:val="18"/>
                <w:szCs w:val="18"/>
                <w:color w:val="auto"/>
                <w:w w:val="96"/>
              </w:rPr>
              <w:t>, II</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95"/>
              </w:rPr>
              <w:t>C.C. Odom, II</w:t>
            </w:r>
          </w:p>
        </w:tc>
        <w:tc>
          <w:tcPr>
            <w:tcW w:w="1160" w:type="dxa"/>
            <w:vAlign w:val="bottom"/>
          </w:tcPr>
          <w:p>
            <w:pPr>
              <w:spacing w:after="0"/>
              <w:rPr>
                <w:sz w:val="14"/>
                <w:szCs w:val="14"/>
                <w:color w:val="auto"/>
              </w:rPr>
            </w:pPr>
          </w:p>
        </w:tc>
      </w:tr>
      <w:tr>
        <w:trPr>
          <w:trHeight w:val="419"/>
        </w:trPr>
        <w:tc>
          <w:tcPr>
            <w:tcW w:w="1840" w:type="dxa"/>
            <w:vAlign w:val="bottom"/>
            <w:tcBorders>
              <w:bottom w:val="single" w:sz="8" w:color="auto"/>
            </w:tcBorders>
            <w:gridSpan w:val="2"/>
          </w:tcPr>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tcPr>
          <w:p>
            <w:pPr>
              <w:jc w:val="center"/>
              <w:ind w:right="1705"/>
              <w:spacing w:after="0"/>
              <w:rPr>
                <w:sz w:val="20"/>
                <w:szCs w:val="20"/>
                <w:color w:val="auto"/>
              </w:rPr>
            </w:pPr>
            <w:r>
              <w:rPr>
                <w:rFonts w:ascii="Arial" w:cs="Arial" w:eastAsia="Arial" w:hAnsi="Arial"/>
                <w:sz w:val="18"/>
                <w:szCs w:val="18"/>
                <w:color w:val="auto"/>
                <w:w w:val="96"/>
              </w:rPr>
              <w:t>J</w:t>
            </w:r>
            <w:r>
              <w:rPr>
                <w:rFonts w:ascii="Arial" w:cs="Arial" w:eastAsia="Arial" w:hAnsi="Arial"/>
                <w:sz w:val="14"/>
                <w:szCs w:val="14"/>
                <w:color w:val="auto"/>
                <w:w w:val="96"/>
              </w:rPr>
              <w:t>AMES</w:t>
            </w:r>
            <w:r>
              <w:rPr>
                <w:rFonts w:ascii="Arial" w:cs="Arial" w:eastAsia="Arial" w:hAnsi="Arial"/>
                <w:sz w:val="18"/>
                <w:szCs w:val="18"/>
                <w:color w:val="auto"/>
                <w:w w:val="96"/>
              </w:rPr>
              <w:t xml:space="preserve"> E. O</w:t>
            </w:r>
            <w:r>
              <w:rPr>
                <w:rFonts w:ascii="Arial" w:cs="Arial" w:eastAsia="Arial" w:hAnsi="Arial"/>
                <w:sz w:val="14"/>
                <w:szCs w:val="14"/>
                <w:color w:val="auto"/>
                <w:w w:val="96"/>
              </w:rPr>
              <w:t>LIFF</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90"/>
              </w:rPr>
              <w:t>James E. Oliff</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5"/>
              <w:spacing w:after="0"/>
              <w:rPr>
                <w:sz w:val="20"/>
                <w:szCs w:val="20"/>
                <w:color w:val="auto"/>
              </w:rPr>
            </w:pPr>
            <w:r>
              <w:rPr>
                <w:rFonts w:ascii="Arial" w:cs="Arial" w:eastAsia="Arial" w:hAnsi="Arial"/>
                <w:sz w:val="18"/>
                <w:szCs w:val="18"/>
                <w:color w:val="auto"/>
                <w:w w:val="98"/>
              </w:rPr>
              <w:t>A</w:t>
            </w:r>
            <w:r>
              <w:rPr>
                <w:rFonts w:ascii="Arial" w:cs="Arial" w:eastAsia="Arial" w:hAnsi="Arial"/>
                <w:sz w:val="14"/>
                <w:szCs w:val="14"/>
                <w:color w:val="auto"/>
                <w:w w:val="98"/>
              </w:rPr>
              <w:t>LEX</w:t>
            </w:r>
            <w:r>
              <w:rPr>
                <w:rFonts w:ascii="Arial" w:cs="Arial" w:eastAsia="Arial" w:hAnsi="Arial"/>
                <w:sz w:val="18"/>
                <w:szCs w:val="18"/>
                <w:color w:val="auto"/>
                <w:w w:val="98"/>
              </w:rPr>
              <w:t xml:space="preserve"> J. P</w:t>
            </w:r>
            <w:r>
              <w:rPr>
                <w:rFonts w:ascii="Arial" w:cs="Arial" w:eastAsia="Arial" w:hAnsi="Arial"/>
                <w:sz w:val="14"/>
                <w:szCs w:val="14"/>
                <w:color w:val="auto"/>
                <w:w w:val="98"/>
              </w:rPr>
              <w:t>OLLOCK</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84"/>
              </w:rPr>
              <w:t>Alex J. Pollock</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5"/>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OHN</w:t>
            </w:r>
            <w:r>
              <w:rPr>
                <w:rFonts w:ascii="Arial" w:cs="Arial" w:eastAsia="Arial" w:hAnsi="Arial"/>
                <w:sz w:val="18"/>
                <w:szCs w:val="18"/>
                <w:color w:val="auto"/>
                <w:w w:val="94"/>
              </w:rPr>
              <w:t xml:space="preserve"> F. S</w:t>
            </w:r>
            <w:r>
              <w:rPr>
                <w:rFonts w:ascii="Arial" w:cs="Arial" w:eastAsia="Arial" w:hAnsi="Arial"/>
                <w:sz w:val="14"/>
                <w:szCs w:val="14"/>
                <w:color w:val="auto"/>
                <w:w w:val="94"/>
              </w:rPr>
              <w:t>ANDNER</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87"/>
              </w:rPr>
              <w:t>John F. Sandner</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5"/>
              <w:spacing w:after="0"/>
              <w:rPr>
                <w:sz w:val="20"/>
                <w:szCs w:val="20"/>
                <w:color w:val="auto"/>
              </w:rPr>
            </w:pPr>
            <w:r>
              <w:rPr>
                <w:rFonts w:ascii="Arial" w:cs="Arial" w:eastAsia="Arial" w:hAnsi="Arial"/>
                <w:sz w:val="18"/>
                <w:szCs w:val="18"/>
                <w:color w:val="auto"/>
                <w:w w:val="96"/>
              </w:rPr>
              <w:t>T</w:t>
            </w:r>
            <w:r>
              <w:rPr>
                <w:rFonts w:ascii="Arial" w:cs="Arial" w:eastAsia="Arial" w:hAnsi="Arial"/>
                <w:sz w:val="14"/>
                <w:szCs w:val="14"/>
                <w:color w:val="auto"/>
                <w:w w:val="96"/>
              </w:rPr>
              <w:t>ERRY</w:t>
            </w:r>
            <w:r>
              <w:rPr>
                <w:rFonts w:ascii="Arial" w:cs="Arial" w:eastAsia="Arial" w:hAnsi="Arial"/>
                <w:sz w:val="18"/>
                <w:szCs w:val="18"/>
                <w:color w:val="auto"/>
                <w:w w:val="96"/>
              </w:rPr>
              <w:t xml:space="preserve"> L. S</w:t>
            </w:r>
            <w:r>
              <w:rPr>
                <w:rFonts w:ascii="Arial" w:cs="Arial" w:eastAsia="Arial" w:hAnsi="Arial"/>
                <w:sz w:val="14"/>
                <w:szCs w:val="14"/>
                <w:color w:val="auto"/>
                <w:w w:val="96"/>
              </w:rPr>
              <w:t>AVAGE</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88"/>
              </w:rPr>
              <w:t>Terry L. Savage</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Borders>
              <w:bottom w:val="single" w:sz="8" w:color="auto"/>
            </w:tcBorders>
            <w:gridSpan w:val="2"/>
          </w:tcPr>
          <w:p>
            <w:pPr>
              <w:jc w:val="center"/>
              <w:ind w:right="1605"/>
              <w:spacing w:after="0"/>
              <w:rPr>
                <w:sz w:val="20"/>
                <w:szCs w:val="20"/>
                <w:color w:val="auto"/>
              </w:rPr>
            </w:pPr>
            <w:r>
              <w:rPr>
                <w:rFonts w:ascii="Arial" w:cs="Arial" w:eastAsia="Arial" w:hAnsi="Arial"/>
                <w:sz w:val="18"/>
                <w:szCs w:val="18"/>
                <w:color w:val="auto"/>
                <w:w w:val="98"/>
              </w:rPr>
              <w:t>W</w:t>
            </w:r>
            <w:r>
              <w:rPr>
                <w:rFonts w:ascii="Arial" w:cs="Arial" w:eastAsia="Arial" w:hAnsi="Arial"/>
                <w:sz w:val="14"/>
                <w:szCs w:val="14"/>
                <w:color w:val="auto"/>
                <w:w w:val="98"/>
              </w:rPr>
              <w:t>ILLIAM</w:t>
            </w:r>
            <w:r>
              <w:rPr>
                <w:rFonts w:ascii="Arial" w:cs="Arial" w:eastAsia="Arial" w:hAnsi="Arial"/>
                <w:sz w:val="18"/>
                <w:szCs w:val="18"/>
                <w:color w:val="auto"/>
                <w:w w:val="98"/>
              </w:rPr>
              <w:t xml:space="preserve"> R. S</w:t>
            </w:r>
            <w:r>
              <w:rPr>
                <w:rFonts w:ascii="Arial" w:cs="Arial" w:eastAsia="Arial" w:hAnsi="Arial"/>
                <w:sz w:val="14"/>
                <w:szCs w:val="14"/>
                <w:color w:val="auto"/>
                <w:w w:val="98"/>
              </w:rPr>
              <w:t>HEPARD</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91"/>
              </w:rPr>
              <w:t>William R. Shepard</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jc w:val="center"/>
              <w:ind w:right="1705"/>
              <w:spacing w:after="0"/>
              <w:rPr>
                <w:sz w:val="20"/>
                <w:szCs w:val="20"/>
                <w:color w:val="auto"/>
              </w:rPr>
            </w:pPr>
            <w:r>
              <w:rPr>
                <w:rFonts w:ascii="Arial" w:cs="Arial" w:eastAsia="Arial" w:hAnsi="Arial"/>
                <w:sz w:val="18"/>
                <w:szCs w:val="18"/>
                <w:color w:val="auto"/>
                <w:w w:val="95"/>
              </w:rPr>
              <w:t>H</w:t>
            </w:r>
            <w:r>
              <w:rPr>
                <w:rFonts w:ascii="Arial" w:cs="Arial" w:eastAsia="Arial" w:hAnsi="Arial"/>
                <w:sz w:val="14"/>
                <w:szCs w:val="14"/>
                <w:color w:val="auto"/>
                <w:w w:val="95"/>
              </w:rPr>
              <w:t>OWARD</w:t>
            </w:r>
            <w:r>
              <w:rPr>
                <w:rFonts w:ascii="Arial" w:cs="Arial" w:eastAsia="Arial" w:hAnsi="Arial"/>
                <w:sz w:val="18"/>
                <w:szCs w:val="18"/>
                <w:color w:val="auto"/>
                <w:w w:val="95"/>
              </w:rPr>
              <w:t xml:space="preserve"> J. S</w:t>
            </w:r>
            <w:r>
              <w:rPr>
                <w:rFonts w:ascii="Arial" w:cs="Arial" w:eastAsia="Arial" w:hAnsi="Arial"/>
                <w:sz w:val="14"/>
                <w:szCs w:val="14"/>
                <w:color w:val="auto"/>
                <w:w w:val="95"/>
              </w:rPr>
              <w:t>IEGEL</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85"/>
              </w:rPr>
              <w:t>Howard J. Siegel</w:t>
            </w:r>
          </w:p>
        </w:tc>
        <w:tc>
          <w:tcPr>
            <w:tcW w:w="1160" w:type="dxa"/>
            <w:vAlign w:val="bottom"/>
          </w:tcPr>
          <w:p>
            <w:pPr>
              <w:spacing w:after="0"/>
              <w:rPr>
                <w:sz w:val="14"/>
                <w:szCs w:val="14"/>
                <w:color w:val="auto"/>
              </w:rPr>
            </w:pPr>
          </w:p>
        </w:tc>
      </w:tr>
      <w:tr>
        <w:trPr>
          <w:trHeight w:val="419"/>
        </w:trPr>
        <w:tc>
          <w:tcPr>
            <w:tcW w:w="5040" w:type="dxa"/>
            <w:vAlign w:val="bottom"/>
            <w:tcBorders>
              <w:bottom w:val="single" w:sz="8" w:color="auto"/>
            </w:tcBorders>
            <w:gridSpan w:val="3"/>
          </w:tcPr>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w:t>
            </w:r>
            <w:r>
              <w:rPr>
                <w:rFonts w:ascii="Arial" w:cs="Arial" w:eastAsia="Arial" w:hAnsi="Arial"/>
                <w:sz w:val="14"/>
                <w:szCs w:val="14"/>
                <w:color w:val="auto"/>
              </w:rPr>
              <w:t>HRISTOPHER</w:t>
            </w:r>
            <w:r>
              <w:rPr>
                <w:rFonts w:ascii="Arial" w:cs="Arial" w:eastAsia="Arial" w:hAnsi="Arial"/>
                <w:sz w:val="18"/>
                <w:szCs w:val="18"/>
                <w:color w:val="auto"/>
              </w:rPr>
              <w:t xml:space="preserve"> S</w:t>
            </w:r>
            <w:r>
              <w:rPr>
                <w:rFonts w:ascii="Arial" w:cs="Arial" w:eastAsia="Arial" w:hAnsi="Arial"/>
                <w:sz w:val="14"/>
                <w:szCs w:val="14"/>
                <w:color w:val="auto"/>
              </w:rPr>
              <w:t>TEWART</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89"/>
              </w:rPr>
              <w:t>Christopher Stewart</w:t>
            </w:r>
          </w:p>
        </w:tc>
        <w:tc>
          <w:tcPr>
            <w:tcW w:w="1160" w:type="dxa"/>
            <w:vAlign w:val="bottom"/>
          </w:tcPr>
          <w:p>
            <w:pPr>
              <w:spacing w:after="0"/>
              <w:rPr>
                <w:sz w:val="14"/>
                <w:szCs w:val="14"/>
                <w:color w:val="auto"/>
              </w:rPr>
            </w:pPr>
          </w:p>
        </w:tc>
      </w:tr>
      <w:tr>
        <w:trPr>
          <w:trHeight w:val="419"/>
        </w:trPr>
        <w:tc>
          <w:tcPr>
            <w:tcW w:w="174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00" w:type="dxa"/>
            <w:vAlign w:val="bottom"/>
            <w:tcBorders>
              <w:bottom w:val="single" w:sz="8" w:color="auto"/>
            </w:tcBorders>
            <w:gridSpan w:val="2"/>
          </w:tcPr>
          <w:p>
            <w:pPr>
              <w:jc w:val="center"/>
              <w:ind w:right="1605"/>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ENNIS</w:t>
            </w:r>
            <w:r>
              <w:rPr>
                <w:rFonts w:ascii="Arial" w:cs="Arial" w:eastAsia="Arial" w:hAnsi="Arial"/>
                <w:sz w:val="18"/>
                <w:szCs w:val="18"/>
                <w:color w:val="auto"/>
                <w:w w:val="98"/>
              </w:rPr>
              <w:t xml:space="preserve"> A. S</w:t>
            </w:r>
            <w:r>
              <w:rPr>
                <w:rFonts w:ascii="Arial" w:cs="Arial" w:eastAsia="Arial" w:hAnsi="Arial"/>
                <w:sz w:val="14"/>
                <w:szCs w:val="14"/>
                <w:color w:val="auto"/>
                <w:w w:val="98"/>
              </w:rPr>
              <w:t>USKIND</w:t>
            </w:r>
          </w:p>
        </w:tc>
        <w:tc>
          <w:tcPr>
            <w:tcW w:w="1160" w:type="dxa"/>
            <w:vAlign w:val="bottom"/>
          </w:tcPr>
          <w:p>
            <w:pPr>
              <w:ind w:left="580"/>
              <w:spacing w:after="0"/>
              <w:rPr>
                <w:sz w:val="20"/>
                <w:szCs w:val="20"/>
                <w:color w:val="auto"/>
              </w:rPr>
            </w:pPr>
            <w:r>
              <w:rPr>
                <w:rFonts w:ascii="Arial" w:cs="Arial" w:eastAsia="Arial" w:hAnsi="Arial"/>
                <w:sz w:val="18"/>
                <w:szCs w:val="18"/>
                <w:color w:val="auto"/>
                <w:w w:val="88"/>
              </w:rPr>
              <w:t>Director</w:t>
            </w:r>
          </w:p>
        </w:tc>
      </w:tr>
      <w:tr>
        <w:trPr>
          <w:trHeight w:val="169"/>
        </w:trPr>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jc w:val="center"/>
              <w:ind w:right="1765"/>
              <w:spacing w:after="0"/>
              <w:rPr>
                <w:sz w:val="20"/>
                <w:szCs w:val="20"/>
                <w:color w:val="auto"/>
              </w:rPr>
            </w:pPr>
            <w:r>
              <w:rPr>
                <w:rFonts w:ascii="Arial" w:cs="Arial" w:eastAsia="Arial" w:hAnsi="Arial"/>
                <w:sz w:val="14"/>
                <w:szCs w:val="14"/>
                <w:b w:val="1"/>
                <w:bCs w:val="1"/>
                <w:color w:val="auto"/>
                <w:w w:val="87"/>
              </w:rPr>
              <w:t>Dennis A. Suskind</w:t>
            </w:r>
          </w:p>
        </w:tc>
        <w:tc>
          <w:tcPr>
            <w:tcW w:w="1160" w:type="dxa"/>
            <w:vAlign w:val="bottom"/>
          </w:tcPr>
          <w:p>
            <w:pPr>
              <w:spacing w:after="0"/>
              <w:rPr>
                <w:sz w:val="14"/>
                <w:szCs w:val="14"/>
                <w:color w:val="auto"/>
              </w:rPr>
            </w:pPr>
          </w:p>
        </w:tc>
      </w:tr>
      <w:tr>
        <w:trPr>
          <w:trHeight w:val="350"/>
        </w:trPr>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160" w:type="dxa"/>
            <w:vAlign w:val="bottom"/>
          </w:tcPr>
          <w:p>
            <w:pPr>
              <w:ind w:left="540"/>
              <w:spacing w:after="0"/>
              <w:rPr>
                <w:sz w:val="20"/>
                <w:szCs w:val="20"/>
                <w:color w:val="auto"/>
              </w:rPr>
            </w:pPr>
            <w:r>
              <w:rPr>
                <w:rFonts w:ascii="Arial" w:cs="Arial" w:eastAsia="Arial" w:hAnsi="Arial"/>
                <w:sz w:val="18"/>
                <w:szCs w:val="18"/>
                <w:color w:val="auto"/>
              </w:rPr>
              <w:t>145</w:t>
            </w:r>
          </w:p>
        </w:tc>
      </w:tr>
    </w:tbl>
    <w:p>
      <w:pPr>
        <w:sectPr>
          <w:pgSz w:w="11900" w:h="16838" w:orient="portrait"/>
          <w:cols w:equalWidth="0" w:num="1">
            <w:col w:w="10219"/>
          </w:cols>
          <w:pgMar w:left="240" w:top="496"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1886585" cy="42037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88658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Equity Grant Letter for Executive Officers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Department: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Division:</w:t>
      </w:r>
    </w:p>
    <w:p>
      <w:pPr>
        <w:spacing w:after="0" w:line="17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Congratulations! We are pleased to provide you with an equity grant under the CME Group Inc. Amended and Restated Omnibus Stock Plan (the “Plan”). This equity grant is in recognition of the anticipated positive impact you will make toward the future success of CME Group. Your equity grant may enable you to acquire ownership in CME Group Inc., which is a means for you to share in the success of the company while creating shareholder value. Certain terms of your equity grant follow: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87"/>
              </w:rPr>
              <w:t>Stock Option Terms</w:t>
            </w:r>
          </w:p>
        </w:tc>
        <w:tc>
          <w:tcPr>
            <w:tcW w:w="440" w:type="dxa"/>
            <w:vAlign w:val="bottom"/>
            <w:gridSpan w:val="3"/>
          </w:tcPr>
          <w:p>
            <w:pPr>
              <w:spacing w:after="0"/>
              <w:rPr>
                <w:sz w:val="17"/>
                <w:szCs w:val="17"/>
                <w:color w:val="auto"/>
              </w:rPr>
            </w:pPr>
          </w:p>
        </w:tc>
        <w:tc>
          <w:tcPr>
            <w:tcW w:w="9260" w:type="dxa"/>
            <w:vAlign w:val="bottom"/>
          </w:tcPr>
          <w:p>
            <w:pPr>
              <w:spacing w:after="0"/>
              <w:rPr>
                <w:sz w:val="17"/>
                <w:szCs w:val="17"/>
                <w:color w:val="auto"/>
              </w:rPr>
            </w:pPr>
          </w:p>
        </w:tc>
      </w:tr>
      <w:tr>
        <w:trPr>
          <w:trHeight w:val="507"/>
        </w:trPr>
        <w:tc>
          <w:tcPr>
            <w:tcW w:w="1960" w:type="dxa"/>
            <w:vAlign w:val="bottom"/>
            <w:gridSpan w:val="8"/>
          </w:tcPr>
          <w:p>
            <w:pPr>
              <w:spacing w:after="0"/>
              <w:rPr>
                <w:sz w:val="20"/>
                <w:szCs w:val="20"/>
                <w:color w:val="auto"/>
              </w:rPr>
            </w:pPr>
            <w:r>
              <w:rPr>
                <w:rFonts w:ascii="Arial" w:cs="Arial" w:eastAsia="Arial" w:hAnsi="Arial"/>
                <w:sz w:val="18"/>
                <w:szCs w:val="18"/>
                <w:color w:val="auto"/>
              </w:rPr>
              <w:t>Option:</w:t>
            </w:r>
          </w:p>
        </w:tc>
        <w:tc>
          <w:tcPr>
            <w:tcW w:w="9260" w:type="dxa"/>
            <w:vAlign w:val="bottom"/>
          </w:tcPr>
          <w:p>
            <w:pPr>
              <w:ind w:left="220"/>
              <w:spacing w:after="0"/>
              <w:rPr>
                <w:sz w:val="20"/>
                <w:szCs w:val="20"/>
                <w:color w:val="auto"/>
              </w:rPr>
            </w:pPr>
            <w:r>
              <w:rPr>
                <w:rFonts w:ascii="Arial" w:cs="Arial" w:eastAsia="Arial" w:hAnsi="Arial"/>
                <w:sz w:val="18"/>
                <w:szCs w:val="18"/>
                <w:color w:val="auto"/>
                <w:w w:val="90"/>
              </w:rPr>
              <w:t>You have been granted a non-qualified stock option to purchase [•] shares of Class A common stock, $.01 par value, of CME</w:t>
            </w:r>
          </w:p>
        </w:tc>
      </w:tr>
      <w:tr>
        <w:trPr>
          <w:trHeight w:val="235"/>
        </w:trPr>
        <w:tc>
          <w:tcPr>
            <w:tcW w:w="5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60" w:type="dxa"/>
            <w:vAlign w:val="bottom"/>
          </w:tcPr>
          <w:p>
            <w:pPr>
              <w:ind w:left="220"/>
              <w:spacing w:after="0"/>
              <w:rPr>
                <w:sz w:val="20"/>
                <w:szCs w:val="20"/>
                <w:color w:val="auto"/>
              </w:rPr>
            </w:pPr>
            <w:r>
              <w:rPr>
                <w:rFonts w:ascii="Arial" w:cs="Arial" w:eastAsia="Arial" w:hAnsi="Arial"/>
                <w:sz w:val="18"/>
                <w:szCs w:val="18"/>
                <w:color w:val="auto"/>
              </w:rPr>
              <w:t>Group Inc.</w:t>
            </w:r>
          </w:p>
        </w:tc>
      </w:tr>
      <w:tr>
        <w:trPr>
          <w:trHeight w:val="286"/>
        </w:trPr>
        <w:tc>
          <w:tcPr>
            <w:tcW w:w="1960" w:type="dxa"/>
            <w:vAlign w:val="bottom"/>
            <w:gridSpan w:val="8"/>
          </w:tcPr>
          <w:p>
            <w:pPr>
              <w:spacing w:after="0"/>
              <w:rPr>
                <w:sz w:val="20"/>
                <w:szCs w:val="20"/>
                <w:color w:val="auto"/>
              </w:rPr>
            </w:pPr>
            <w:r>
              <w:rPr>
                <w:rFonts w:ascii="Arial" w:cs="Arial" w:eastAsia="Arial" w:hAnsi="Arial"/>
                <w:sz w:val="18"/>
                <w:szCs w:val="18"/>
                <w:color w:val="auto"/>
              </w:rPr>
              <w:t>Grant Date:</w:t>
            </w:r>
          </w:p>
        </w:tc>
        <w:tc>
          <w:tcPr>
            <w:tcW w:w="926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0"/>
        </w:trPr>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04"/>
        </w:trPr>
        <w:tc>
          <w:tcPr>
            <w:tcW w:w="1960" w:type="dxa"/>
            <w:vAlign w:val="bottom"/>
            <w:gridSpan w:val="8"/>
          </w:tcPr>
          <w:p>
            <w:pPr>
              <w:spacing w:after="0"/>
              <w:rPr>
                <w:sz w:val="20"/>
                <w:szCs w:val="20"/>
                <w:color w:val="auto"/>
              </w:rPr>
            </w:pPr>
            <w:r>
              <w:rPr>
                <w:rFonts w:ascii="Arial" w:cs="Arial" w:eastAsia="Arial" w:hAnsi="Arial"/>
                <w:sz w:val="18"/>
                <w:szCs w:val="18"/>
                <w:color w:val="auto"/>
                <w:w w:val="96"/>
              </w:rPr>
              <w:t>Exercise Price per share:</w:t>
            </w:r>
          </w:p>
        </w:tc>
        <w:tc>
          <w:tcPr>
            <w:tcW w:w="926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304"/>
        </w:trPr>
        <w:tc>
          <w:tcPr>
            <w:tcW w:w="17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Vesting Schedule:</w:t>
            </w:r>
          </w:p>
        </w:tc>
        <w:tc>
          <w:tcPr>
            <w:tcW w:w="260" w:type="dxa"/>
            <w:vAlign w:val="bottom"/>
            <w:gridSpan w:val="2"/>
          </w:tcPr>
          <w:p>
            <w:pPr>
              <w:spacing w:after="0"/>
              <w:rPr>
                <w:sz w:val="24"/>
                <w:szCs w:val="24"/>
                <w:color w:val="auto"/>
              </w:rPr>
            </w:pPr>
          </w:p>
        </w:tc>
        <w:tc>
          <w:tcPr>
            <w:tcW w:w="9260" w:type="dxa"/>
            <w:vAlign w:val="bottom"/>
          </w:tcPr>
          <w:p>
            <w:pPr>
              <w:ind w:left="220"/>
              <w:spacing w:after="0"/>
              <w:rPr>
                <w:sz w:val="20"/>
                <w:szCs w:val="20"/>
                <w:color w:val="auto"/>
              </w:rPr>
            </w:pPr>
            <w:r>
              <w:rPr>
                <w:rFonts w:ascii="Arial" w:cs="Arial" w:eastAsia="Arial" w:hAnsi="Arial"/>
                <w:sz w:val="18"/>
                <w:szCs w:val="18"/>
                <w:color w:val="auto"/>
                <w:w w:val="87"/>
              </w:rPr>
              <w:t>Except as may otherwise be provided in the Plan, 25 percent of the option grant shall become exercisable on each anniversary of</w:t>
            </w:r>
          </w:p>
        </w:tc>
      </w:tr>
      <w:tr>
        <w:trPr>
          <w:trHeight w:val="235"/>
        </w:trPr>
        <w:tc>
          <w:tcPr>
            <w:tcW w:w="5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60" w:type="dxa"/>
            <w:vAlign w:val="bottom"/>
          </w:tcPr>
          <w:p>
            <w:pPr>
              <w:ind w:left="220"/>
              <w:spacing w:after="0"/>
              <w:rPr>
                <w:sz w:val="20"/>
                <w:szCs w:val="20"/>
                <w:color w:val="auto"/>
              </w:rPr>
            </w:pPr>
            <w:r>
              <w:rPr>
                <w:rFonts w:ascii="Arial" w:cs="Arial" w:eastAsia="Arial" w:hAnsi="Arial"/>
                <w:sz w:val="18"/>
                <w:szCs w:val="18"/>
                <w:color w:val="auto"/>
                <w:w w:val="96"/>
              </w:rPr>
              <w:t>the grant date, with 100 percent of the option grant becoming exercisable on the fourth anniversary of the grant date.</w:t>
            </w:r>
            <w:r>
              <w:rPr>
                <w:rFonts w:ascii="Arial" w:cs="Arial" w:eastAsia="Arial" w:hAnsi="Arial"/>
                <w:sz w:val="11"/>
                <w:szCs w:val="11"/>
                <w:color w:val="auto"/>
                <w:w w:val="96"/>
              </w:rPr>
              <w:t>1</w:t>
            </w:r>
          </w:p>
        </w:tc>
      </w:tr>
      <w:tr>
        <w:trPr>
          <w:trHeight w:val="286"/>
        </w:trPr>
        <w:tc>
          <w:tcPr>
            <w:tcW w:w="1960" w:type="dxa"/>
            <w:vAlign w:val="bottom"/>
            <w:gridSpan w:val="8"/>
          </w:tcPr>
          <w:p>
            <w:pPr>
              <w:spacing w:after="0"/>
              <w:rPr>
                <w:sz w:val="20"/>
                <w:szCs w:val="20"/>
                <w:color w:val="auto"/>
              </w:rPr>
            </w:pPr>
            <w:r>
              <w:rPr>
                <w:rFonts w:ascii="Arial" w:cs="Arial" w:eastAsia="Arial" w:hAnsi="Arial"/>
                <w:sz w:val="18"/>
                <w:szCs w:val="18"/>
                <w:color w:val="auto"/>
              </w:rPr>
              <w:t>Expiration:</w:t>
            </w:r>
          </w:p>
        </w:tc>
        <w:tc>
          <w:tcPr>
            <w:tcW w:w="9260" w:type="dxa"/>
            <w:vAlign w:val="bottom"/>
          </w:tcPr>
          <w:p>
            <w:pPr>
              <w:ind w:left="220"/>
              <w:spacing w:after="0"/>
              <w:rPr>
                <w:sz w:val="20"/>
                <w:szCs w:val="20"/>
                <w:color w:val="auto"/>
              </w:rPr>
            </w:pPr>
            <w:r>
              <w:rPr>
                <w:rFonts w:ascii="Arial" w:cs="Arial" w:eastAsia="Arial" w:hAnsi="Arial"/>
                <w:sz w:val="18"/>
                <w:szCs w:val="18"/>
                <w:color w:val="auto"/>
                <w:w w:val="89"/>
              </w:rPr>
              <w:t>Subject to earlier termination pursuant to the terms of the Plan, unexercised portions of the option will expire ten years from the</w:t>
            </w:r>
          </w:p>
        </w:tc>
      </w:tr>
      <w:tr>
        <w:trPr>
          <w:trHeight w:val="235"/>
        </w:trPr>
        <w:tc>
          <w:tcPr>
            <w:tcW w:w="5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60" w:type="dxa"/>
            <w:vAlign w:val="bottom"/>
          </w:tcPr>
          <w:p>
            <w:pPr>
              <w:ind w:left="220"/>
              <w:spacing w:after="0"/>
              <w:rPr>
                <w:sz w:val="20"/>
                <w:szCs w:val="20"/>
                <w:color w:val="auto"/>
              </w:rPr>
            </w:pPr>
            <w:r>
              <w:rPr>
                <w:rFonts w:ascii="Arial" w:cs="Arial" w:eastAsia="Arial" w:hAnsi="Arial"/>
                <w:sz w:val="18"/>
                <w:szCs w:val="18"/>
                <w:color w:val="auto"/>
              </w:rPr>
              <w:t>date of grant.</w:t>
            </w:r>
            <w:r>
              <w:rPr>
                <w:rFonts w:ascii="Arial" w:cs="Arial" w:eastAsia="Arial" w:hAnsi="Arial"/>
                <w:sz w:val="11"/>
                <w:szCs w:val="11"/>
                <w:color w:val="auto"/>
              </w:rPr>
              <w:t>1</w:t>
            </w:r>
          </w:p>
        </w:tc>
      </w:tr>
      <w:tr>
        <w:trPr>
          <w:trHeight w:val="286"/>
        </w:trPr>
        <w:tc>
          <w:tcPr>
            <w:tcW w:w="176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86"/>
              </w:rPr>
              <w:t>Restricted Stock Terms</w:t>
            </w:r>
          </w:p>
        </w:tc>
        <w:tc>
          <w:tcPr>
            <w:tcW w:w="200" w:type="dxa"/>
            <w:vAlign w:val="bottom"/>
          </w:tcPr>
          <w:p>
            <w:pPr>
              <w:spacing w:after="0"/>
              <w:rPr>
                <w:sz w:val="24"/>
                <w:szCs w:val="24"/>
                <w:color w:val="auto"/>
              </w:rPr>
            </w:pPr>
          </w:p>
        </w:tc>
        <w:tc>
          <w:tcPr>
            <w:tcW w:w="9260" w:type="dxa"/>
            <w:vAlign w:val="bottom"/>
          </w:tcPr>
          <w:p>
            <w:pPr>
              <w:spacing w:after="0"/>
              <w:rPr>
                <w:sz w:val="24"/>
                <w:szCs w:val="24"/>
                <w:color w:val="auto"/>
              </w:rPr>
            </w:pPr>
          </w:p>
        </w:tc>
      </w:tr>
      <w:tr>
        <w:trPr>
          <w:trHeight w:val="304"/>
        </w:trPr>
        <w:tc>
          <w:tcPr>
            <w:tcW w:w="1960" w:type="dxa"/>
            <w:vAlign w:val="bottom"/>
            <w:gridSpan w:val="8"/>
          </w:tcPr>
          <w:p>
            <w:pPr>
              <w:spacing w:after="0"/>
              <w:rPr>
                <w:sz w:val="20"/>
                <w:szCs w:val="20"/>
                <w:color w:val="auto"/>
              </w:rPr>
            </w:pPr>
            <w:r>
              <w:rPr>
                <w:rFonts w:ascii="Arial" w:cs="Arial" w:eastAsia="Arial" w:hAnsi="Arial"/>
                <w:sz w:val="18"/>
                <w:szCs w:val="18"/>
                <w:color w:val="auto"/>
              </w:rPr>
              <w:t>Restricted Stock:</w:t>
            </w:r>
          </w:p>
        </w:tc>
        <w:tc>
          <w:tcPr>
            <w:tcW w:w="9260" w:type="dxa"/>
            <w:vAlign w:val="bottom"/>
          </w:tcPr>
          <w:p>
            <w:pPr>
              <w:ind w:left="220"/>
              <w:spacing w:after="0"/>
              <w:rPr>
                <w:sz w:val="20"/>
                <w:szCs w:val="20"/>
                <w:color w:val="auto"/>
              </w:rPr>
            </w:pPr>
            <w:r>
              <w:rPr>
                <w:rFonts w:ascii="Arial" w:cs="Arial" w:eastAsia="Arial" w:hAnsi="Arial"/>
                <w:sz w:val="18"/>
                <w:szCs w:val="18"/>
                <w:color w:val="auto"/>
              </w:rPr>
              <w:t>You have been granted [—] restricted shares of Class A common stock, $.01 par value, of CME Group Inc.</w:t>
            </w:r>
          </w:p>
        </w:tc>
      </w:tr>
      <w:tr>
        <w:trPr>
          <w:trHeight w:val="304"/>
        </w:trPr>
        <w:tc>
          <w:tcPr>
            <w:tcW w:w="11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Grant Date:</w:t>
            </w:r>
          </w:p>
        </w:tc>
        <w:tc>
          <w:tcPr>
            <w:tcW w:w="800" w:type="dxa"/>
            <w:vAlign w:val="bottom"/>
            <w:gridSpan w:val="5"/>
          </w:tcPr>
          <w:p>
            <w:pPr>
              <w:spacing w:after="0"/>
              <w:rPr>
                <w:sz w:val="24"/>
                <w:szCs w:val="24"/>
                <w:color w:val="auto"/>
              </w:rPr>
            </w:pPr>
          </w:p>
        </w:tc>
        <w:tc>
          <w:tcPr>
            <w:tcW w:w="926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0"/>
        </w:trPr>
        <w:tc>
          <w:tcPr>
            <w:tcW w:w="780" w:type="dxa"/>
            <w:vAlign w:val="bottom"/>
            <w:tcBorders>
              <w:right w:val="single" w:sz="8" w:color="auto"/>
            </w:tcBorders>
            <w:gridSpan w:val="2"/>
            <w:shd w:val="clear" w:color="auto" w:fill="000000"/>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r>
      <w:tr>
        <w:trPr>
          <w:trHeight w:val="304"/>
        </w:trPr>
        <w:tc>
          <w:tcPr>
            <w:tcW w:w="1960" w:type="dxa"/>
            <w:vAlign w:val="bottom"/>
            <w:gridSpan w:val="8"/>
          </w:tcPr>
          <w:p>
            <w:pPr>
              <w:spacing w:after="0"/>
              <w:rPr>
                <w:sz w:val="20"/>
                <w:szCs w:val="20"/>
                <w:color w:val="auto"/>
              </w:rPr>
            </w:pPr>
            <w:r>
              <w:rPr>
                <w:rFonts w:ascii="Arial" w:cs="Arial" w:eastAsia="Arial" w:hAnsi="Arial"/>
                <w:sz w:val="18"/>
                <w:szCs w:val="18"/>
                <w:color w:val="auto"/>
              </w:rPr>
              <w:t>Vesting Schedule:</w:t>
            </w:r>
          </w:p>
        </w:tc>
        <w:tc>
          <w:tcPr>
            <w:tcW w:w="9260" w:type="dxa"/>
            <w:vAlign w:val="bottom"/>
          </w:tcPr>
          <w:p>
            <w:pPr>
              <w:ind w:left="220"/>
              <w:spacing w:after="0"/>
              <w:rPr>
                <w:sz w:val="20"/>
                <w:szCs w:val="20"/>
                <w:color w:val="auto"/>
              </w:rPr>
            </w:pPr>
            <w:r>
              <w:rPr>
                <w:rFonts w:ascii="Arial" w:cs="Arial" w:eastAsia="Arial" w:hAnsi="Arial"/>
                <w:sz w:val="18"/>
                <w:szCs w:val="18"/>
                <w:color w:val="auto"/>
                <w:w w:val="87"/>
              </w:rPr>
              <w:t>Except as otherwise provided in the Plan, 25 percent of the restricted stock grant shall become vested on each anniversary of the</w:t>
            </w:r>
          </w:p>
        </w:tc>
      </w:tr>
      <w:tr>
        <w:trPr>
          <w:trHeight w:val="235"/>
        </w:trPr>
        <w:tc>
          <w:tcPr>
            <w:tcW w:w="5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60" w:type="dxa"/>
            <w:vAlign w:val="bottom"/>
          </w:tcPr>
          <w:p>
            <w:pPr>
              <w:ind w:left="220"/>
              <w:spacing w:after="0"/>
              <w:rPr>
                <w:sz w:val="20"/>
                <w:szCs w:val="20"/>
                <w:color w:val="auto"/>
              </w:rPr>
            </w:pPr>
            <w:r>
              <w:rPr>
                <w:rFonts w:ascii="Arial" w:cs="Arial" w:eastAsia="Arial" w:hAnsi="Arial"/>
                <w:sz w:val="18"/>
                <w:szCs w:val="18"/>
                <w:color w:val="auto"/>
                <w:w w:val="96"/>
              </w:rPr>
              <w:t>grant date, with 100 percent of the restricted stock grant becoming vested on the fourth anniversary of the grant date.</w:t>
            </w:r>
            <w:r>
              <w:rPr>
                <w:rFonts w:ascii="Arial" w:cs="Arial" w:eastAsia="Arial" w:hAnsi="Arial"/>
                <w:sz w:val="11"/>
                <w:szCs w:val="11"/>
                <w:color w:val="auto"/>
                <w:w w:val="96"/>
              </w:rPr>
              <w:t>1</w:t>
            </w:r>
          </w:p>
        </w:tc>
      </w:tr>
    </w:tbl>
    <w:p>
      <w:pPr>
        <w:spacing w:after="0" w:line="15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i w:val="1"/>
          <w:iCs w:val="1"/>
          <w:color w:val="auto"/>
        </w:rPr>
        <w:t>Your equity grant has an economic value of $[—]. The economic value was used to calculate the number of options and restricted shares granted, using the closing stock price on the grant date and the Black-Scholes option value at the time of grant.</w:t>
      </w:r>
    </w:p>
    <w:p>
      <w:pPr>
        <w:spacing w:after="0" w:line="132"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i w:val="1"/>
          <w:iCs w:val="1"/>
          <w:color w:val="auto"/>
        </w:rPr>
        <w:t xml:space="preserve">To be eligible to receive this grant, you must have entered into a Confidentiality, Non-Compete and Non-Solicitation Agreement with CME Group Inc. In addition to the terms stated in this grant letter, your equity grant shall be subject to the terms and conditions of the Plan. All documents relating to the Plan, including the cover letter, grant letter, Plan Document, Prospectus, Frequently Asked Questions, 83b Election Memo (for U.S. employees only), W-9 Form (or W-8BEN Form for international employees) and Beneficiary Form, are available online by logging on to your E*TRADE account at </w:t>
      </w:r>
      <w:r>
        <w:rPr>
          <w:rFonts w:ascii="Arial" w:cs="Arial" w:eastAsia="Arial" w:hAnsi="Arial"/>
          <w:sz w:val="16"/>
          <w:szCs w:val="16"/>
          <w:i w:val="1"/>
          <w:iCs w:val="1"/>
          <w:u w:val="single" w:color="auto"/>
          <w:color w:val="auto"/>
        </w:rPr>
        <w:t>www.etrade.com/stockplans</w:t>
      </w:r>
      <w:r>
        <w:rPr>
          <w:rFonts w:ascii="Arial" w:cs="Arial" w:eastAsia="Arial" w:hAnsi="Arial"/>
          <w:sz w:val="16"/>
          <w:szCs w:val="16"/>
          <w:i w:val="1"/>
          <w:iCs w:val="1"/>
          <w:color w:val="auto"/>
        </w:rPr>
        <w:t xml:space="preserve">, or by calling E*TRADE at (800) 838-0908. A copy of the CME Group 2009 Form 10-K can be found at: </w:t>
      </w:r>
      <w:r>
        <w:rPr>
          <w:rFonts w:ascii="Arial" w:cs="Arial" w:eastAsia="Arial" w:hAnsi="Arial"/>
          <w:sz w:val="16"/>
          <w:szCs w:val="16"/>
          <w:i w:val="1"/>
          <w:iCs w:val="1"/>
          <w:u w:val="single" w:color="auto"/>
          <w:color w:val="auto"/>
        </w:rPr>
        <w:t>http://investor.cmegroup.com/investor-relations/financials.cfm</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You</w:t>
      </w:r>
      <w:r>
        <w:rPr>
          <w:rFonts w:ascii="Arial" w:cs="Arial" w:eastAsia="Arial" w:hAnsi="Arial"/>
          <w:sz w:val="16"/>
          <w:szCs w:val="16"/>
          <w:i w:val="1"/>
          <w:iCs w:val="1"/>
          <w:color w:val="auto"/>
        </w:rPr>
        <w:t xml:space="preserve"> </w:t>
      </w:r>
      <w:r>
        <w:rPr>
          <w:rFonts w:ascii="Arial" w:cs="Arial" w:eastAsia="Arial" w:hAnsi="Arial"/>
          <w:sz w:val="16"/>
          <w:szCs w:val="16"/>
          <w:b w:val="1"/>
          <w:bCs w:val="1"/>
          <w:i w:val="1"/>
          <w:iCs w:val="1"/>
          <w:color w:val="auto"/>
        </w:rPr>
        <w:t>must complete the W-9 Form (or W-8 Ben Form for International employees) if this is your first Restricted Stock grant. Additionally, you must submit a Beneficiary Form to the Compensation Department if you have not done so previously. Forms can be sent to the Compensation Department, 20 S. Wacker, 6S</w:t>
      </w:r>
      <w:r>
        <w:rPr>
          <w:rFonts w:ascii="Arial" w:cs="Arial" w:eastAsia="Arial" w:hAnsi="Arial"/>
          <w:sz w:val="16"/>
          <w:szCs w:val="16"/>
          <w:i w:val="1"/>
          <w:iCs w:val="1"/>
          <w:color w:val="auto"/>
        </w:rPr>
        <w:t>.</w:t>
      </w:r>
    </w:p>
    <w:p>
      <w:pPr>
        <w:spacing w:after="0" w:line="11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i w:val="1"/>
          <w:iCs w:val="1"/>
          <w:color w:val="auto"/>
        </w:rPr>
        <w:t>By accepting this equity grant, you hereby agree to the terms and conditions of the Plan, which are subject to change at any time. In addition, you acknowledge and agree that you are receiving this grant pursuant to CME Group’s Annual Grant Program, which is in place at the discretion of CME Group. Accordingly, your receipt of this grant and your eligibility for any future grants are subject to the continued existence of the Annual Grant Program.</w:t>
      </w:r>
    </w:p>
    <w:p>
      <w:pPr>
        <w:spacing w:after="0" w:line="63" w:lineRule="exact"/>
        <w:rPr>
          <w:sz w:val="20"/>
          <w:szCs w:val="20"/>
          <w:color w:val="auto"/>
        </w:rPr>
      </w:pPr>
    </w:p>
    <w:p>
      <w:pPr>
        <w:ind w:left="220" w:hanging="212"/>
        <w:spacing w:after="0"/>
        <w:tabs>
          <w:tab w:leader="none" w:pos="220" w:val="left"/>
        </w:tabs>
        <w:numPr>
          <w:ilvl w:val="0"/>
          <w:numId w:val="55"/>
        </w:numPr>
        <w:rPr>
          <w:rFonts w:ascii="Arial" w:cs="Arial" w:eastAsia="Arial" w:hAnsi="Arial"/>
          <w:sz w:val="22"/>
          <w:szCs w:val="22"/>
          <w:color w:val="auto"/>
          <w:vertAlign w:val="superscript"/>
        </w:rPr>
      </w:pPr>
      <w:r>
        <w:rPr>
          <w:rFonts w:ascii="Arial" w:cs="Arial" w:eastAsia="Arial" w:hAnsi="Arial"/>
          <w:sz w:val="18"/>
          <w:szCs w:val="18"/>
          <w:color w:val="auto"/>
        </w:rPr>
        <w:t>May be amended to address specific employment contractual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135505" cy="4546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3550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First Name Last 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Second Line – Street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State Zip Code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Re: Equity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w:t>
      </w:r>
    </w:p>
    <w:p>
      <w:pPr>
        <w:spacing w:after="0" w:line="17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are pleased to provide you with a grant of shares of stock under the CME Group Inc. (the “Company”) 2005 Director Stock Plan (the “Plan”) as compensation for your service as a member of the Board of Directors of the Company. Your participation in the Plan will further align your interests with our shareholders. This grant was made to you on [—], using the closing stock price of $[—]. Certain terms of your equity grant follow: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Number of</w:t>
            </w:r>
          </w:p>
        </w:tc>
        <w:tc>
          <w:tcPr>
            <w:tcW w:w="880" w:type="dxa"/>
            <w:vAlign w:val="bottom"/>
            <w:gridSpan w:val="3"/>
          </w:tcPr>
          <w:p>
            <w:pPr>
              <w:spacing w:after="0"/>
              <w:rPr>
                <w:sz w:val="17"/>
                <w:szCs w:val="17"/>
                <w:color w:val="auto"/>
              </w:rPr>
            </w:pPr>
          </w:p>
        </w:tc>
        <w:tc>
          <w:tcPr>
            <w:tcW w:w="5140" w:type="dxa"/>
            <w:vAlign w:val="bottom"/>
          </w:tcPr>
          <w:p>
            <w:pPr>
              <w:spacing w:after="0"/>
              <w:rPr>
                <w:sz w:val="17"/>
                <w:szCs w:val="17"/>
                <w:color w:val="auto"/>
              </w:rPr>
            </w:pPr>
          </w:p>
        </w:tc>
      </w:tr>
      <w:tr>
        <w:trPr>
          <w:trHeight w:val="196"/>
        </w:trPr>
        <w:tc>
          <w:tcPr>
            <w:tcW w:w="116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color w:val="auto"/>
                <w:w w:val="86"/>
              </w:rPr>
              <w:t>Shares of Stock:</w:t>
            </w:r>
          </w:p>
        </w:tc>
        <w:tc>
          <w:tcPr>
            <w:tcW w:w="500" w:type="dxa"/>
            <w:vAlign w:val="bottom"/>
            <w:gridSpan w:val="2"/>
          </w:tcPr>
          <w:p>
            <w:pPr>
              <w:spacing w:after="0"/>
              <w:rPr>
                <w:sz w:val="17"/>
                <w:szCs w:val="17"/>
                <w:color w:val="auto"/>
              </w:rPr>
            </w:pPr>
          </w:p>
        </w:tc>
        <w:tc>
          <w:tcPr>
            <w:tcW w:w="5140" w:type="dxa"/>
            <w:vAlign w:val="bottom"/>
          </w:tcPr>
          <w:p>
            <w:pPr>
              <w:ind w:left="980"/>
              <w:spacing w:after="0" w:line="182" w:lineRule="exact"/>
              <w:rPr>
                <w:sz w:val="20"/>
                <w:szCs w:val="20"/>
                <w:color w:val="auto"/>
              </w:rPr>
            </w:pPr>
            <w:r>
              <w:rPr>
                <w:rFonts w:ascii="Arial" w:cs="Arial" w:eastAsia="Arial" w:hAnsi="Arial"/>
                <w:sz w:val="18"/>
                <w:szCs w:val="18"/>
                <w:color w:val="auto"/>
                <w:w w:val="92"/>
              </w:rPr>
              <w:t>[—] shares of Class A common stock of CME Group Inc.</w:t>
            </w:r>
          </w:p>
        </w:tc>
      </w:tr>
      <w:tr>
        <w:trPr>
          <w:trHeight w:val="318"/>
        </w:trPr>
        <w:tc>
          <w:tcPr>
            <w:tcW w:w="1660" w:type="dxa"/>
            <w:vAlign w:val="bottom"/>
            <w:gridSpan w:val="4"/>
          </w:tcPr>
          <w:p>
            <w:pPr>
              <w:spacing w:after="0"/>
              <w:rPr>
                <w:sz w:val="20"/>
                <w:szCs w:val="20"/>
                <w:color w:val="auto"/>
              </w:rPr>
            </w:pPr>
            <w:r>
              <w:rPr>
                <w:rFonts w:ascii="Arial" w:cs="Arial" w:eastAsia="Arial" w:hAnsi="Arial"/>
                <w:sz w:val="18"/>
                <w:szCs w:val="18"/>
                <w:color w:val="auto"/>
                <w:w w:val="94"/>
              </w:rPr>
              <w:t>[Number of Additional</w:t>
            </w:r>
          </w:p>
        </w:tc>
        <w:tc>
          <w:tcPr>
            <w:tcW w:w="5140" w:type="dxa"/>
            <w:vAlign w:val="bottom"/>
          </w:tcPr>
          <w:p>
            <w:pPr>
              <w:spacing w:after="0"/>
              <w:rPr>
                <w:sz w:val="24"/>
                <w:szCs w:val="24"/>
                <w:color w:val="auto"/>
              </w:rPr>
            </w:pPr>
          </w:p>
        </w:tc>
      </w:tr>
      <w:tr>
        <w:trPr>
          <w:trHeight w:val="20"/>
        </w:trPr>
        <w:tc>
          <w:tcPr>
            <w:tcW w:w="16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r>
      <w:tr>
        <w:trPr>
          <w:trHeight w:val="196"/>
        </w:trPr>
        <w:tc>
          <w:tcPr>
            <w:tcW w:w="1660" w:type="dxa"/>
            <w:vAlign w:val="bottom"/>
            <w:tcBorders>
              <w:bottom w:val="single" w:sz="8" w:color="auto"/>
            </w:tcBorders>
            <w:gridSpan w:val="4"/>
          </w:tcPr>
          <w:p>
            <w:pPr>
              <w:spacing w:after="0" w:line="182" w:lineRule="exact"/>
              <w:rPr>
                <w:sz w:val="20"/>
                <w:szCs w:val="20"/>
                <w:color w:val="auto"/>
              </w:rPr>
            </w:pPr>
            <w:r>
              <w:rPr>
                <w:rFonts w:ascii="Arial" w:cs="Arial" w:eastAsia="Arial" w:hAnsi="Arial"/>
                <w:sz w:val="18"/>
                <w:szCs w:val="18"/>
                <w:color w:val="auto"/>
                <w:w w:val="87"/>
              </w:rPr>
              <w:t>Shares in Lieu of Cash:</w:t>
            </w:r>
          </w:p>
        </w:tc>
        <w:tc>
          <w:tcPr>
            <w:tcW w:w="5140" w:type="dxa"/>
            <w:vAlign w:val="bottom"/>
          </w:tcPr>
          <w:p>
            <w:pPr>
              <w:ind w:left="980"/>
              <w:spacing w:after="0" w:line="182" w:lineRule="exact"/>
              <w:rPr>
                <w:sz w:val="20"/>
                <w:szCs w:val="20"/>
                <w:color w:val="auto"/>
              </w:rPr>
            </w:pPr>
            <w:r>
              <w:rPr>
                <w:rFonts w:ascii="Arial" w:cs="Arial" w:eastAsia="Arial" w:hAnsi="Arial"/>
                <w:sz w:val="18"/>
                <w:szCs w:val="18"/>
                <w:color w:val="auto"/>
                <w:w w:val="89"/>
              </w:rPr>
              <w:t>[—] shares of Class A common stock of CME Group Inc.]</w:t>
            </w:r>
            <w:r>
              <w:rPr>
                <w:rFonts w:ascii="Arial" w:cs="Arial" w:eastAsia="Arial" w:hAnsi="Arial"/>
                <w:sz w:val="11"/>
                <w:szCs w:val="11"/>
                <w:color w:val="auto"/>
                <w:w w:val="89"/>
              </w:rPr>
              <w:t>1</w:t>
            </w:r>
          </w:p>
        </w:tc>
      </w:tr>
    </w:tbl>
    <w:p>
      <w:pPr>
        <w:spacing w:after="0" w:line="356"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 * * * *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this stock grant, you hereby agree to the terms and conditions of the Plan.</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[Because you have elected to receive additional shares in lieu of all or a portion of the cash portion of your stipend, by accepting such additional shares, you hereby agree to repay the Company any unearned portion of your annual stipend that would otherwise have been payable in cash in the event you leave the Board prior to the next Annual Meeting of Shareholders. The amount of the unearned stipend will be prorated on a monthly basis and will be due within 30 days of your resignation.]</w:t>
      </w:r>
      <w:r>
        <w:rPr>
          <w:rFonts w:ascii="Arial" w:cs="Arial" w:eastAsia="Arial" w:hAnsi="Arial"/>
          <w:sz w:val="11"/>
          <w:szCs w:val="11"/>
          <w:color w:val="auto"/>
        </w:rPr>
        <w:t>1</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Neither the grant of shares nor any other action taken pursuant to the Plan shall constitute or be evidence of any agreement or understanding, express or implied, that you have a right to continue to provide services as a director, of the Company for any period of time or at any specific rate of compensation.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CME Group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-125730</wp:posOffset>
            </wp:positionV>
            <wp:extent cx="2573020" cy="4457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73020" cy="44577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Name: Hilda Harris Piell</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 &amp; Chief Human Resources Officer</w:t>
      </w:r>
    </w:p>
    <w:p>
      <w:pPr>
        <w:spacing w:after="0" w:line="121" w:lineRule="exact"/>
        <w:rPr>
          <w:sz w:val="20"/>
          <w:szCs w:val="20"/>
          <w:color w:val="auto"/>
        </w:rPr>
      </w:pPr>
    </w:p>
    <w:p>
      <w:pPr>
        <w:ind w:left="220" w:hanging="212"/>
        <w:spacing w:after="0"/>
        <w:tabs>
          <w:tab w:leader="none" w:pos="220" w:val="left"/>
        </w:tabs>
        <w:numPr>
          <w:ilvl w:val="0"/>
          <w:numId w:val="56"/>
        </w:numPr>
        <w:rPr>
          <w:rFonts w:ascii="Arial" w:cs="Arial" w:eastAsia="Arial" w:hAnsi="Arial"/>
          <w:sz w:val="22"/>
          <w:szCs w:val="22"/>
          <w:color w:val="auto"/>
          <w:vertAlign w:val="superscript"/>
        </w:rPr>
      </w:pPr>
      <w:r>
        <w:rPr>
          <w:rFonts w:ascii="Arial" w:cs="Arial" w:eastAsia="Arial" w:hAnsi="Arial"/>
          <w:sz w:val="18"/>
          <w:szCs w:val="18"/>
          <w:color w:val="auto"/>
        </w:rPr>
        <w:t>To be included for Directors electing to receive all or any portion of their cash stipend in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color w:val="auto"/>
        </w:rPr>
        <w:t>Exhibit 10.14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THE AMENDED AND RESTATED CME GROUP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INCENTIVE PLAN FOR NAMED EXECUTIVE OFFICERS</w:t>
      </w:r>
    </w:p>
    <w:p>
      <w:pPr>
        <w:spacing w:after="0" w:line="1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First Amendment (this “First Amendment”) amends that certain Amended and Restated CME Group Inc. Incentive Plan for Named Executive Officers (as amended and restated as of December 31, 2008 and hereinafter, the “Plan”). All capitalized terms used but not defined herein shall have the meanings assigned to those terms under the Plan.</w:t>
      </w:r>
    </w:p>
    <w:p>
      <w:pPr>
        <w:spacing w:after="0" w:line="181"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Pursuant to Section 7(e) of the Plan, a new Section 7(l) is hereby added to the Plan, as follows:</w:t>
      </w:r>
    </w:p>
    <w:p>
      <w:pPr>
        <w:spacing w:after="0" w:line="90" w:lineRule="exact"/>
        <w:rPr>
          <w:sz w:val="20"/>
          <w:szCs w:val="20"/>
          <w:color w:val="auto"/>
        </w:rPr>
      </w:pPr>
    </w:p>
    <w:p>
      <w:pPr>
        <w:ind w:firstLine="8"/>
        <w:spacing w:after="0" w:line="285" w:lineRule="auto"/>
        <w:tabs>
          <w:tab w:leader="none" w:pos="21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Recoupment</w:t>
      </w:r>
      <w:r>
        <w:rPr>
          <w:rFonts w:ascii="Arial" w:cs="Arial" w:eastAsia="Arial" w:hAnsi="Arial"/>
          <w:sz w:val="16"/>
          <w:szCs w:val="16"/>
          <w:color w:val="auto"/>
        </w:rPr>
        <w:t>. It shall be a condition of payment of an Award under the Plan that any Participant who holds the position of Executive Chairman, serves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Team or holds the position of Managing Director (any such person being referred to hereinafter as a “Covered Participant”) agree to the applicability of this Section 7(l) to any Award paid to such Participant under the Plan as a Covered Participant. In the event that a Covered Participant receives a payment pursuant to the Plan and: (1) the payment was predicated upon achieving certain financial results that were subsequently the subject of a restatement of Company financial statements filed with the Securities and Exchange Commission; and (2) a lower payment would have been made to the Covered Participant based upon the restated financial results, upon the recommendation of the Compensation Committee, the Board may, in its discretion, require such Covered Participant to repay all or a portion of the difference between the payment received by the Covered Participant and the payment which would have been paid to the Covered Participant based on the restated financials (such difference being referred to as the “Recoupment Amount”). In order to collect the Recoupment Amount, the Board may require the Covered Participant to forfeit all or a portion of any unvested restricted stock issued in respect of Awards hereunder, in an amount not to exceed the Recoupment Amount. The Company’s right to require repayment or forfeiture set forth in this Section 7(l) shall apply only if the facts leading to a determination that a restatement is required are discovered within the three (3) fiscal years following the fiscal year with respect to which the Covered Participant is paid an Award hereunder. The Recoupment Amount shall be determined by the Board in its good faith discretion and without regard to any deferral of Awards hereunder. The Committee may require any Covered Participant to execute an acknowledgement of the applicability of this Section 7(l) and an agreement to comply with its provisions, in such form as the Committee may determine, as a condition to the receipt of any payment under the Plan.</w:t>
      </w:r>
    </w:p>
    <w:p>
      <w:pPr>
        <w:spacing w:after="0" w:line="169"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terms of the Plan, as amended hereby, are confirmed in all respects and remain in full force and effect.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First Amendment is effective as of February 2, 2010.</w:t>
      </w:r>
    </w:p>
    <w:p>
      <w:pPr>
        <w:sectPr>
          <w:pgSz w:w="11900" w:h="16838" w:orient="portrait"/>
          <w:cols w:equalWidth="0" w:num="1">
            <w:col w:w="11420"/>
          </w:cols>
          <w:pgMar w:left="240" w:top="125"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10.15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THE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CME GROUP INC. ANNUAL INCENTIVE PLAN</w:t>
      </w:r>
    </w:p>
    <w:p>
      <w:pPr>
        <w:spacing w:after="0" w:line="16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This First Amendment (this “First Amendment”) amends that certain CME Group Inc. Annual Incentive Plan (the “Plan”). All capitalized terms used but not defined herein shall have the meanings assigned to those terms under the Plan.</w:t>
      </w:r>
    </w:p>
    <w:p>
      <w:pPr>
        <w:spacing w:after="0" w:line="172"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Pursuant to Section 7(e) of the Plan, a new Section 7(k) is hereby added to the Plan, as follows:</w:t>
      </w:r>
    </w:p>
    <w:p>
      <w:pPr>
        <w:spacing w:after="0" w:line="90" w:lineRule="exact"/>
        <w:rPr>
          <w:sz w:val="20"/>
          <w:szCs w:val="20"/>
          <w:color w:val="auto"/>
        </w:rPr>
      </w:pPr>
    </w:p>
    <w:p>
      <w:pPr>
        <w:ind w:firstLine="8"/>
        <w:spacing w:after="0" w:line="285" w:lineRule="auto"/>
        <w:tabs>
          <w:tab w:leader="none" w:pos="249"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Recoupment</w:t>
      </w:r>
      <w:r>
        <w:rPr>
          <w:rFonts w:ascii="Arial" w:cs="Arial" w:eastAsia="Arial" w:hAnsi="Arial"/>
          <w:sz w:val="16"/>
          <w:szCs w:val="16"/>
          <w:color w:val="auto"/>
        </w:rPr>
        <w:t>. It shall be a condition of payment of an Award under the Plan that any Participant who holds the position of Executive Chairman, serves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Management Team or holds the position of Managing Director (any such person being referred to hereinafter as a “Covered Participant”) agree to the applicability of this Section 7(k) to any Award paid to such Participant under the Plan as a Covered Participant. In the event that a Covered Participant receives a payment pursuant to the Plan and: (1) the payment was predicated upon achieving certain financial results that were subsequently the subject of a restatement of Company financial statements filed with the Securities and Exchange Commission; and (2) a lower payment would have been made to the Covered Participant based upon the restated financial results, upon the recommendation of the Compensation Committee, the Board may, in its discretion, require such Covered Participant to repay all or a portion of the difference between the payment received by the Covered Participant and the payment which would have been paid to the Covered Participant based on the restated financials (such difference being referred to as the “Recoupment Amount”). In order to collect the Recoupment Amount, the Board may require the Covered Participant to forfeit all or a portion of any unvested restricted stock issued in respect of Awards hereunder, in an amount not to exceed the Recoupment Amount. The Company’s right to require repayment or forfeiture set forth in this Section 7(k) shall apply only if the facts leading to a determination that a restatement is required are discovered within the three (3) fiscal years following the fiscal year with respect to which the Covered Participant is paid an Award hereunder. The Recoupment Amount shall be determined by the Board in its good faith discretion and without regard to any deferral of Awards hereunder. The Committee may require any Covered Participant to execute an acknowledgement of the applicability of this Section 7(k) and an agreement to comply with its provisions, in such form as the Committee may determine, as a condition to the receipt of any payment under the Plan.</w:t>
      </w:r>
    </w:p>
    <w:p>
      <w:pPr>
        <w:spacing w:after="0" w:line="169"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of the Plan, as amended hereby, are confirmed in all respects and remain in full force and effect.</w:t>
      </w:r>
    </w:p>
    <w:p>
      <w:pPr>
        <w:spacing w:after="0" w:line="211"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First Amendment is effective as of February 2, 2010.</w:t>
      </w:r>
    </w:p>
    <w:p>
      <w:pPr>
        <w:sectPr>
          <w:pgSz w:w="11900" w:h="16838" w:orient="portrait"/>
          <w:cols w:equalWidth="0" w:num="1">
            <w:col w:w="11420"/>
          </w:cols>
          <w:pgMar w:left="240" w:top="125"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2186940" cy="4546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8694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August 26,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Laurent Paulhac 65 Chapel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Road Waccabuc, NY 10597</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New York Mercantile Exchange, Inc. Employment Offer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Laurent:</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that you will be a tremendous asset to CME Group as Managing Director, OTC and Management Team member and are pleased to present our offer of employment with New York Mercantile Exchange, Inc. (“NYMEX”). Your anticipated start date with NYMEX is September 1, 2009 (“Effective Date”). This offer letter (“NYMEX Offer”) sets forth both the standard elements of your employment with NYMEX and the limited contractual terms of your employment with NYMEX.</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STANDARD ELEMENTS OF EMPLOYMENT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You will have a starting annual salary of $350,000, payable biweekly, and will report to Rick Redding.</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your role as Managing Director and Management Team member, you will be eligible to participate in the CME Group Annual Incentive Plan (“AIP”) at the New Growth Management Team level. The AIP is a bonus program that is funded based on CME Group’s achievement of certain earnings targets and awarded based on company performance, individual performance and teamwork skills. The target bonus opportunity for your role for 2009 is 100% of your base earnings, with a maximum payout of 300%. Your participation in the AIP for 2009 will be based on your earnings with NYMEX from the Effective Date.</w:t>
      </w:r>
    </w:p>
    <w:p>
      <w:pPr>
        <w:spacing w:after="0" w:line="11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You will also eligible to participate in the CME Equity Program at the Management Team level. Your annual long-term incentive opportunity under the CME Equity Program for 2009 is equal to 125% of your base salary. For 2010, your target opportunity under the Program will be 175% of your base salary subject to a range of .5 to 1.5x of target. Annual grants under the Program will be contingent upon authorization by the Compensation Committee of CME Group, and if so authorized by the Compensation Committee, will be granted in the form of stock options and restricted stock and will normally be made in September. Equity grants for 2009 will be issued on or about September 15, 2009. The actual number of stock options and restricted stock granted will be determined at the time of the grant using the grant day’s closing stock price. Further information regarding the grant details and CME’s Equity Program will be included in a grant packet that will be distributed with your grant.</w:t>
      </w:r>
    </w:p>
    <w:p>
      <w:pPr>
        <w:spacing w:after="0" w:line="11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addition to the above programs, as a Managing Director and Management Team member you will be eligible for all compensation and benefit programs available to employees at the same level. Your participation in all compensation and benefit programs, including the AIP and Equity programs is subject to the terms and conditions of the programs unless noted otherwise in this letter. The enclosed New Employee Orientation Information Packet includes a description of benefits and additional details regarding the programs. Please contact Human Resources for further information regarding the programs. Also included in the Packet are the forms needed to add you to CME Group systems.</w:t>
      </w:r>
    </w:p>
    <w:p>
      <w:pPr>
        <w:sectPr>
          <w:pgSz w:w="11900" w:h="16838" w:orient="portrait"/>
          <w:cols w:equalWidth="0" w:num="1">
            <w:col w:w="11420"/>
          </w:cols>
          <w:pgMar w:left="240" w:top="125" w:right="239" w:bottom="1440" w:gutter="0" w:footer="0" w:header="0"/>
        </w:sectPr>
      </w:pPr>
    </w:p>
    <w:bookmarkStart w:id="150" w:name="page151"/>
    <w:bookmarkEnd w:id="150"/>
    <w:p>
      <w:pPr>
        <w:ind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offer is contingent upon your signing the attached Confidentiality, Non-Competition and Non-Solicitation Agreement, which is required as a condition of employment with NYMEX. The offer is also contingent on successful completion of a drug test, standard reference check, and background check, as well as verification of your eligibility to work in the United States. This offer may be revoked at NYMEX’s discretion based on the results of these tests.</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Please note that your employment with NYMEX is for no specified period of time and is “at-will”. As a result, you may resign at any time, for any reason or for no reason, after providing NYMEX with two weeks’ notice. Similarly, NYMEX may terminate the employment relationship at any time, with or without notice or reason. Finally, by accepting this offer, you confirm that you are not a party to any written agreement with a current or previous employer, such as a covenant not to compete or non-disclosure agreement that prevents you from working for NYMEX.</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Sign-On Bonus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NYMEX will pay you a sign-on bonus of $50,000, less applicable tax withholding. This bonus is subject to your execution of the attached Sign-On Bonus Agreement. The bonus will be paid on September 18, 2009 provided that you submit an executed Sign-On Bonus Agreement to NYMEX no later than August 31,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2009 Equity Grant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NYMEX will issue you an equity grant under the Equity Program at target (125% of base salary) for the year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Retention Award</w:t>
      </w:r>
    </w:p>
    <w:p>
      <w:pPr>
        <w:spacing w:after="0" w:line="9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Contingent upon your continued employment with NYMEX, NYMEX will assume the obligation contained in your Employment Agreement with CMA (“CMA Agreement”) to pay you a retention award in the amount of $100,000 in both 2010 and 2011 (“Retention Award”). NYMEX intends to pay this Retention Award on or before March 15 of each applicable year, but in no event shall such payments be made later than December 31 of each applicable year. You shall forfeit the right to payment of any portion of the Retention Award that has not yet been paid if you voluntarily terminate employment. In the event that NYMEX involuntarily terminates your employment without Cause, or if your employment terminates as a result of death or Disability, prior to the payment of the entire Retention Award, any unpaid portion of the Retention Award will be paid to you within 90 days of your termination, death or Disability.</w:t>
      </w:r>
    </w:p>
    <w:p>
      <w:pPr>
        <w:spacing w:after="0" w:line="12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For the purposes of the Retention Award, “Cause” shall mean: (i) commission of, conviction of, or plea of guilty or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any criminal violation involving dishonesty or fraud; (ii) willful engagement in any act or acts of dishonesty or misconduct that materially injures NYMEX and/or any other CME Group company or its business or reputation or that NYMEX reasonably determines to adversely affect your value, reliability or performance to NYMEX and/or any other CME Group company; (iii) willful and substantial nonperformance of assigned duties, provided that such nonperformance has continued more than sixty days after NYMEX has given you written notice of such nonperformance and its intention to terminate your employment because of such nonperformance, and an opportunity to cure such alleged nonperformance; (iv) failure to reasonably cooperate with NYMEX in any CME Group internal investigation, following a written request by NYMEX to cooperate; or (v) any other willful act or omission by you in violation or disregard of NYMEX’s and/or CME Group’s policies, including but not limited to the CME Group Code of Conduct and related policies. In addition, your employment shall be deemed to have terminated for Cause if, after your employment has terminated, facts and circumstances are discovered that would have justified a termination for Cause.</w:t>
      </w:r>
    </w:p>
    <w:p>
      <w:pPr>
        <w:sectPr>
          <w:pgSz w:w="11900" w:h="16838" w:orient="portrait"/>
          <w:cols w:equalWidth="0" w:num="1">
            <w:col w:w="11420"/>
          </w:cols>
          <w:pgMar w:left="240" w:top="280"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Non-Compete Payment</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NYMEX shall assume the obligation contained in your CMA agreement to pay you the sum of $1,240,000 (the “Non-Compete Payment”) in exchange for your entry into a non-compete agreement with CMA (“CMA Non-Compete”), a copy of which is set forth in Appendix A to this Letter. Contingent upon your full compliance with the terms of the CMA Non-Compete, the Non-Compete Payment shall be paid in three installments at the following times and in the following amounts:</w:t>
      </w:r>
    </w:p>
    <w:p>
      <w:pPr>
        <w:spacing w:after="0" w:line="62"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or before September 30, 2009, NYMEX shall pay you four hundred thousand dollars ($400,000);</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or before September 30, 2010, NYMEX shall pay you four hundred thousand dollars ($400,000);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or about September 30, 2011, NYMEX shall pay you four hundred forty thousand dollars ($440,000).</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NYMEX shall only be required to make the Non-Compete payments if, at all times prior to an applicable payment, you have fully complied with the CMA Non-Compete. If you are in violation of the CMA Non-Compete, you shall forfeit your right to receive any unpaid portion of the Non-Compete Payment and, furthermore, you shall refund any portion of the Non-Compete Payment previously made to you. You agree to make such repayment upon NYMEX’s written request.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CMA LTIP Minimum Guaranteed Payment</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NYMEX shall assume the obligation in your CMA Agreement (which is also set forth in the LTIP Award Agreement issued to you by CMA) to pay you a guaranteed minimum payment of $1,000,000 (“Minimum Payment”) under the CMA Long-Term Incentive Plan on or before September 30, 2009. This Minimum Payment is subject to the terms set forth in the LTIP Award Agreement issued to you by CMA dated September 1,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Transition of CMA Duties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You shall continue to provide services to Credit Market Analysis (“CMA”) on a part-time basis for the period of time (the “Transition Period”) necessary to conduct a search for a replacement CEO for and integrate the new CEO to CMA. During the Transition Period, you shall exercise all such authority and perform all such executive duties as are commensurate with the duties of the position of CEO of CMA in accordance with policies and procedures established by CMA’s Board of Directors. It is anticipated that this will result in approximately 75% of your time during the Transition Period spent on the business of CME Group and approximately 25% of your time during the Transition Period spent on the business of CMA.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Definitions</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“Termination of Employment” - For the purposes of the Contractual Terms, “termination of employment” and any other reference to employment termination shall mean that you have a separation from service from NYMEX within the meaning of Code Section 409A.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Code Section 409A</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It is intended that this NYMEX Offer will comply with the provisions of Code Section 409A and the treasury regulations relating thereto so as not to subject you to the payment of interest and tax penalty which may be imposed under Code Section 409A. Accordingly, any payments due to you under this Amendment and Restatement may be delayed by six (6) months if necessary to comply with Code Section 409A. In addition, in furtherance of this interest, to the extent that any regulations or other guidance issued under Code Section 409A after the date of this NYMEX Offer would result in you being subject to payment of interest and tax penalty under Code Section 409A, the parties agree to amend this NYMEX Offer in order to avoid the application of Code Section 409A.</w:t>
      </w:r>
    </w:p>
    <w:p>
      <w:pPr>
        <w:sectPr>
          <w:pgSz w:w="11900" w:h="16838" w:orient="portrait"/>
          <w:cols w:equalWidth="0" w:num="1">
            <w:col w:w="11400"/>
          </w:cols>
          <w:pgMar w:left="240" w:top="279" w:right="25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Interpretation</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validity, interpretation, construction and performance of the Contractual Terms of this NYMEX Offer shall be governed by the laws of the State of New York, without regard to the conflict of law principles thereof. The invalidity or unenforceability of any provision of the Contractual Terms of this NYMEX Offer shall not affect the validity or enforceability of any other provision of the Contractual Terms of this NYMEX Offer.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Entire Contractual Terms</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Contractual Terms set forth in this NYMEX Offer constitute the entire understanding between you and NYMEX with regard to the contractual terms of your employment with NYMEX and supersedes any and all prior understandings written or oral. Without limiting the generality of the foregoing, the Contractual Terms of this NYMEX Offer shall supersede and replace your CMA Agreement. For the avoidance of doubt, the Contractual Terms of this NYMEX Offer shall not supersede any written commitments CMA makes to you upon the termination of your employment with CMA for the purpose of accepting this NYMEX Offer or any agreements you execute as part of your employment with NYMEX (e.g., the Confidentiality, Non-Competition and Non-Solicitation Agreement and the Sign-On Bonus Agreement).</w:t>
      </w:r>
    </w:p>
    <w:p>
      <w:pPr>
        <w:spacing w:after="0" w:line="144"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Laurent, we are excited about your joining CME Group and believe that you will be a valuable member of the CME Group Management Team. Feel free to contact me at 312-930-4541 if you have any questions.</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Hilda Harris Piell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Hilda Harris Piell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Managing Director and Chief Human Resources Officer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Laurent Paulhac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Laurent Paulhac</w:t>
      </w:r>
    </w:p>
    <w:p>
      <w:pPr>
        <w:sectPr>
          <w:pgSz w:w="11900" w:h="16838" w:orient="portrait"/>
          <w:cols w:equalWidth="0" w:num="1">
            <w:col w:w="11340"/>
          </w:cols>
          <w:pgMar w:left="240" w:top="280" w:right="319"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CMA Non-Compete</w:t>
      </w:r>
    </w:p>
    <w:p>
      <w:pPr>
        <w:spacing w:after="0" w:line="17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During your employment with NYMEX and through the earlier of a period of 24 months following the date your employment with NYMEX terminates or March 31, 2014, you will not, either individually or as owner, partner, principal, agent, employee, independent contractor, consultant, agent or otherwise, engage in, or assist others in engaging in, any Restricted Business (as defined below in the “Definitions” section) in any of the Restricted Territories (as defined below in the “Definitions” section).</w:t>
      </w:r>
    </w:p>
    <w:p>
      <w:pPr>
        <w:spacing w:after="0" w:line="143"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u w:val="single" w:color="auto"/>
          <w:color w:val="auto"/>
        </w:rPr>
        <w:t>Non-Solicitation of Customers</w:t>
      </w:r>
      <w:r>
        <w:rPr>
          <w:rFonts w:ascii="Arial" w:cs="Arial" w:eastAsia="Arial" w:hAnsi="Arial"/>
          <w:sz w:val="18"/>
          <w:szCs w:val="18"/>
          <w:color w:val="auto"/>
        </w:rPr>
        <w:t>. During your employment with NYMEX and through the earlier of a period of 24 months following the date your employment with NYMEX terminates or March 31, 2014, you will not either for your own account or for any person, firm or company, directly or indirectly in competition with Credit Market Analysis Ltd. (“CMA”) and/or any Associated Company deal with or do business with any Customer (as defined below in the “Definitions” section).</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Non-Solicitation of Key Employees</w:t>
      </w:r>
      <w:r>
        <w:rPr>
          <w:rFonts w:ascii="Arial" w:cs="Arial" w:eastAsia="Arial" w:hAnsi="Arial"/>
          <w:sz w:val="18"/>
          <w:szCs w:val="18"/>
          <w:color w:val="auto"/>
        </w:rPr>
        <w:t>. During your employment with NYMEX and through the earlier of a period of 24 months following the date your employment with NYMEX terminates or March 31, 2014, you will not for your own account or for any person, firm or company directly or indirectly solicit or entice away or endeavor to solicit or entice away any person who has, during the period of 12 months preceding the date your employment terminates, been a Key Employee (as defined below in the “Definitions” section) of CMA and/or any Associated Company during such period whether or not any such person would thereby commit breach of contract.</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u w:val="single" w:color="auto"/>
          <w:color w:val="auto"/>
        </w:rPr>
        <w:t>Non-Solicitation of Suppliers</w:t>
      </w:r>
      <w:r>
        <w:rPr>
          <w:rFonts w:ascii="Arial" w:cs="Arial" w:eastAsia="Arial" w:hAnsi="Arial"/>
          <w:sz w:val="18"/>
          <w:szCs w:val="18"/>
          <w:color w:val="auto"/>
        </w:rPr>
        <w:t>. During your employment with NYMEX and through the earlier of a period of 24 months following the date your employment with NYMEX terminates or March 31, 2014, you will not for your own account or for any person, firm or company, directly or indirectly in competition with CMA and/or any Associated Company solicit or entice away or endeavor to solicit or entice away from the CMA and/or any Associated Company any Customer or Supplier (as defined below in the “Definitions” section).</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u w:val="single" w:color="auto"/>
          <w:color w:val="auto"/>
        </w:rPr>
        <w:t>Irreparable Harm</w:t>
      </w:r>
      <w:r>
        <w:rPr>
          <w:rFonts w:ascii="Arial" w:cs="Arial" w:eastAsia="Arial" w:hAnsi="Arial"/>
          <w:sz w:val="16"/>
          <w:szCs w:val="16"/>
          <w:color w:val="auto"/>
        </w:rPr>
        <w:t>. You agree that given the nature of the CMA’s and/or any Associated Company’s business, the scope and duration of the Restrictions contained in this CMA Non-Compete are reasonable and necessary to protect the legitimate business interests of CMA and/or any Associated Company and do not unduly interfere with your career or economic pursuits. You recognize and agree that any breach or threatened or anticipated breach of any part of this CMA Non-Compete will result in irreparable harm and continuing damage to CMA and/or any Associated Company, and that the remedy at law for any such breach or threatened or anticipated breach will be inadequate. Accordingly, in addition to any other legal or equitable remedies that may be available to CMA and/or any Associated Company, you agree that CMA and/or any Associated Company shall be entitled to seek and obtain an injunction or injunctions, without bond or other security, to prevent any breach or threatened or anticipated breach of any such section of this CMA Non-Compete. You agree to reimburse CMA and/or any Associated Company for all costs and expenses, including reasonable attorney’s fees and costs, incurred by CMA and/or any Associated Company in connection with the successful enforcement of its rights under this CMA Non-Compete up to a maximum of $1,340,000. Your obligation to reimburse CMA and/or any Associated Company shall be satisfied in the following order: a) any unpaid portion of the Non-Compete Payment set forth in your NYMEX Offer; b) any paid portion of the Non-Compete Payment set forth in your NYMEX Offer shall be considered to offset your obligation; and c) you shall issue a reimbursement check to CMA and/or any Associated Company up to a maximum amount of $100,000.</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Unenforceability</w:t>
      </w:r>
      <w:r>
        <w:rPr>
          <w:rFonts w:ascii="Arial" w:cs="Arial" w:eastAsia="Arial" w:hAnsi="Arial"/>
          <w:sz w:val="18"/>
          <w:szCs w:val="18"/>
          <w:color w:val="auto"/>
        </w:rPr>
        <w:t>. If any provision(s) of this CMA Non-Compete shall be found invalid or unenforceable, in whole or in part, then such provision(s) shall be deemed to be modified or restricted to the extent and in the manner necessary to render the same valid and enforceable, or shall be deemed excised from this CMA Non-Compete, as the case may require, and this CMA Non-Compete shall be construed and enforced to the maximum extent permitted by law, as if such provision(s) had been originally incorporated herein as so modified or restricted, or as if such provision(s) had not been originally incorporated herein, as the case may be.</w:t>
      </w:r>
    </w:p>
    <w:p>
      <w:pPr>
        <w:sectPr>
          <w:pgSz w:w="11900" w:h="16838" w:orient="portrait"/>
          <w:cols w:equalWidth="0" w:num="1">
            <w:col w:w="11420"/>
          </w:cols>
          <w:pgMar w:left="240" w:top="274"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r>
        <w:rPr>
          <w:rFonts w:ascii="Arial" w:cs="Arial" w:eastAsia="Arial" w:hAnsi="Arial"/>
          <w:sz w:val="18"/>
          <w:szCs w:val="18"/>
          <w:color w:val="auto"/>
        </w:rPr>
        <w:t>. For purposes of this CMA Non-Compete:</w:t>
      </w:r>
    </w:p>
    <w:p>
      <w:pPr>
        <w:spacing w:after="0" w:line="90" w:lineRule="exact"/>
        <w:rPr>
          <w:sz w:val="20"/>
          <w:szCs w:val="20"/>
          <w:color w:val="auto"/>
        </w:rPr>
      </w:pPr>
    </w:p>
    <w:p>
      <w:pPr>
        <w:ind w:left="700" w:hanging="23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“Associated Company”</w:t>
      </w:r>
      <w:r>
        <w:rPr>
          <w:rFonts w:ascii="Arial" w:cs="Arial" w:eastAsia="Arial" w:hAnsi="Arial"/>
          <w:sz w:val="18"/>
          <w:szCs w:val="18"/>
          <w:color w:val="auto"/>
        </w:rPr>
        <w:t xml:space="preserve"> means any firm, company, corporation or other organization:—</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64"/>
        </w:numPr>
        <w:rPr>
          <w:rFonts w:ascii="MS PGothic" w:cs="MS PGothic" w:eastAsia="MS PGothic" w:hAnsi="MS PGothic"/>
          <w:sz w:val="18"/>
          <w:szCs w:val="18"/>
          <w:color w:val="auto"/>
        </w:rPr>
      </w:pPr>
      <w:r>
        <w:rPr>
          <w:rFonts w:ascii="Arial" w:cs="Arial" w:eastAsia="Arial" w:hAnsi="Arial"/>
          <w:sz w:val="18"/>
          <w:szCs w:val="18"/>
          <w:color w:val="auto"/>
        </w:rPr>
        <w:t>which is directly or indirectly controlled by CMA; or</w:t>
      </w:r>
    </w:p>
    <w:p>
      <w:pPr>
        <w:spacing w:after="0" w:line="90" w:lineRule="exact"/>
        <w:rPr>
          <w:rFonts w:ascii="MS PGothic" w:cs="MS PGothic" w:eastAsia="MS PGothic" w:hAnsi="MS PGothic"/>
          <w:sz w:val="18"/>
          <w:szCs w:val="18"/>
          <w:color w:val="auto"/>
        </w:rPr>
      </w:pPr>
    </w:p>
    <w:p>
      <w:pPr>
        <w:ind w:left="1480" w:hanging="567"/>
        <w:spacing w:after="0"/>
        <w:tabs>
          <w:tab w:leader="none" w:pos="1480" w:val="left"/>
        </w:tabs>
        <w:numPr>
          <w:ilvl w:val="1"/>
          <w:numId w:val="64"/>
        </w:numPr>
        <w:rPr>
          <w:rFonts w:ascii="MS PGothic" w:cs="MS PGothic" w:eastAsia="MS PGothic" w:hAnsi="MS PGothic"/>
          <w:sz w:val="18"/>
          <w:szCs w:val="18"/>
          <w:color w:val="auto"/>
        </w:rPr>
      </w:pPr>
      <w:r>
        <w:rPr>
          <w:rFonts w:ascii="Arial" w:cs="Arial" w:eastAsia="Arial" w:hAnsi="Arial"/>
          <w:sz w:val="18"/>
          <w:szCs w:val="18"/>
          <w:color w:val="auto"/>
        </w:rPr>
        <w:t>which directly or indirectly controls CMA; or</w:t>
      </w:r>
    </w:p>
    <w:p>
      <w:pPr>
        <w:spacing w:after="0" w:line="90" w:lineRule="exact"/>
        <w:rPr>
          <w:rFonts w:ascii="MS PGothic" w:cs="MS PGothic" w:eastAsia="MS PGothic" w:hAnsi="MS PGothic"/>
          <w:sz w:val="18"/>
          <w:szCs w:val="18"/>
          <w:color w:val="auto"/>
        </w:rPr>
      </w:pPr>
    </w:p>
    <w:p>
      <w:pPr>
        <w:ind w:left="1480" w:hanging="567"/>
        <w:spacing w:after="0"/>
        <w:tabs>
          <w:tab w:leader="none" w:pos="1480" w:val="left"/>
        </w:tabs>
        <w:numPr>
          <w:ilvl w:val="1"/>
          <w:numId w:val="64"/>
        </w:numPr>
        <w:rPr>
          <w:rFonts w:ascii="MS PGothic" w:cs="MS PGothic" w:eastAsia="MS PGothic" w:hAnsi="MS PGothic"/>
          <w:sz w:val="18"/>
          <w:szCs w:val="18"/>
          <w:color w:val="auto"/>
        </w:rPr>
      </w:pPr>
      <w:r>
        <w:rPr>
          <w:rFonts w:ascii="Arial" w:cs="Arial" w:eastAsia="Arial" w:hAnsi="Arial"/>
          <w:sz w:val="18"/>
          <w:szCs w:val="18"/>
          <w:color w:val="auto"/>
        </w:rPr>
        <w:t>which is directly or indirectly controlled by a third party who also directly or indirectly controls CMA; or</w:t>
      </w:r>
    </w:p>
    <w:p>
      <w:pPr>
        <w:spacing w:after="0" w:line="90" w:lineRule="exact"/>
        <w:rPr>
          <w:rFonts w:ascii="MS PGothic" w:cs="MS PGothic" w:eastAsia="MS PGothic" w:hAnsi="MS PGothic"/>
          <w:sz w:val="18"/>
          <w:szCs w:val="18"/>
          <w:color w:val="auto"/>
        </w:rPr>
      </w:pPr>
    </w:p>
    <w:p>
      <w:pPr>
        <w:ind w:left="1480" w:right="340" w:hanging="567"/>
        <w:spacing w:after="0" w:line="268" w:lineRule="auto"/>
        <w:tabs>
          <w:tab w:leader="none" w:pos="1480" w:val="left"/>
        </w:tabs>
        <w:numPr>
          <w:ilvl w:val="1"/>
          <w:numId w:val="64"/>
        </w:numPr>
        <w:rPr>
          <w:rFonts w:ascii="MS PGothic" w:cs="MS PGothic" w:eastAsia="MS PGothic" w:hAnsi="MS PGothic"/>
          <w:sz w:val="18"/>
          <w:szCs w:val="18"/>
          <w:color w:val="auto"/>
        </w:rPr>
      </w:pPr>
      <w:r>
        <w:rPr>
          <w:rFonts w:ascii="Arial" w:cs="Arial" w:eastAsia="Arial" w:hAnsi="Arial"/>
          <w:sz w:val="18"/>
          <w:szCs w:val="18"/>
          <w:color w:val="auto"/>
        </w:rPr>
        <w:t>of which CMA or any other Associated Company owns or has a beneficial interest in 20% or more of the issued share capital or 20% or more of its capital assets; or</w:t>
      </w:r>
    </w:p>
    <w:p>
      <w:pPr>
        <w:spacing w:after="0" w:line="50" w:lineRule="exact"/>
        <w:rPr>
          <w:rFonts w:ascii="MS PGothic" w:cs="MS PGothic" w:eastAsia="MS PGothic" w:hAnsi="MS PGothic"/>
          <w:sz w:val="18"/>
          <w:szCs w:val="18"/>
          <w:color w:val="auto"/>
        </w:rPr>
      </w:pPr>
    </w:p>
    <w:p>
      <w:pPr>
        <w:ind w:left="1480" w:hanging="567"/>
        <w:spacing w:after="0"/>
        <w:tabs>
          <w:tab w:leader="none" w:pos="1480" w:val="left"/>
        </w:tabs>
        <w:numPr>
          <w:ilvl w:val="1"/>
          <w:numId w:val="64"/>
        </w:numPr>
        <w:rPr>
          <w:rFonts w:ascii="MS PGothic" w:cs="MS PGothic" w:eastAsia="MS PGothic" w:hAnsi="MS PGothic"/>
          <w:sz w:val="18"/>
          <w:szCs w:val="18"/>
          <w:color w:val="auto"/>
        </w:rPr>
      </w:pPr>
      <w:r>
        <w:rPr>
          <w:rFonts w:ascii="Arial" w:cs="Arial" w:eastAsia="Arial" w:hAnsi="Arial"/>
          <w:sz w:val="18"/>
          <w:szCs w:val="18"/>
          <w:color w:val="auto"/>
        </w:rPr>
        <w:t>which is the successor in title or assign of the firms, companies, corporations or other organizations referred to above.</w:t>
      </w:r>
    </w:p>
    <w:p>
      <w:pPr>
        <w:spacing w:after="0" w:line="171" w:lineRule="exact"/>
        <w:rPr>
          <w:rFonts w:ascii="MS PGothic" w:cs="MS PGothic" w:eastAsia="MS PGothic" w:hAnsi="MS PGothic"/>
          <w:sz w:val="18"/>
          <w:szCs w:val="18"/>
          <w:color w:val="auto"/>
        </w:rPr>
      </w:pPr>
    </w:p>
    <w:p>
      <w:pPr>
        <w:ind w:right="160" w:firstLine="464"/>
        <w:spacing w:after="0" w:line="306" w:lineRule="auto"/>
        <w:tabs>
          <w:tab w:leader="none" w:pos="70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“Customer”</w:t>
      </w:r>
      <w:r>
        <w:rPr>
          <w:rFonts w:ascii="Arial" w:cs="Arial" w:eastAsia="Arial" w:hAnsi="Arial"/>
          <w:sz w:val="16"/>
          <w:szCs w:val="16"/>
          <w:color w:val="auto"/>
        </w:rPr>
        <w:t xml:space="preserve"> means any person, firm or company or other entity which or who at any time during the period of six (6) months preceding the date your employment with NYMEX terminates was a customer or was to your knowledge a prospective customer of CMA and/or any Associated Company and with which or whom you had dealings or on whose business you performed services during such period.</w:t>
      </w:r>
    </w:p>
    <w:p>
      <w:pPr>
        <w:spacing w:after="0" w:line="106" w:lineRule="exact"/>
        <w:rPr>
          <w:rFonts w:ascii="Arial" w:cs="Arial" w:eastAsia="Arial" w:hAnsi="Arial"/>
          <w:sz w:val="16"/>
          <w:szCs w:val="16"/>
          <w:color w:val="auto"/>
        </w:rPr>
      </w:pPr>
    </w:p>
    <w:p>
      <w:pPr>
        <w:jc w:val="both"/>
        <w:ind w:right="60" w:firstLine="464"/>
        <w:spacing w:after="0" w:line="298" w:lineRule="auto"/>
        <w:tabs>
          <w:tab w:leader="none" w:pos="69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“Key Employee”</w:t>
      </w:r>
      <w:r>
        <w:rPr>
          <w:rFonts w:ascii="Arial" w:cs="Arial" w:eastAsia="Arial" w:hAnsi="Arial"/>
          <w:sz w:val="16"/>
          <w:szCs w:val="16"/>
          <w:color w:val="auto"/>
        </w:rPr>
        <w:t xml:space="preserve"> means any person who at the date your employment with NYMEX terminates is or was at any time during the 12 month period prior to the date your employment with NYMEX terminates employed in an executive or senior managerial capacity or engaged as a consultant with CMA and/or any Associated Company and in each case with whom you or any person reporting to you had dealings in the course of employment other than in a minimal way at any time during the 12 month period prior to the date your employment with NYMEX terminates.</w:t>
      </w:r>
    </w:p>
    <w:p>
      <w:pPr>
        <w:spacing w:after="0" w:line="112" w:lineRule="exact"/>
        <w:rPr>
          <w:rFonts w:ascii="Arial" w:cs="Arial" w:eastAsia="Arial" w:hAnsi="Arial"/>
          <w:sz w:val="16"/>
          <w:szCs w:val="16"/>
          <w:color w:val="auto"/>
        </w:rPr>
      </w:pPr>
    </w:p>
    <w:p>
      <w:pPr>
        <w:ind w:left="720" w:hanging="256"/>
        <w:spacing w:after="0"/>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“Restricted Business”</w:t>
      </w:r>
      <w:r>
        <w:rPr>
          <w:rFonts w:ascii="Arial" w:cs="Arial" w:eastAsia="Arial" w:hAnsi="Arial"/>
          <w:sz w:val="18"/>
          <w:szCs w:val="18"/>
          <w:color w:val="auto"/>
        </w:rPr>
        <w:t xml:space="preserve"> means any business:</w:t>
      </w:r>
    </w:p>
    <w:p>
      <w:pPr>
        <w:spacing w:after="0" w:line="171" w:lineRule="exact"/>
        <w:rPr>
          <w:sz w:val="20"/>
          <w:szCs w:val="20"/>
          <w:color w:val="auto"/>
        </w:rPr>
      </w:pPr>
    </w:p>
    <w:p>
      <w:pPr>
        <w:ind w:firstLine="464"/>
        <w:spacing w:after="0" w:line="290" w:lineRule="auto"/>
        <w:tabs>
          <w:tab w:leader="none" w:pos="666"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direct competition with a line of business that CMA is engaged in and/or has been or was in the process of engaging within the 12-month period prior to the date your employment with NYMEX terminates. Such businesses shall include, but are not limited to the following current competitors – Markit, BQuotes, Bloomberg, Derivative Fitch, GFI (including their holding, associated or affiliated companies) – and any business consisting of the following: a) the provision of credit market data or analysis or credit market related software; b) the provision of emailing or parsing services for persons or entities transacting business in the over-the-counter credit markets; c) the provision of pricing data in relation to such markets based on data contributions from buy-side participants in those markets leveraging the functionality of the emailing parsing services referred to in b); and d) the provision of reference data in a manner that would compete with the RED codes promulgated by Market Group Limited;</w:t>
      </w:r>
    </w:p>
    <w:p>
      <w:pPr>
        <w:spacing w:after="0" w:line="118" w:lineRule="exact"/>
        <w:rPr>
          <w:rFonts w:ascii="Arial" w:cs="Arial" w:eastAsia="Arial" w:hAnsi="Arial"/>
          <w:sz w:val="16"/>
          <w:szCs w:val="16"/>
          <w:color w:val="auto"/>
        </w:rPr>
      </w:pPr>
    </w:p>
    <w:p>
      <w:pPr>
        <w:jc w:val="both"/>
        <w:ind w:right="180" w:firstLine="464"/>
        <w:spacing w:after="0" w:line="306" w:lineRule="auto"/>
        <w:tabs>
          <w:tab w:leader="none" w:pos="715"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 direct competition with a line of business in which CMA engages in the future, including, but not limited to, data screening services of a type that would compete directly with CMA’s Alphavision product. For the avoidance of doubt, data screening services comprised within any product or application that primarily involves the statistical manipulation of credit data, including Credit Alpha, do not compete directly with CMA’s Alphavision; and/or</w:t>
      </w:r>
    </w:p>
    <w:p>
      <w:pPr>
        <w:spacing w:after="0" w:line="106" w:lineRule="exact"/>
        <w:rPr>
          <w:rFonts w:ascii="Arial" w:cs="Arial" w:eastAsia="Arial" w:hAnsi="Arial"/>
          <w:sz w:val="16"/>
          <w:szCs w:val="16"/>
          <w:color w:val="auto"/>
        </w:rPr>
      </w:pPr>
    </w:p>
    <w:p>
      <w:pPr>
        <w:ind w:right="340" w:firstLine="464"/>
        <w:spacing w:after="0" w:line="259" w:lineRule="auto"/>
        <w:tabs>
          <w:tab w:leader="none" w:pos="76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direct competition with a line of business that any Associated Company is engaged in, has been or was in the process of engaging within the 12 month period prior to the date your employment with NYMEX terminates, and/or engages in the future in which you have been involved with and/or have knowledge about.</w:t>
      </w:r>
    </w:p>
    <w:p>
      <w:pPr>
        <w:sectPr>
          <w:pgSz w:w="11900" w:h="16838" w:orient="portrait"/>
          <w:cols w:equalWidth="0" w:num="1">
            <w:col w:w="11360"/>
          </w:cols>
          <w:pgMar w:left="240" w:top="280" w:right="299" w:bottom="1440" w:gutter="0" w:footer="0" w:header="0"/>
        </w:sectPr>
      </w:pPr>
    </w:p>
    <w:bookmarkStart w:id="155" w:name="page156"/>
    <w:bookmarkEnd w:id="155"/>
    <w:p>
      <w:pPr>
        <w:ind w:left="-464" w:firstLine="464"/>
        <w:spacing w:after="0" w:line="256" w:lineRule="auto"/>
        <w:tabs>
          <w:tab w:leader="none" w:pos="23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Territories”</w:t>
      </w:r>
      <w:r>
        <w:rPr>
          <w:rFonts w:ascii="Arial" w:cs="Arial" w:eastAsia="Arial" w:hAnsi="Arial"/>
          <w:sz w:val="18"/>
          <w:szCs w:val="18"/>
          <w:color w:val="auto"/>
        </w:rPr>
        <w:t xml:space="preserve"> include a) the United Kingdom, b) the United States of America, and/or c) any other territory in which CMA and/or any Associated Company has undertaken during the 12 months prior to the date your employment with NYMEX terminates any material business activities or sold or licensed any products or services, or in which any authorized licensee or user (including any user under a seat license) of its products or services is physically located in each base in relation to a Restricted Business.</w:t>
      </w:r>
    </w:p>
    <w:p>
      <w:pPr>
        <w:spacing w:after="0" w:line="143" w:lineRule="exact"/>
        <w:rPr>
          <w:rFonts w:ascii="Arial" w:cs="Arial" w:eastAsia="Arial" w:hAnsi="Arial"/>
          <w:sz w:val="18"/>
          <w:szCs w:val="18"/>
          <w:color w:val="auto"/>
        </w:rPr>
      </w:pPr>
    </w:p>
    <w:p>
      <w:pPr>
        <w:ind w:left="-464" w:right="280" w:firstLine="464"/>
        <w:spacing w:after="0" w:line="259" w:lineRule="auto"/>
        <w:tabs>
          <w:tab w:leader="none" w:pos="21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“Supplier”</w:t>
      </w:r>
      <w:r>
        <w:rPr>
          <w:rFonts w:ascii="Arial" w:cs="Arial" w:eastAsia="Arial" w:hAnsi="Arial"/>
          <w:sz w:val="18"/>
          <w:szCs w:val="18"/>
          <w:color w:val="auto"/>
        </w:rPr>
        <w:t xml:space="preserve"> means any person, firm, company or other entity which or who at any time during the period of six (6) months preceding the date your employment with NYMEX terminates was a supplier or was to your knowledge a prospective supplier of services or products to CMA and/or any Associated Company and with which or whom you had dealings during such period.</w:t>
      </w:r>
    </w:p>
    <w:p>
      <w:pPr>
        <w:sectPr>
          <w:pgSz w:w="11900" w:h="16838" w:orient="portrait"/>
          <w:cols w:equalWidth="0" w:num="1">
            <w:col w:w="10896"/>
          </w:cols>
          <w:pgMar w:left="704" w:top="280" w:right="29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10.26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 AGREEMENT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No. 10</w:t>
      </w:r>
    </w:p>
    <w:p>
      <w:pPr>
        <w:spacing w:after="0" w:line="165" w:lineRule="exact"/>
        <w:rPr>
          <w:sz w:val="20"/>
          <w:szCs w:val="20"/>
          <w:color w:val="auto"/>
        </w:rPr>
      </w:pPr>
    </w:p>
    <w:p>
      <w:pPr>
        <w:jc w:val="both"/>
        <w:ind w:right="400"/>
        <w:spacing w:after="0" w:line="306" w:lineRule="auto"/>
        <w:rPr>
          <w:sz w:val="20"/>
          <w:szCs w:val="20"/>
          <w:color w:val="auto"/>
        </w:rPr>
      </w:pPr>
      <w:r>
        <w:rPr>
          <w:rFonts w:ascii="Arial" w:cs="Arial" w:eastAsia="Arial" w:hAnsi="Arial"/>
          <w:sz w:val="16"/>
          <w:szCs w:val="16"/>
          <w:color w:val="auto"/>
        </w:rPr>
        <w:t>This License Agreement Amendment No. 10 (the “Amendment No. 10”) executed and delivered as of October 2, 2009 amends the License Agreement dated September 20, 2005, as later amended (the “Agreement”) by and between Standard &amp; Poor’s Financial Services LLC (“S&amp;P”), as assignee and successor in interest to Standard &amp; Poor’s Standard &amp; Poor’s, a division of The McGraw-Hill Companies, and Chicago Mercantile Exchange Inc. (“</w:t>
      </w:r>
      <w:r>
        <w:rPr>
          <w:rFonts w:ascii="Arial" w:cs="Arial" w:eastAsia="Arial" w:hAnsi="Arial"/>
          <w:sz w:val="16"/>
          <w:szCs w:val="16"/>
          <w:u w:val="single" w:color="auto"/>
          <w:color w:val="auto"/>
        </w:rPr>
        <w:t>CME</w:t>
      </w:r>
      <w:r>
        <w:rPr>
          <w:rFonts w:ascii="Arial" w:cs="Arial" w:eastAsia="Arial" w:hAnsi="Arial"/>
          <w:sz w:val="16"/>
          <w:szCs w:val="16"/>
          <w:color w:val="auto"/>
        </w:rPr>
        <w:t>”).</w:t>
      </w:r>
    </w:p>
    <w:p>
      <w:pPr>
        <w:spacing w:after="0" w:line="269"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S&amp;P and CME are parties to the Agreement, and now mutually desire to amend certain terms of the same.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NOW, THEREFORE, in consideration of the premises and the covenants and conditions contained herein, the sufficiency of which is hereby acknowledged, the parties, intending to be legally bound, hereby agree as follows. All capitalized terms used but not defined in this Amendment No. 10 shall have the meaning assigned to such terms in the Agreement.</w:t>
      </w:r>
    </w:p>
    <w:p>
      <w:pPr>
        <w:spacing w:after="0" w:line="59"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Section 1 of the Agreement shall be amended by replacing existing Section (kk) with the following:</w:t>
      </w:r>
    </w:p>
    <w:p>
      <w:pPr>
        <w:spacing w:after="0" w:line="90" w:lineRule="exact"/>
        <w:rPr>
          <w:rFonts w:ascii="Arial" w:cs="Arial" w:eastAsia="Arial" w:hAnsi="Arial"/>
          <w:sz w:val="18"/>
          <w:szCs w:val="18"/>
          <w:color w:val="auto"/>
        </w:rPr>
      </w:pPr>
    </w:p>
    <w:p>
      <w:pPr>
        <w:ind w:left="460" w:right="40" w:firstLine="4"/>
        <w:spacing w:after="0" w:line="259" w:lineRule="auto"/>
        <w:tabs>
          <w:tab w:leader="none" w:pos="796" w:val="left"/>
        </w:tabs>
        <w:numPr>
          <w:ilvl w:val="1"/>
          <w:numId w:val="67"/>
        </w:numPr>
        <w:rPr>
          <w:rFonts w:ascii="Arial" w:cs="Arial" w:eastAsia="Arial" w:hAnsi="Arial"/>
          <w:sz w:val="18"/>
          <w:szCs w:val="18"/>
          <w:color w:val="auto"/>
        </w:rPr>
      </w:pPr>
      <w:r>
        <w:rPr>
          <w:rFonts w:ascii="Arial" w:cs="Arial" w:eastAsia="Arial" w:hAnsi="Arial"/>
          <w:sz w:val="18"/>
          <w:szCs w:val="18"/>
          <w:color w:val="auto"/>
        </w:rPr>
        <w:t>“Cleared OTC Swap” shall mean a swap or forward contract that is bilaterally negotiated and cleared, where the forward contract is structured identically or substantially similarly to CME’s existing S&amp;P-GSCI Excess Return Commodity Index Swaps product except that CME may require different performance bond/margin for the forward contract.</w:t>
      </w:r>
    </w:p>
    <w:p>
      <w:pPr>
        <w:spacing w:after="0" w:line="140" w:lineRule="exact"/>
        <w:rPr>
          <w:rFonts w:ascii="Arial" w:cs="Arial" w:eastAsia="Arial" w:hAnsi="Arial"/>
          <w:sz w:val="18"/>
          <w:szCs w:val="18"/>
          <w:color w:val="auto"/>
        </w:rPr>
      </w:pPr>
    </w:p>
    <w:p>
      <w:pPr>
        <w:ind w:right="520" w:firstLine="8"/>
        <w:spacing w:after="0" w:line="268" w:lineRule="auto"/>
        <w:tabs>
          <w:tab w:leader="none" w:pos="176"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event of any conflict, ambiguity or inconsistency between the terms and conditions of this Amendment No. 10 and the terms and conditions of the Agreement, the terms and conditions of this Amendment No. 10 shall govern and control.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Except as modified hereby, all of the terms and conditions of the Agreement shall remain in full force and effect.</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Amendment No. 10 to be executed as of the date specified above.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STANDARD &amp; POOR’S FINANCIAL SERVICES LLC,</w:t>
            </w:r>
          </w:p>
        </w:tc>
        <w:tc>
          <w:tcPr>
            <w:tcW w:w="6020" w:type="dxa"/>
            <w:vAlign w:val="bottom"/>
            <w:gridSpan w:val="2"/>
          </w:tcPr>
          <w:p>
            <w:pPr>
              <w:ind w:left="660"/>
              <w:spacing w:after="0"/>
              <w:rPr>
                <w:sz w:val="20"/>
                <w:szCs w:val="20"/>
                <w:color w:val="auto"/>
              </w:rPr>
            </w:pPr>
            <w:r>
              <w:rPr>
                <w:rFonts w:ascii="Arial" w:cs="Arial" w:eastAsia="Arial" w:hAnsi="Arial"/>
                <w:sz w:val="18"/>
                <w:szCs w:val="18"/>
                <w:color w:val="auto"/>
              </w:rPr>
              <w:t>CHICAGO MERCANTILE EXCHANGE INC.</w:t>
            </w: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assignee and successor in interest to Standard &amp; Poor’s, a</w:t>
            </w:r>
          </w:p>
        </w:tc>
        <w:tc>
          <w:tcPr>
            <w:tcW w:w="1240" w:type="dxa"/>
            <w:vAlign w:val="bottom"/>
          </w:tcPr>
          <w:p>
            <w:pPr>
              <w:spacing w:after="0"/>
              <w:rPr>
                <w:sz w:val="18"/>
                <w:szCs w:val="18"/>
                <w:color w:val="auto"/>
              </w:rPr>
            </w:pPr>
          </w:p>
        </w:tc>
        <w:tc>
          <w:tcPr>
            <w:tcW w:w="4780" w:type="dxa"/>
            <w:vAlign w:val="bottom"/>
          </w:tcPr>
          <w:p>
            <w:pPr>
              <w:spacing w:after="0"/>
              <w:rPr>
                <w:sz w:val="18"/>
                <w:szCs w:val="18"/>
                <w:color w:val="auto"/>
              </w:rPr>
            </w:pP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division of The McGraw-Hill Companies, Inc.</w:t>
            </w:r>
          </w:p>
        </w:tc>
        <w:tc>
          <w:tcPr>
            <w:tcW w:w="1240" w:type="dxa"/>
            <w:vAlign w:val="bottom"/>
          </w:tcPr>
          <w:p>
            <w:pPr>
              <w:spacing w:after="0"/>
              <w:rPr>
                <w:sz w:val="19"/>
                <w:szCs w:val="19"/>
                <w:color w:val="auto"/>
              </w:rPr>
            </w:pPr>
          </w:p>
        </w:tc>
        <w:tc>
          <w:tcPr>
            <w:tcW w:w="4780" w:type="dxa"/>
            <w:vAlign w:val="bottom"/>
          </w:tcPr>
          <w:p>
            <w:pPr>
              <w:spacing w:after="0"/>
              <w:rPr>
                <w:sz w:val="19"/>
                <w:szCs w:val="19"/>
                <w:color w:val="auto"/>
              </w:rPr>
            </w:pPr>
          </w:p>
        </w:tc>
      </w:tr>
      <w:tr>
        <w:trPr>
          <w:trHeight w:val="326"/>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Shakotko</w:t>
            </w:r>
          </w:p>
        </w:tc>
        <w:tc>
          <w:tcPr>
            <w:tcW w:w="124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Rick Redding</w:t>
            </w:r>
          </w:p>
        </w:tc>
      </w:tr>
      <w:tr>
        <w:trPr>
          <w:trHeight w:val="215"/>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Robert Shakotko</w:t>
            </w:r>
          </w:p>
        </w:tc>
        <w:tc>
          <w:tcPr>
            <w:tcW w:w="124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Rick Redding</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Managing Director, S&amp;P Index Services</w:t>
            </w:r>
          </w:p>
        </w:tc>
        <w:tc>
          <w:tcPr>
            <w:tcW w:w="124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Managing Director Products and Services Development</w:t>
            </w:r>
          </w:p>
        </w:tc>
      </w:tr>
      <w:tr>
        <w:trPr>
          <w:trHeight w:val="365"/>
        </w:trPr>
        <w:tc>
          <w:tcPr>
            <w:tcW w:w="6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40" w:type="dxa"/>
            <w:vAlign w:val="bottom"/>
          </w:tcPr>
          <w:p>
            <w:pPr>
              <w:ind w:left="280"/>
              <w:spacing w:after="0"/>
              <w:rPr>
                <w:sz w:val="20"/>
                <w:szCs w:val="20"/>
                <w:color w:val="auto"/>
              </w:rPr>
            </w:pPr>
            <w:r>
              <w:rPr>
                <w:rFonts w:ascii="Arial" w:cs="Arial" w:eastAsia="Arial" w:hAnsi="Arial"/>
                <w:sz w:val="18"/>
                <w:szCs w:val="18"/>
                <w:color w:val="auto"/>
              </w:rPr>
              <w:t>2</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11"/>
          <w:szCs w:val="11"/>
          <w:b w:val="1"/>
          <w:bCs w:val="1"/>
          <w:color w:val="auto"/>
        </w:rPr>
        <w:t>(1)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our ratio of earnings to fixed charges </w:t>
      </w:r>
      <w:r>
        <w:rPr>
          <w:rFonts w:ascii="Arial" w:cs="Arial" w:eastAsia="Arial" w:hAnsi="Arial"/>
          <w:sz w:val="11"/>
          <w:szCs w:val="11"/>
          <w:color w:val="auto"/>
        </w:rPr>
        <w:t>(1)</w:t>
      </w:r>
      <w:r>
        <w:rPr>
          <w:rFonts w:ascii="Arial" w:cs="Arial" w:eastAsia="Arial" w:hAnsi="Arial"/>
          <w:sz w:val="18"/>
          <w:szCs w:val="18"/>
          <w:color w:val="auto"/>
        </w:rPr>
        <w:t xml:space="preserve"> for the periods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9"/>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1,437.5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1,248.0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1,095.8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Add back CME share of loss on equity investees</w:t>
            </w:r>
            <w:r>
              <w:rPr>
                <w:rFonts w:ascii="Arial" w:cs="Arial" w:eastAsia="Arial" w:hAnsi="Arial"/>
                <w:sz w:val="11"/>
                <w:szCs w:val="11"/>
                <w:color w:val="auto"/>
              </w:rPr>
              <w:t>(2)</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1,253.1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1,096.6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020" w:type="dxa"/>
            <w:vAlign w:val="bottom"/>
            <w:gridSpan w:val="2"/>
          </w:tcPr>
          <w:p>
            <w:pPr>
              <w:spacing w:after="0"/>
              <w:rPr>
                <w:sz w:val="20"/>
                <w:szCs w:val="20"/>
                <w:color w:val="auto"/>
              </w:rPr>
            </w:pPr>
            <w:r>
              <w:rPr>
                <w:rFonts w:ascii="Arial" w:cs="Arial" w:eastAsia="Arial" w:hAnsi="Arial"/>
                <w:sz w:val="18"/>
                <w:szCs w:val="18"/>
                <w:color w:val="auto"/>
              </w:rPr>
              <w:t>Plus:</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(excluding interest for securities lending)</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Interest expense within rent</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1,107.1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6020" w:type="dxa"/>
            <w:vAlign w:val="bottom"/>
            <w:gridSpan w:val="2"/>
          </w:tcPr>
          <w:p>
            <w:pPr>
              <w:spacing w:after="0"/>
              <w:rPr>
                <w:sz w:val="20"/>
                <w:szCs w:val="20"/>
                <w:color w:val="auto"/>
              </w:rPr>
            </w:pPr>
            <w:r>
              <w:rPr>
                <w:rFonts w:ascii="Arial" w:cs="Arial" w:eastAsia="Arial" w:hAnsi="Arial"/>
                <w:sz w:val="18"/>
                <w:szCs w:val="18"/>
                <w:color w:val="auto"/>
              </w:rPr>
              <w:t>Fixed Charges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67.5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0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105.93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3"/>
              </w:rPr>
              <w:t>189.61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153.06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320" w:hanging="452"/>
        <w:spacing w:after="0" w:line="286"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ratio of earnings to fixed charges is calculated by dividing earnings by fixed charges. For this purpose, “earnings” consist of income before income taxes, plus fixed charges and losses from equity investees. “Fixed charges” consist of interest incurred and the interest portion of rent expense.</w:t>
      </w: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CME Groups’ interest in various entities, which is recognized using the equity method of accounting.</w:t>
      </w:r>
    </w:p>
    <w:p>
      <w:pPr>
        <w:sectPr>
          <w:pgSz w:w="11900" w:h="16838" w:orient="portrait"/>
          <w:cols w:equalWidth="0" w:num="1">
            <w:col w:w="11420"/>
          </w:cols>
          <w:pgMar w:left="240" w:top="125" w:right="23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200" w:type="dxa"/>
            <w:vAlign w:val="bottom"/>
            <w:gridSpan w:val="2"/>
          </w:tcPr>
          <w:p>
            <w:pPr>
              <w:ind w:left="280"/>
              <w:spacing w:after="0"/>
              <w:rPr>
                <w:sz w:val="20"/>
                <w:szCs w:val="20"/>
                <w:color w:val="auto"/>
              </w:rPr>
            </w:pPr>
            <w:r>
              <w:rPr>
                <w:rFonts w:ascii="Arial" w:cs="Arial" w:eastAsia="Arial" w:hAnsi="Arial"/>
                <w:sz w:val="18"/>
                <w:szCs w:val="18"/>
                <w:b w:val="1"/>
                <w:bCs w:val="1"/>
                <w:color w:val="auto"/>
                <w:w w:val="89"/>
              </w:rPr>
              <w:t>Exhibit 21.1</w:t>
            </w:r>
          </w:p>
        </w:tc>
      </w:tr>
      <w:tr>
        <w:trPr>
          <w:trHeight w:val="340"/>
        </w:trPr>
        <w:tc>
          <w:tcPr>
            <w:tcW w:w="10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Subsidiaries of CME Group Inc.</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10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42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120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84"/>
              </w:rPr>
              <w:t>Jurisdiction of</w:t>
            </w:r>
          </w:p>
        </w:tc>
      </w:tr>
      <w:tr>
        <w:trPr>
          <w:trHeight w:val="149"/>
        </w:trPr>
        <w:tc>
          <w:tcPr>
            <w:tcW w:w="10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i w:val="1"/>
                <w:iCs w:val="1"/>
                <w:color w:val="auto"/>
                <w:w w:val="86"/>
              </w:rPr>
              <w:t>Incorporation or</w:t>
            </w:r>
          </w:p>
        </w:tc>
      </w:tr>
      <w:tr>
        <w:trPr>
          <w:trHeight w:val="159"/>
        </w:trPr>
        <w:tc>
          <w:tcPr>
            <w:tcW w:w="10240" w:type="dxa"/>
            <w:vAlign w:val="bottom"/>
            <w:gridSpan w:val="4"/>
          </w:tcPr>
          <w:p>
            <w:pPr>
              <w:spacing w:after="0" w:line="159" w:lineRule="exact"/>
              <w:rPr>
                <w:sz w:val="20"/>
                <w:szCs w:val="20"/>
                <w:color w:val="auto"/>
              </w:rPr>
            </w:pPr>
            <w:r>
              <w:rPr>
                <w:rFonts w:ascii="Arial" w:cs="Arial" w:eastAsia="Arial" w:hAnsi="Arial"/>
                <w:sz w:val="14"/>
                <w:szCs w:val="14"/>
                <w:b w:val="1"/>
                <w:bCs w:val="1"/>
                <w:i w:val="1"/>
                <w:iCs w:val="1"/>
                <w:color w:val="auto"/>
              </w:rPr>
              <w:t>Subsidiary Name</w:t>
            </w:r>
          </w:p>
        </w:tc>
        <w:tc>
          <w:tcPr>
            <w:tcW w:w="1200" w:type="dxa"/>
            <w:vAlign w:val="bottom"/>
            <w:gridSpan w:val="2"/>
          </w:tcPr>
          <w:p>
            <w:pPr>
              <w:jc w:val="center"/>
              <w:ind w:right="20"/>
              <w:spacing w:after="0" w:line="159" w:lineRule="exact"/>
              <w:rPr>
                <w:sz w:val="20"/>
                <w:szCs w:val="20"/>
                <w:color w:val="auto"/>
              </w:rPr>
            </w:pPr>
            <w:r>
              <w:rPr>
                <w:rFonts w:ascii="Arial" w:cs="Arial" w:eastAsia="Arial" w:hAnsi="Arial"/>
                <w:sz w:val="14"/>
                <w:szCs w:val="14"/>
                <w:b w:val="1"/>
                <w:bCs w:val="1"/>
                <w:i w:val="1"/>
                <w:iCs w:val="1"/>
                <w:color w:val="auto"/>
                <w:w w:val="86"/>
              </w:rPr>
              <w:t>Organization</w:t>
            </w:r>
          </w:p>
        </w:tc>
      </w:tr>
      <w:tr>
        <w:trPr>
          <w:trHeight w:val="201"/>
        </w:trPr>
        <w:tc>
          <w:tcPr>
            <w:tcW w:w="1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83"/>
              </w:rPr>
              <w:t>Board of Trade</w:t>
            </w:r>
          </w:p>
        </w:tc>
        <w:tc>
          <w:tcPr>
            <w:tcW w:w="922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of the City of Chicago, Inc.</w:t>
            </w:r>
          </w:p>
        </w:tc>
        <w:tc>
          <w:tcPr>
            <w:tcW w:w="11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Delaware</w:t>
            </w:r>
          </w:p>
        </w:tc>
        <w:tc>
          <w:tcPr>
            <w:tcW w:w="20" w:type="dxa"/>
            <w:vAlign w:val="bottom"/>
          </w:tcPr>
          <w:p>
            <w:pPr>
              <w:spacing w:after="0"/>
              <w:rPr>
                <w:sz w:val="17"/>
                <w:szCs w:val="17"/>
                <w:color w:val="auto"/>
              </w:rPr>
            </w:pP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CBOT Singapore PTE. LTD.</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7"/>
              </w:rPr>
              <w:t>Singapore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C-B-T Corporation</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Chicago Mercantile Exchange Inc.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Chicago Mercantile Exchange Korea Inc.</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Korea</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Chicago Mercantile Exchange Luxembourg Holdings S.A.R.L.</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Luxembourg</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Chicago Mercantile Exchange Luxembourg S.A.R.L.</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Luxembourg</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GFX Corporation</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Illinois</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 Alternative Marketplace Inc.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 FX Marketplace Inc.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 Global Marketplace Inc.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 Group Index Holdings LLC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 Group Index Services LLC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 Group Marketing Canada</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2"/>
              </w:rPr>
              <w:t>Canada</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 Group Strategic Investments LLC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CMEG Brazil Investments 1 LLC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CMEG Brazil Investments 2 LLC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CMEG Brazil 1 Participações Ltda.</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Brazil</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CMEG Brazil Sistemas Locação de Bens Ltda.</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Brazil</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CMEG Strategic Sdn. Bhd.</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Malaysia</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CMEG NYMEX Holdings Inc.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 Clearing Europe Limited</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United Kingdom</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 Marketing Europe Limited (f/k/a Swapstream Operating Services Limited)</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United Kingdom</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 Swaps Marketplace Ltd.</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United Kingdom</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CMESCC Inc.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Commodity Exchange, Inc.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New York</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COMEX Clearing Association, Inc.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New York</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Credit Market Analysis Limited</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United Kingdom</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Credit Market Analysis USA Inc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Financial Data Exchange Limited</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United Kingdom</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Giotto Empreendimentos e Participações Ltda.</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Brazil</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NYMEX Europe Exchange Holdings Limited</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United Kingdom</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NYMEX Europe Limited</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United Kingdom</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NYMEX London Limited</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United Kingdom</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NYMEX Technology Corp.</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New York Mercantile Exchange, Inc.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Quotevision Limited</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United Kingdom</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Swapstream Limited</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United Kingdom</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Swapstream Inc.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Special Technology Investments Limited</w:t>
            </w:r>
          </w:p>
        </w:tc>
        <w:tc>
          <w:tcPr>
            <w:tcW w:w="120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United Kingdom</w:t>
            </w:r>
          </w:p>
        </w:tc>
      </w:tr>
      <w:tr>
        <w:trPr>
          <w:trHeight w:val="216"/>
        </w:trPr>
        <w:tc>
          <w:tcPr>
            <w:tcW w:w="10240" w:type="dxa"/>
            <w:vAlign w:val="bottom"/>
            <w:gridSpan w:val="4"/>
          </w:tcPr>
          <w:p>
            <w:pPr>
              <w:spacing w:after="0"/>
              <w:rPr>
                <w:sz w:val="20"/>
                <w:szCs w:val="20"/>
                <w:color w:val="auto"/>
              </w:rPr>
            </w:pPr>
            <w:r>
              <w:rPr>
                <w:rFonts w:ascii="Arial" w:cs="Arial" w:eastAsia="Arial" w:hAnsi="Arial"/>
                <w:sz w:val="18"/>
                <w:szCs w:val="18"/>
                <w:color w:val="auto"/>
              </w:rPr>
              <w:t>Swapstream France (f/k/a IT4F)</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5"/>
              </w:rPr>
              <w:t>France</w:t>
            </w:r>
          </w:p>
        </w:tc>
      </w:tr>
      <w:tr>
        <w:trPr>
          <w:trHeight w:val="222"/>
        </w:trPr>
        <w:tc>
          <w:tcPr>
            <w:tcW w:w="10240" w:type="dxa"/>
            <w:vAlign w:val="bottom"/>
            <w:gridSpan w:val="4"/>
          </w:tcPr>
          <w:p>
            <w:pPr>
              <w:spacing w:after="0"/>
              <w:rPr>
                <w:sz w:val="20"/>
                <w:szCs w:val="20"/>
                <w:color w:val="auto"/>
              </w:rPr>
            </w:pPr>
            <w:r>
              <w:rPr>
                <w:rFonts w:ascii="Arial" w:cs="Arial" w:eastAsia="Arial" w:hAnsi="Arial"/>
                <w:sz w:val="18"/>
                <w:szCs w:val="18"/>
                <w:color w:val="auto"/>
              </w:rPr>
              <w:t>Tradingear Acquisition, LLC</w:t>
            </w:r>
          </w:p>
        </w:tc>
        <w:tc>
          <w:tcPr>
            <w:tcW w:w="120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125"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ind w:left="460" w:right="3460" w:firstLine="3008"/>
        <w:spacing w:after="0" w:line="444"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 w:lineRule="exact"/>
        <w:rPr>
          <w:sz w:val="20"/>
          <w:szCs w:val="20"/>
          <w:color w:val="auto"/>
        </w:rPr>
      </w:pPr>
    </w:p>
    <w:p>
      <w:pPr>
        <w:ind w:left="460" w:right="360" w:firstLine="4"/>
        <w:spacing w:after="0" w:line="268" w:lineRule="auto"/>
        <w:tabs>
          <w:tab w:leader="none" w:pos="7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Registration Statement (Form S-8 No. 333-105236) pertaining to the Amended and Restated Omnibus Stock Plan of Chicago Mercantile Exchange Holdings Inc.,</w:t>
      </w:r>
    </w:p>
    <w:p>
      <w:pPr>
        <w:spacing w:after="0" w:line="50" w:lineRule="exact"/>
        <w:rPr>
          <w:rFonts w:ascii="Arial" w:cs="Arial" w:eastAsia="Arial" w:hAnsi="Arial"/>
          <w:sz w:val="18"/>
          <w:szCs w:val="18"/>
          <w:color w:val="auto"/>
        </w:rPr>
      </w:pPr>
    </w:p>
    <w:p>
      <w:pPr>
        <w:ind w:left="460" w:right="740" w:firstLine="4"/>
        <w:spacing w:after="0" w:line="268" w:lineRule="auto"/>
        <w:tabs>
          <w:tab w:leader="none" w:pos="7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Registration Statements (Form S-8 No. 333-104804 and Form S-8 No. 333-115656) pertaining to the Agreement between Chicago Mercantile Exchange Holdings Inc. and James J. McNulty,</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Registration Statement (Form (S-8 No. 333-124497) pertaining to the Employee Stock Purchase Plan and the 2005 Director Stock Plan,</w:t>
      </w:r>
    </w:p>
    <w:p>
      <w:pPr>
        <w:spacing w:after="0" w:line="113" w:lineRule="exact"/>
        <w:rPr>
          <w:rFonts w:ascii="Arial" w:cs="Arial" w:eastAsia="Arial" w:hAnsi="Arial"/>
          <w:sz w:val="16"/>
          <w:szCs w:val="16"/>
          <w:color w:val="auto"/>
        </w:rPr>
      </w:pPr>
    </w:p>
    <w:p>
      <w:pPr>
        <w:ind w:left="460" w:right="500" w:firstLine="4"/>
        <w:spacing w:after="0" w:line="268" w:lineRule="auto"/>
        <w:tabs>
          <w:tab w:leader="none" w:pos="7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Registration Statement (Form S-3ASR No. 333-163473) Shelf Registration Statement for the offering of debt securities, Class A Common Stock, Preferred Stock and Warrants.</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Registration Statement (Form S-8 No. 333-144543) pertaining to the CBOT Holdings, Inc.’s 2005 Long-Term Equity Incentive Plan,</w:t>
      </w:r>
    </w:p>
    <w:p>
      <w:pPr>
        <w:spacing w:after="0" w:line="90" w:lineRule="exact"/>
        <w:rPr>
          <w:rFonts w:ascii="Arial" w:cs="Arial" w:eastAsia="Arial" w:hAnsi="Arial"/>
          <w:sz w:val="18"/>
          <w:szCs w:val="18"/>
          <w:color w:val="auto"/>
        </w:rPr>
      </w:pPr>
    </w:p>
    <w:p>
      <w:pPr>
        <w:ind w:left="460" w:right="200" w:firstLine="4"/>
        <w:spacing w:after="0" w:line="268" w:lineRule="auto"/>
        <w:tabs>
          <w:tab w:leader="none" w:pos="7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Registration Statement (Form S-8 No. 333-153462) and Post-Effective Amendment No. 1 to Registration Statement on Form S-4 (Form S-8 No. 333-151577) pertaining to the NYMEX Holdings, Inc.’s 2006 Omnibus Long-Term Incentive Plan, and</w:t>
      </w:r>
    </w:p>
    <w:p>
      <w:pPr>
        <w:spacing w:after="0" w:line="50" w:lineRule="exact"/>
        <w:rPr>
          <w:rFonts w:ascii="Arial" w:cs="Arial" w:eastAsia="Arial" w:hAnsi="Arial"/>
          <w:sz w:val="18"/>
          <w:szCs w:val="18"/>
          <w:color w:val="auto"/>
        </w:rPr>
      </w:pPr>
    </w:p>
    <w:p>
      <w:pPr>
        <w:ind w:left="460" w:right="420" w:firstLine="4"/>
        <w:spacing w:after="0" w:line="268" w:lineRule="auto"/>
        <w:tabs>
          <w:tab w:leader="none" w:pos="7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Registration Statement (Form S-8 No. 333-159932) pertaining to the Amended and Restated Omnibus Stock Plan and 2005 Director Stock Plan of CME Group Inc.</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of our reports dated February 26, 2010, with respect to the consolidated financial statements and schedule of the CME Group Inc., and the effectiveness of internal control over financial reporting of CME Group Inc., incorporated by reference in this Annual Report (Form 10-K) for the year ended December 31, 2009.</w:t>
      </w:r>
    </w:p>
    <w:p>
      <w:pPr>
        <w:spacing w:after="0" w:line="12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2010</w:t>
      </w:r>
    </w:p>
    <w:p>
      <w:pPr>
        <w:sectPr>
          <w:pgSz w:w="11900" w:h="16838" w:orient="portrait"/>
          <w:cols w:equalWidth="0" w:num="1">
            <w:col w:w="11420"/>
          </w:cols>
          <w:pgMar w:left="240" w:top="125"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171" w:lineRule="exact"/>
        <w:rPr>
          <w:sz w:val="20"/>
          <w:szCs w:val="20"/>
          <w:color w:val="auto"/>
        </w:rPr>
      </w:pPr>
    </w:p>
    <w:p>
      <w:pPr>
        <w:ind w:left="640" w:hanging="176"/>
        <w:spacing w:after="0"/>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7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7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7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640" w:hanging="17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report on Form 10-K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7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7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32.1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the Annual Report on Form 10-K of CME Group Inc. (Company) for the year ended December 31, 2009 as filed with the Securities and Exchange Commission on the date hereof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Craig S. Donohue</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289877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4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James E. Parisi</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2010</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946910" cy="420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1946910" cy="420370"/>
                    </a:xfrm>
                    <a:prstGeom prst="rect">
                      <a:avLst/>
                    </a:prstGeom>
                    <a:noFill/>
                  </pic:spPr>
                </pic:pic>
              </a:graphicData>
            </a:graphic>
          </wp:anchor>
        </w:drawing>
        <w:t>February 26, 2010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EDGAR TRANSMISSION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0"/>
          <w:szCs w:val="20"/>
          <w:color w:val="auto"/>
        </w:rPr>
      </w:pPr>
    </w:p>
    <w:p>
      <w:pPr>
        <w:jc w:val="center"/>
        <w:ind w:left="1740"/>
        <w:spacing w:after="0"/>
        <w:tabs>
          <w:tab w:leader="none" w:pos="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Filing of CME Group Inc. Annual Report on Form 10-K for the year ended December 31,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behalf of CME Group Inc., a Delaware corporation (the “Company”), transmitted herewith for filing is the Company’s Annual Report on Form 10-K for the year ended December 31, 2009.</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color w:val="auto"/>
        </w:rPr>
        <w:t>There have not been any changes from the preceding year in any accounting principles or practices, or in the method of applying any such principles or practices.</w:t>
      </w:r>
    </w:p>
    <w:p>
      <w:pPr>
        <w:spacing w:after="0" w:line="20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If you have any questions or comments in connection with the foregoing, please contact me at (312) 930-3305. Facsimile transmissions may be sent to the undersigned at (312) 930-4556.</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1089025" cy="1974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89025" cy="197485"/>
                    </a:xfrm>
                    <a:prstGeom prst="rect">
                      <a:avLst/>
                    </a:prstGeom>
                    <a:noFill/>
                  </pic:spPr>
                </pic:pic>
              </a:graphicData>
            </a:graphic>
          </wp:anchor>
        </w:drawing>
      </w:r>
    </w:p>
    <w:p>
      <w:pPr>
        <w:spacing w:after="0" w:line="30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Meg Wright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Director, Associate General Counsel &amp; Assistant Corporate</w:t>
      </w:r>
    </w:p>
    <w:p>
      <w:pPr>
        <w:spacing w:after="0" w:line="32"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Secretary</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sectPr>
      <w:pgSz w:w="11900" w:h="16838" w:orient="portrait"/>
      <w:cols w:equalWidth="0" w:num="1">
        <w:col w:w="11340"/>
      </w:cols>
      <w:pgMar w:left="240" w:top="95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
      <w:numFmt w:val="bullet"/>
      <w:start w:val="1"/>
    </w:lvl>
  </w:abstractNum>
  <w:abstractNum w:abstractNumId="27">
    <w:nsid w:val="70C6A529"/>
    <w:multiLevelType w:val="hybridMultilevel"/>
    <w:lvl w:ilvl="0">
      <w:lvlJc w:val="left"/>
      <w:lvlText w:val="•"/>
      <w:numFmt w:val="bullet"/>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
      <w:numFmt w:val="bullet"/>
      <w:start w:val="1"/>
    </w:lvl>
  </w:abstractNum>
  <w:abstractNum w:abstractNumId="33">
    <w:nsid w:val="275AC794"/>
    <w:multiLevelType w:val="hybridMultilevel"/>
    <w:lvl w:ilvl="0">
      <w:lvlJc w:val="left"/>
      <w:lvlText w:val="•"/>
      <w:numFmt w:val="bullet"/>
      <w:start w:val="1"/>
    </w:lvl>
  </w:abstractNum>
  <w:abstractNum w:abstractNumId="34">
    <w:nsid w:val="39386575"/>
    <w:multiLevelType w:val="hybridMultilevel"/>
    <w:lvl w:ilvl="0">
      <w:lvlJc w:val="left"/>
      <w:lvlText w:val="•"/>
      <w:numFmt w:val="bullet"/>
      <w:start w:val="1"/>
    </w:lvl>
  </w:abstractNum>
  <w:abstractNum w:abstractNumId="35">
    <w:nsid w:val="1CF10FD8"/>
    <w:multiLevelType w:val="hybridMultilevel"/>
    <w:lvl w:ilvl="0">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1)"/>
      <w:numFmt w:val="lowerLetter"/>
      <w:start w:val="1"/>
    </w:lvl>
  </w:abstractNum>
  <w:abstractNum w:abstractNumId="38">
    <w:nsid w:val="47398C89"/>
    <w:multiLevelType w:val="hybridMultilevel"/>
    <w:lvl w:ilvl="0">
      <w:lvlJc w:val="left"/>
      <w:lvlText w:val="(%1)"/>
      <w:numFmt w:val="decimal"/>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1."/>
      <w:numFmt w:val="decimal"/>
      <w:start w:val="7"/>
    </w:lvl>
  </w:abstractNum>
  <w:abstractNum w:abstractNumId="44">
    <w:nsid w:val="3F6AB60F"/>
    <w:multiLevelType w:val="hybridMultilevel"/>
    <w:lvl w:ilvl="0">
      <w:lvlJc w:val="left"/>
      <w:lvlText w:val="(%1)"/>
      <w:numFmt w:val="lowerLetter"/>
      <w:start w:val="1"/>
    </w:lvl>
  </w:abstractNum>
  <w:abstractNum w:abstractNumId="45">
    <w:nsid w:val="61574095"/>
    <w:multiLevelType w:val="hybridMultilevel"/>
    <w:lvl w:ilvl="0">
      <w:lvlJc w:val="left"/>
      <w:lvlText w:val="(%1)"/>
      <w:numFmt w:val="lowerLetter"/>
      <w:start w:val="3"/>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decimal"/>
      <w:start w:val="12"/>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lowerLetter"/>
      <w:start w:val="1"/>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1)"/>
      <w:numFmt w:val="decimal"/>
      <w:start w:val="1"/>
    </w:lvl>
  </w:abstractNum>
  <w:abstractNum w:abstractNumId="54">
    <w:nsid w:val="4AD084E9"/>
    <w:multiLevelType w:val="hybridMultilevel"/>
    <w:lvl w:ilvl="0">
      <w:lvlJc w:val="left"/>
      <w:lvlText w:val="1"/>
      <w:numFmt w:val="bullet"/>
      <w:start w:val="1"/>
    </w:lvl>
  </w:abstractNum>
  <w:abstractNum w:abstractNumId="55">
    <w:nsid w:val="1F48EAA1"/>
    <w:multiLevelType w:val="hybridMultilevel"/>
    <w:lvl w:ilvl="0">
      <w:lvlJc w:val="left"/>
      <w:lvlText w:val="1"/>
      <w:numFmt w:val="bullet"/>
      <w:start w:val="1"/>
    </w:lvl>
  </w:abstractNum>
  <w:abstractNum w:abstractNumId="56">
    <w:nsid w:val="1381823A"/>
    <w:multiLevelType w:val="hybridMultilevel"/>
    <w:lvl w:ilvl="0">
      <w:lvlJc w:val="left"/>
      <w:lvlText w:val="%1."/>
      <w:numFmt w:val="decimal"/>
      <w:start w:val="1"/>
    </w:lvl>
  </w:abstractNum>
  <w:abstractNum w:abstractNumId="57">
    <w:nsid w:val="5DB70AE5"/>
    <w:multiLevelType w:val="hybridMultilevel"/>
    <w:lvl w:ilvl="0">
      <w:lvlJc w:val="left"/>
      <w:lvlText w:val="(%1)"/>
      <w:numFmt w:val="lowerLetter"/>
      <w:start w:val="12"/>
    </w:lvl>
  </w:abstractNum>
  <w:abstractNum w:abstractNumId="58">
    <w:nsid w:val="100F8FCA"/>
    <w:multiLevelType w:val="hybridMultilevel"/>
    <w:lvl w:ilvl="0">
      <w:lvlJc w:val="left"/>
      <w:lvlText w:val="%1."/>
      <w:numFmt w:val="decimal"/>
      <w:start w:val="2"/>
    </w:lvl>
  </w:abstractNum>
  <w:abstractNum w:abstractNumId="59">
    <w:nsid w:val="6590700B"/>
    <w:multiLevelType w:val="hybridMultilevel"/>
    <w:lvl w:ilvl="0">
      <w:lvlJc w:val="left"/>
      <w:lvlText w:val="%1."/>
      <w:numFmt w:val="decimal"/>
      <w:start w:val="1"/>
    </w:lvl>
  </w:abstractNum>
  <w:abstractNum w:abstractNumId="60">
    <w:nsid w:val="15014ACB"/>
    <w:multiLevelType w:val="hybridMultilevel"/>
    <w:lvl w:ilvl="0">
      <w:lvlJc w:val="left"/>
      <w:lvlText w:val="(%1)"/>
      <w:numFmt w:val="lowerLetter"/>
      <w:start w:val="11"/>
    </w:lvl>
  </w:abstractNum>
  <w:abstractNum w:abstractNumId="61">
    <w:nsid w:val="5F5E7FD0"/>
    <w:multiLevelType w:val="hybridMultilevel"/>
    <w:lvl w:ilvl="0">
      <w:lvlJc w:val="left"/>
      <w:lvlText w:val="%1."/>
      <w:numFmt w:val="decimal"/>
      <w:start w:val="2"/>
    </w:lvl>
  </w:abstractNum>
  <w:abstractNum w:abstractNumId="62">
    <w:nsid w:val="98A3148"/>
    <w:multiLevelType w:val="hybridMultilevel"/>
    <w:lvl w:ilvl="0">
      <w:lvlJc w:val="left"/>
      <w:lvlText w:val="(%1)"/>
      <w:numFmt w:val="lowerRoman"/>
      <w:start w:val="1"/>
    </w:lvl>
  </w:abstractNum>
  <w:abstractNum w:abstractNumId="63">
    <w:nsid w:val="799D0247"/>
    <w:multiLevelType w:val="hybridMultilevel"/>
    <w:lvl w:ilvl="0">
      <w:lvlJc w:val="left"/>
      <w:lvlText w:val="(%1)"/>
      <w:numFmt w:val="lowerLetter"/>
      <w:start w:val="1"/>
    </w:lvl>
    <w:lvl w:ilvl="1">
      <w:lvlJc w:val="left"/>
      <w:lvlText w:val="☐"/>
      <w:numFmt w:val="bullet"/>
      <w:start w:val="1"/>
    </w:lvl>
  </w:abstractNum>
  <w:abstractNum w:abstractNumId="64">
    <w:nsid w:val="6B94764"/>
    <w:multiLevelType w:val="hybridMultilevel"/>
    <w:lvl w:ilvl="0">
      <w:lvlJc w:val="left"/>
      <w:lvlText w:val="(%1)"/>
      <w:numFmt w:val="lowerRoman"/>
      <w:start w:val="1"/>
    </w:lvl>
  </w:abstractNum>
  <w:abstractNum w:abstractNumId="65">
    <w:nsid w:val="42C296BD"/>
    <w:multiLevelType w:val="hybridMultilevel"/>
    <w:lvl w:ilvl="0">
      <w:lvlJc w:val="left"/>
      <w:lvlText w:val="(%1)"/>
      <w:numFmt w:val="lowerLetter"/>
      <w:start w:val="5"/>
    </w:lvl>
  </w:abstractNum>
  <w:abstractNum w:abstractNumId="66">
    <w:nsid w:val="168E121F"/>
    <w:multiLevelType w:val="hybridMultilevel"/>
    <w:lvl w:ilvl="0">
      <w:lvlJc w:val="left"/>
      <w:lvlText w:val="%1."/>
      <w:numFmt w:val="decimal"/>
      <w:start w:val="1"/>
    </w:lvl>
    <w:lvl w:ilvl="1">
      <w:lvlJc w:val="left"/>
      <w:lvlText w:val="(%2)"/>
      <w:numFmt w:val="lowerLetter"/>
      <w:start w:val="37"/>
    </w:lvl>
  </w:abstractNum>
  <w:abstractNum w:abstractNumId="67">
    <w:nsid w:val="1EBA5D23"/>
    <w:multiLevelType w:val="hybridMultilevel"/>
    <w:lvl w:ilvl="0">
      <w:lvlJc w:val="left"/>
      <w:lvlText w:val="(%1)"/>
      <w:numFmt w:val="decimal"/>
      <w:start w:val="1"/>
    </w:lvl>
  </w:abstractNum>
  <w:abstractNum w:abstractNumId="68">
    <w:nsid w:val="661E3F1E"/>
    <w:multiLevelType w:val="hybridMultilevel"/>
    <w:lvl w:ilvl="0">
      <w:lvlJc w:val="left"/>
      <w:lvlText w:val="(%1)"/>
      <w:numFmt w:val="decimal"/>
      <w:start w:val="1"/>
    </w:lvl>
  </w:abstractNum>
  <w:abstractNum w:abstractNumId="69">
    <w:nsid w:val="5DC79EA8"/>
    <w:multiLevelType w:val="hybridMultilevel"/>
    <w:lvl w:ilvl="0">
      <w:lvlJc w:val="left"/>
      <w:lvlText w:val="%1."/>
      <w:numFmt w:val="decimal"/>
      <w:start w:val="1"/>
    </w:lvl>
  </w:abstractNum>
  <w:abstractNum w:abstractNumId="70">
    <w:nsid w:val="540A471C"/>
    <w:multiLevelType w:val="hybridMultilevel"/>
    <w:lvl w:ilvl="0">
      <w:lvlJc w:val="left"/>
      <w:lvlText w:val="%1)"/>
      <w:numFmt w:val="lowerLetter"/>
      <w:start w:val="1"/>
    </w:lvl>
  </w:abstractNum>
  <w:abstractNum w:abstractNumId="71">
    <w:nsid w:val="7BD3EE7B"/>
    <w:multiLevelType w:val="hybridMultilevel"/>
    <w:lvl w:ilvl="0">
      <w:lvlJc w:val="left"/>
      <w:lvlText w:val="%1."/>
      <w:numFmt w:val="decimal"/>
      <w:start w:val="5"/>
    </w:lvl>
  </w:abstractNum>
  <w:abstractNum w:abstractNumId="72">
    <w:nsid w:val="51D9C564"/>
    <w:multiLevelType w:val="hybridMultilevel"/>
    <w:lvl w:ilvl="0">
      <w:lvlJc w:val="left"/>
      <w:lvlText w:val="%1)"/>
      <w:numFmt w:val="lowerLetter"/>
      <w:start w:val="1"/>
    </w:lvl>
  </w:abstractNum>
  <w:abstractNum w:abstractNumId="73">
    <w:nsid w:val="613EFDC5"/>
    <w:multiLevelType w:val="hybridMultilevel"/>
    <w:lvl w:ilvl="0">
      <w:lvlJc w:val="left"/>
      <w:lvlText w:val="%1."/>
      <w:numFmt w:val="decimal"/>
      <w:start w:val="1"/>
    </w:lvl>
  </w:abstractNum>
  <w:abstractNum w:abstractNumId="74">
    <w:nsid w:val="BF72B14"/>
    <w:multiLevelType w:val="hybridMultilevel"/>
    <w:lvl w:ilvl="0">
      <w:lvlJc w:val="left"/>
      <w:lvlText w:val="%1)"/>
      <w:numFmt w:val="lowerLetter"/>
      <w:start w:val="1"/>
    </w:lvl>
  </w:abstractNum>
  <w:abstractNum w:abstractNumId="75">
    <w:nsid w:val="11447B73"/>
    <w:multiLevelType w:val="hybridMultilevel"/>
    <w:lvl w:ilvl="0">
      <w:lvlJc w:val="left"/>
      <w:lvlText w:val="%1."/>
      <w:numFmt w:val="decimal"/>
      <w:start w:val="5"/>
    </w:lvl>
  </w:abstractNum>
  <w:abstractNum w:abstractNumId="76">
    <w:nsid w:val="42963E5A"/>
    <w:multiLevelType w:val="hybridMultilevel"/>
    <w:lvl w:ilvl="0">
      <w:lvlJc w:val="left"/>
      <w:lvlText w:val="%1)"/>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2019-12-10T20:15:16Z</dcterms:created>
  <dcterms:modified xsi:type="dcterms:W3CDTF">2019-12-10T20:15:16Z</dcterms:modified>
</cp:coreProperties>
</file>