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915.xml.htm"/>
      <w:bookmarkStart w:id="1" w:name="kswkform4_17896769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Vroman Ken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Transformation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21,443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21,123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20,814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20,540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20,232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under the CME Group Omnibus Stock Plan, vesting in four equal annual installments,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surrendered to the Issuer to satisfy tax withholding obligations in connection with the vesting of restricted stock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Kendal Vroman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5-poaxvroman.htm"/>
      <w:bookmarkStart w:id="3" w:name="ksa202605poaxvroman"/>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EDGAR Administration and Executing Forms 3, 4 and 5 Pursuant to Section 16(a) of the Securities Exchange Act Know all by these presents, that the undersigned hereby constitutes and appoints each of Margaret Austin Wright and Elizabeth Hensen and any duly appointed Corporate Secretary of CME Group,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 2.​ 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5.​ execute for and on behalf of the undersigned Forms 3, 4 and 5 and amendments thereto relating to the Company in accordance with Section 16(a) of the Exchange Act and the rules thereunder, 6.​ do and perform any and all acts for, and on behalf of, the undersigned which may be necessary or desirable to prepare, complete and execute any such Form 3, 4 and 5, and any amendments thereto, and timely file such form with the SEC and any other authority as considered necessary or advisable under Section 16(a) of the Exchange Act and the rules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 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each such attorney-in-fact is serving in such capacity at the request of the undersigned. This Power of Attorney does not relieve the undersigned from responsibility for compliance with the undersigned’s obligations under the Exchange Act, including, without limitation, the reporting requirements under Section 16 of the Exchange Act.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6th day of May 2026. ​ By: /s/ Ken Vroman​ Name: Ken Vroman​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9863"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757</Words>
  <Characters>4087</Characters>
  <CharactersWithSpaces>9584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a202605-poaxvroman</dc:title>
</cp:coreProperties>
</file>