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OR -</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080" w:space="700"/>
            <w:col w:w="46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001-31553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74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7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90"/>
              </w:rPr>
              <w:t>Identification Number)</w:t>
            </w:r>
          </w:p>
        </w:tc>
      </w:tr>
      <w:tr>
        <w:trPr>
          <w:trHeight w:val="420"/>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74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80" w:type="dxa"/>
            <w:vAlign w:val="bottom"/>
          </w:tcPr>
          <w:p>
            <w:pPr>
              <w:jc w:val="right"/>
              <w:ind w:right="1284"/>
              <w:spacing w:after="0"/>
              <w:rPr>
                <w:sz w:val="20"/>
                <w:szCs w:val="20"/>
                <w:color w:val="auto"/>
              </w:rPr>
            </w:pPr>
            <w:r>
              <w:rPr>
                <w:rFonts w:ascii="Arial" w:cs="Arial" w:eastAsia="Arial" w:hAnsi="Arial"/>
                <w:sz w:val="18"/>
                <w:szCs w:val="18"/>
                <w:b w:val="1"/>
                <w:bCs w:val="1"/>
                <w:color w:val="auto"/>
              </w:rPr>
              <w:t>(312) 930-1000</w:t>
            </w:r>
          </w:p>
        </w:tc>
        <w:tc>
          <w:tcPr>
            <w:tcW w:w="1740" w:type="dxa"/>
            <w:vAlign w:val="bottom"/>
          </w:tcPr>
          <w:p>
            <w:pPr>
              <w:spacing w:after="0"/>
              <w:rPr>
                <w:sz w:val="24"/>
                <w:szCs w:val="24"/>
                <w:color w:val="auto"/>
              </w:rPr>
            </w:pPr>
          </w:p>
        </w:tc>
      </w:tr>
      <w:tr>
        <w:trPr>
          <w:trHeight w:val="174"/>
        </w:trPr>
        <w:tc>
          <w:tcPr>
            <w:tcW w:w="628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740" w:type="dxa"/>
            <w:vAlign w:val="bottom"/>
          </w:tcPr>
          <w:p>
            <w:pPr>
              <w:spacing w:after="0"/>
              <w:rPr>
                <w:sz w:val="15"/>
                <w:szCs w:val="15"/>
                <w:color w:val="auto"/>
              </w:rPr>
            </w:pP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ind w:right="36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October 19, 2011 was as follows: 66,387,960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300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40" w:type="dxa"/>
            <w:vAlign w:val="bottom"/>
            <w:gridSpan w:val="9"/>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160" w:type="dxa"/>
            <w:vAlign w:val="bottom"/>
            <w:gridSpan w:val="1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Balance Sheets at September 30, 2011 and December 31,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Income for the Quarters and Nine Months Ended September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56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Shareholders’ Equity for the Nine Months Ended September 30, 2011 and 2010</w:t>
              </w:r>
            </w:hyperlink>
          </w:p>
        </w:tc>
        <w:tc>
          <w:tcPr>
            <w:tcW w:w="2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80" w:type="dxa"/>
            <w:vAlign w:val="bottom"/>
          </w:tcPr>
          <w:p>
            <w:pPr>
              <w:spacing w:after="0"/>
              <w:rPr>
                <w:sz w:val="24"/>
                <w:szCs w:val="24"/>
                <w:color w:val="auto"/>
              </w:rPr>
            </w:pPr>
          </w:p>
        </w:tc>
        <w:tc>
          <w:tcPr>
            <w:tcW w:w="69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Consolidated Statements of Cash Flows for the Nine Months Ended September 30, 2011 and 2010</w:t>
              </w:r>
            </w:hyperlink>
          </w:p>
        </w:tc>
        <w:tc>
          <w:tcPr>
            <w:tcW w:w="32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8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Unaudited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60" w:type="dxa"/>
            <w:vAlign w:val="bottom"/>
            <w:tcBorders>
              <w:bottom w:val="single" w:sz="8" w:color="0000EE"/>
            </w:tcBorders>
            <w:gridSpan w:val="13"/>
          </w:tcPr>
          <w:p>
            <w:pPr>
              <w:spacing w:after="0"/>
              <w:rPr>
                <w:rFonts w:ascii="Arial" w:cs="Arial" w:eastAsia="Arial" w:hAnsi="Arial"/>
                <w:sz w:val="18"/>
                <w:szCs w:val="18"/>
                <w:b w:val="1"/>
                <w:bCs w:val="1"/>
                <w:color w:val="0000EE"/>
                <w:w w:val="86"/>
              </w:rPr>
            </w:pPr>
            <w:hyperlink w:anchor="page20">
              <w:r>
                <w:rPr>
                  <w:rFonts w:ascii="Arial" w:cs="Arial" w:eastAsia="Arial" w:hAnsi="Arial"/>
                  <w:sz w:val="18"/>
                  <w:szCs w:val="18"/>
                  <w:b w:val="1"/>
                  <w:bCs w:val="1"/>
                  <w:color w:val="0000EE"/>
                  <w:w w:val="86"/>
                </w:rPr>
                <w:t>Management’s Discussion and Analysis of Financial Condition and Results of Operations</w:t>
              </w:r>
            </w:hyperlink>
          </w:p>
        </w:tc>
        <w:tc>
          <w:tcPr>
            <w:tcW w:w="35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160" w:type="dxa"/>
            <w:vAlign w:val="bottom"/>
            <w:gridSpan w:val="1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6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5"/>
              </w:rPr>
            </w:pPr>
            <w:hyperlink w:anchor="page29">
              <w:r>
                <w:rPr>
                  <w:rFonts w:ascii="Arial" w:cs="Arial" w:eastAsia="Arial" w:hAnsi="Arial"/>
                  <w:sz w:val="18"/>
                  <w:szCs w:val="18"/>
                  <w:b w:val="1"/>
                  <w:bCs w:val="1"/>
                  <w:color w:val="0000EE"/>
                  <w:w w:val="85"/>
                </w:rPr>
                <w:t>Controls and Procedures</w:t>
              </w:r>
            </w:hyperlink>
          </w:p>
        </w:tc>
        <w:tc>
          <w:tcPr>
            <w:tcW w:w="2640" w:type="dxa"/>
            <w:vAlign w:val="bottom"/>
            <w:tcBorders>
              <w:top w:val="single" w:sz="8" w:color="0000EE"/>
            </w:tcBorders>
            <w:gridSpan w:val="4"/>
          </w:tcPr>
          <w:p>
            <w:pPr>
              <w:spacing w:after="0"/>
              <w:rPr>
                <w:sz w:val="24"/>
                <w:szCs w:val="24"/>
                <w:color w:val="auto"/>
              </w:rPr>
            </w:pPr>
          </w:p>
        </w:tc>
        <w:tc>
          <w:tcPr>
            <w:tcW w:w="56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104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3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3"/>
              </w:rPr>
            </w:pPr>
            <w:hyperlink w:anchor="page30">
              <w:r>
                <w:rPr>
                  <w:rFonts w:ascii="Arial" w:cs="Arial" w:eastAsia="Arial" w:hAnsi="Arial"/>
                  <w:sz w:val="18"/>
                  <w:szCs w:val="18"/>
                  <w:b w:val="1"/>
                  <w:bCs w:val="1"/>
                  <w:color w:val="0000EE"/>
                  <w:w w:val="83"/>
                </w:rPr>
                <w:t>Legal Proceedings</w:t>
              </w:r>
            </w:hyperlink>
          </w:p>
        </w:tc>
        <w:tc>
          <w:tcPr>
            <w:tcW w:w="460" w:type="dxa"/>
            <w:vAlign w:val="bottom"/>
            <w:tcBorders>
              <w:top w:val="single" w:sz="8" w:color="0000EE"/>
            </w:tcBorders>
            <w:gridSpan w:val="2"/>
          </w:tcPr>
          <w:p>
            <w:pPr>
              <w:spacing w:after="0"/>
              <w:rPr>
                <w:sz w:val="24"/>
                <w:szCs w:val="24"/>
                <w:color w:val="auto"/>
              </w:rPr>
            </w:pPr>
          </w:p>
        </w:tc>
        <w:tc>
          <w:tcPr>
            <w:tcW w:w="83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160" w:type="dxa"/>
            <w:vAlign w:val="bottom"/>
            <w:gridSpan w:val="1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160" w:type="dxa"/>
            <w:vAlign w:val="bottom"/>
            <w:gridSpan w:val="1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2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5"/>
              </w:rPr>
            </w:pPr>
            <w:hyperlink w:anchor="page32">
              <w:r>
                <w:rPr>
                  <w:rFonts w:ascii="Arial" w:cs="Arial" w:eastAsia="Arial" w:hAnsi="Arial"/>
                  <w:sz w:val="18"/>
                  <w:szCs w:val="18"/>
                  <w:b w:val="1"/>
                  <w:bCs w:val="1"/>
                  <w:color w:val="0000EE"/>
                  <w:w w:val="85"/>
                </w:rPr>
                <w:t>Exhibits</w:t>
              </w:r>
            </w:hyperlink>
          </w:p>
        </w:tc>
        <w:tc>
          <w:tcPr>
            <w:tcW w:w="3820" w:type="dxa"/>
            <w:vAlign w:val="bottom"/>
            <w:tcBorders>
              <w:top w:val="single" w:sz="8" w:color="0000EE"/>
            </w:tcBorders>
            <w:gridSpan w:val="8"/>
          </w:tcPr>
          <w:p>
            <w:pPr>
              <w:spacing w:after="0"/>
              <w:rPr>
                <w:sz w:val="24"/>
                <w:szCs w:val="24"/>
                <w:color w:val="auto"/>
              </w:rPr>
            </w:pPr>
          </w:p>
        </w:tc>
        <w:tc>
          <w:tcPr>
            <w:tcW w:w="57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SIGNATURES</w:t>
              </w:r>
            </w:hyperlink>
          </w:p>
        </w:tc>
        <w:tc>
          <w:tcPr>
            <w:tcW w:w="99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Unless otherwise indicated, references to CME Group Inc. (CME Group) products include references to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Trading Volume and Average Rate per Contract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Disclosed amounts of trading volume and average rate per contract exclude our TRAKRS, credit default swaps and interest rate swaps.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Dow Jones and Dow Jones Indexes are service marks of Dow Jones Trademark Holdings, LLC, and have been licensed to CME Index Services LLC. All other trademarks are the property of their respective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w:t>
      </w:r>
    </w:p>
    <w:p>
      <w:pPr>
        <w:spacing w:after="0" w:line="50" w:lineRule="exact"/>
        <w:rPr>
          <w:rFonts w:ascii="Arial" w:cs="Arial" w:eastAsia="Arial" w:hAnsi="Arial"/>
          <w:sz w:val="18"/>
          <w:szCs w:val="18"/>
          <w:color w:val="auto"/>
        </w:rPr>
      </w:pPr>
    </w:p>
    <w:p>
      <w:pPr>
        <w:jc w:val="both"/>
        <w:ind w:left="900" w:right="1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revenues from our processing services;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non-U.S. regulations;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and changes as a result of legislation stemming from the implementation of the Dodd-Frank Act;</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spacing w:after="0" w:line="50" w:lineRule="exact"/>
        <w:rPr>
          <w:rFonts w:ascii="Arial" w:cs="Arial" w:eastAsia="Arial" w:hAnsi="Arial"/>
          <w:sz w:val="18"/>
          <w:szCs w:val="18"/>
          <w:color w:val="auto"/>
        </w:rPr>
      </w:pPr>
    </w:p>
    <w:p>
      <w:pPr>
        <w:ind w:left="900" w:right="260" w:hanging="325"/>
        <w:spacing w:after="0" w:line="35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4" w:lineRule="exact"/>
        <w:rPr>
          <w:rFonts w:ascii="Arial" w:cs="Arial" w:eastAsia="Arial" w:hAnsi="Arial"/>
          <w:sz w:val="16"/>
          <w:szCs w:val="16"/>
          <w:color w:val="auto"/>
        </w:rPr>
      </w:pPr>
    </w:p>
    <w:p>
      <w:pPr>
        <w:ind w:left="900" w:right="7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price levels and volatility in the derivatives markets and in underlying fixed income, equity, foreign exchange, interest rate and commodities markets;</w:t>
      </w:r>
    </w:p>
    <w:p>
      <w:pPr>
        <w:spacing w:after="0" w:line="50"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and market conditions, including the volatility of the capital and credit markets and the impact of economic conditions on the trading activity of our current and potential customers stemming from the financial crisis that began in 2008 and any other future crises;</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trading and clearing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2011 and Item 1A of this Report.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0" w:type="dxa"/>
            <w:vAlign w:val="bottom"/>
          </w:tcPr>
          <w:p>
            <w:pPr>
              <w:jc w:val="center"/>
              <w:ind w:left="1232"/>
              <w:spacing w:after="0"/>
              <w:rPr>
                <w:sz w:val="20"/>
                <w:szCs w:val="20"/>
                <w:color w:val="auto"/>
              </w:rPr>
            </w:pPr>
            <w:r>
              <w:rPr>
                <w:rFonts w:ascii="Arial" w:cs="Arial" w:eastAsia="Arial" w:hAnsi="Arial"/>
                <w:sz w:val="18"/>
                <w:szCs w:val="18"/>
                <w:b w:val="1"/>
                <w:bCs w:val="1"/>
                <w:color w:val="auto"/>
                <w:w w:val="97"/>
              </w:rPr>
              <w:t>CME GROUP INC. AND SUBSIDIARIES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0" w:type="dxa"/>
            <w:vAlign w:val="bottom"/>
          </w:tcPr>
          <w:p>
            <w:pPr>
              <w:jc w:val="center"/>
              <w:ind w:left="123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0" w:type="dxa"/>
            <w:vAlign w:val="bottom"/>
          </w:tcPr>
          <w:p>
            <w:pPr>
              <w:jc w:val="center"/>
              <w:ind w:left="1212"/>
              <w:spacing w:after="0"/>
              <w:rPr>
                <w:sz w:val="20"/>
                <w:szCs w:val="20"/>
                <w:color w:val="auto"/>
              </w:rPr>
            </w:pPr>
            <w:r>
              <w:rPr>
                <w:rFonts w:ascii="Arial" w:cs="Arial" w:eastAsia="Arial" w:hAnsi="Arial"/>
                <w:sz w:val="18"/>
                <w:szCs w:val="18"/>
                <w:color w:val="auto"/>
                <w:w w:val="87"/>
              </w:rPr>
              <w:t>(dollars in millions, except per share data; shares in thousands)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0" w:type="dxa"/>
            <w:vAlign w:val="bottom"/>
          </w:tcPr>
          <w:p>
            <w:pPr>
              <w:jc w:val="center"/>
              <w:ind w:left="1212"/>
              <w:spacing w:after="0"/>
              <w:rPr>
                <w:sz w:val="20"/>
                <w:szCs w:val="20"/>
                <w:color w:val="auto"/>
              </w:rPr>
            </w:pPr>
            <w:r>
              <w:rPr>
                <w:rFonts w:ascii="Arial" w:cs="Arial" w:eastAsia="Arial" w:hAnsi="Arial"/>
                <w:sz w:val="18"/>
                <w:szCs w:val="18"/>
                <w:color w:val="auto"/>
                <w:w w:val="90"/>
              </w:rPr>
              <w:t>(unaudited)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of $2.2 and $1.6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Other current assets (includes $40.0 and $0 in restricted cash)</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performance bonds and guaranty fund contributions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7,677.5</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9,091.3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5,387.5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net of accumulated depreciation and amortization of $565.4 and $512.9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Intangible assets – trading products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17,040.5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17,040.5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other,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Goodwill</w:t>
            </w:r>
          </w:p>
        </w:tc>
        <w:tc>
          <w:tcPr>
            <w:tcW w:w="8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7,984.4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(includes $20.5 and $0 in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87"/>
              </w:rPr>
              <w:t>Total Assets</w:t>
            </w:r>
          </w:p>
        </w:tc>
        <w:tc>
          <w:tcPr>
            <w:tcW w:w="8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38,887.6</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35,046.1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guaranty fund contributions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7,677.5</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2,106.3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17,953.8</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14,917.9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160" w:type="dxa"/>
            <w:vAlign w:val="bottom"/>
            <w:gridSpan w:val="3"/>
          </w:tcPr>
          <w:p>
            <w:pPr>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69.5</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Series A junior participating preferred stock, $0.01 par value, 140 shares authorized, none issued or outstanding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Class A common stock, $0.01 par value, 1,000,000 shares authorized, 66,119 and 66,847 shares issued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640"/>
              <w:spacing w:after="0"/>
              <w:rPr>
                <w:sz w:val="20"/>
                <w:szCs w:val="20"/>
                <w:color w:val="auto"/>
              </w:rPr>
            </w:pPr>
            <w:r>
              <w:rPr>
                <w:rFonts w:ascii="Arial" w:cs="Arial" w:eastAsia="Arial" w:hAnsi="Arial"/>
                <w:sz w:val="18"/>
                <w:szCs w:val="18"/>
                <w:color w:val="auto"/>
              </w:rPr>
              <w:t>outstanding as of September 30, 2011 and December 31, 2010, respectively</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17,100.1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17,277.7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20,864.3</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20,060.1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38,887.6</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35,046.1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Clearing and 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732.7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598.7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2,111.8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Market data and information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Access and communication fees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733.4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2,544.1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2,240.5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Technology support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Occupancy and building operations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1,630.7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1,372.7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Investment income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derivative investments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and other borrowing costs</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unconsolidated subsidiaries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Non-Operating</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Less: net income (loss) attributable to redeemable non-controlling interest</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CME Group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66,458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66,556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66,690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66,125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66,667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66,744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66,901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66,320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Class A</w:t>
            </w: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Class B</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 and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Common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Paid-in</w:t>
            </w:r>
          </w:p>
        </w:tc>
        <w:tc>
          <w:tcPr>
            <w:tcW w:w="1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Retained</w:t>
            </w: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66,847</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$17,278.4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$2,885.8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Comprehensive income attributable to CME Group:</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CME Group</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Change in net unrealized gain on securities, net of tax $9.1</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Change in net actuarial loss on defined benefit plans, net of tax</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$0.8</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Net change in derivative instruments, net of tax of $0.3</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$12.8</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8"/>
                <w:szCs w:val="18"/>
                <w:color w:val="auto"/>
              </w:rPr>
              <w:t>Total comprehensive income attributable to CME Group</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common stock of $4.20 per share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(280.6)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(810)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(220.4)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3"/>
              </w:rPr>
              <w:t>Excess tax benefits from option exercises and restricted stock vesting</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66,119</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3,671.6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20,864.3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60"/>
        <w:spacing w:after="0" w:line="261"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except per share data; shares in thousands) (unaudited)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Class A</w:t>
            </w: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Class B</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 and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Common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Paid-in</w:t>
            </w:r>
          </w:p>
        </w:tc>
        <w:tc>
          <w:tcPr>
            <w:tcW w:w="1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Retained</w:t>
            </w: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5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66,511</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$17,187.3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$2,239.9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Comprehensive income attributable to CME Group:</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CME Group</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Change in net unrealized gain on securities, net of tax $0.9</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8"/>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Change in net actuarial loss on defined benefit plans, net of tax</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of $1.0</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Net change in derivative instruments, net of tax of $2.7</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8"/>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8"/>
                <w:szCs w:val="18"/>
                <w:color w:val="auto"/>
              </w:rPr>
              <w:t>Total comprehensive income attributable to CME Group</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common stock of $3.45 per share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(228.3)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Class A common stock issued to BM&amp;FBOVESPA</w:t>
            </w:r>
          </w:p>
        </w:tc>
        <w:tc>
          <w:tcPr>
            <w:tcW w:w="540" w:type="dxa"/>
            <w:vAlign w:val="bottom"/>
          </w:tcPr>
          <w:p>
            <w:pPr>
              <w:jc w:val="right"/>
              <w:spacing w:after="0"/>
              <w:rPr>
                <w:sz w:val="20"/>
                <w:szCs w:val="20"/>
                <w:color w:val="auto"/>
              </w:rPr>
            </w:pPr>
            <w:r>
              <w:rPr>
                <w:rFonts w:ascii="Arial" w:cs="Arial" w:eastAsia="Arial" w:hAnsi="Arial"/>
                <w:sz w:val="18"/>
                <w:szCs w:val="18"/>
                <w:color w:val="auto"/>
              </w:rPr>
              <w:t>2,206</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607.1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3"/>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Balance at September 30, 2010</w:t>
            </w: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20" w:type="dxa"/>
            <w:vAlign w:val="bottom"/>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66,793</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$17,258.8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$2,766.8</w:t>
            </w:r>
          </w:p>
        </w:tc>
        <w:tc>
          <w:tcPr>
            <w:tcW w:w="380" w:type="dxa"/>
            <w:vAlign w:val="bottom"/>
          </w:tcPr>
          <w:p>
            <w:pPr>
              <w:spacing w:after="0"/>
              <w:rPr>
                <w:sz w:val="20"/>
                <w:szCs w:val="20"/>
                <w:color w:val="auto"/>
              </w:rPr>
            </w:pPr>
          </w:p>
        </w:tc>
        <w:tc>
          <w:tcPr>
            <w:tcW w:w="180" w:type="dxa"/>
            <w:vAlign w:val="bottom"/>
          </w:tcPr>
          <w:p>
            <w:pPr>
              <w:jc w:val="right"/>
              <w:ind w:right="4"/>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(124.8)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19,900.8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9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$1,067.7</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purchased intangibles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Market Analysis Limited impairment</w:t>
            </w:r>
          </w:p>
        </w:tc>
        <w:tc>
          <w:tcPr>
            <w:tcW w:w="1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Amortization of debt financing costs, net of discount accretion on debt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Index Services assets</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subsidiaries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Change in assets and liabilities:</w:t>
            </w:r>
          </w:p>
        </w:tc>
        <w:tc>
          <w:tcPr>
            <w:tcW w:w="1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760" w:type="dxa"/>
            <w:vAlign w:val="bottom"/>
            <w:gridSpan w:val="3"/>
          </w:tcPr>
          <w:p>
            <w:pPr>
              <w:jc w:val="right"/>
              <w:ind w:right="120"/>
              <w:spacing w:after="0"/>
              <w:rPr>
                <w:sz w:val="20"/>
                <w:szCs w:val="20"/>
                <w:color w:val="auto"/>
              </w:rPr>
            </w:pPr>
            <w:r>
              <w:rPr>
                <w:rFonts w:ascii="Arial" w:cs="Arial" w:eastAsia="Arial" w:hAnsi="Arial"/>
                <w:sz w:val="18"/>
                <w:szCs w:val="18"/>
                <w:color w:val="auto"/>
              </w:rPr>
              <w:t>(15.1)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760" w:type="dxa"/>
            <w:vAlign w:val="bottom"/>
            <w:gridSpan w:val="3"/>
          </w:tcPr>
          <w:p>
            <w:pPr>
              <w:jc w:val="right"/>
              <w:ind w:right="120"/>
              <w:spacing w:after="0"/>
              <w:rPr>
                <w:sz w:val="20"/>
                <w:szCs w:val="20"/>
                <w:color w:val="auto"/>
              </w:rPr>
            </w:pPr>
            <w:r>
              <w:rPr>
                <w:rFonts w:ascii="Arial" w:cs="Arial" w:eastAsia="Arial" w:hAnsi="Arial"/>
                <w:sz w:val="18"/>
                <w:szCs w:val="18"/>
                <w:color w:val="auto"/>
              </w:rPr>
              <w:t>(11.3)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760" w:type="dxa"/>
            <w:vAlign w:val="bottom"/>
            <w:gridSpan w:val="3"/>
          </w:tcPr>
          <w:p>
            <w:pPr>
              <w:jc w:val="right"/>
              <w:ind w:right="120"/>
              <w:spacing w:after="0"/>
              <w:rPr>
                <w:sz w:val="20"/>
                <w:szCs w:val="20"/>
                <w:color w:val="auto"/>
              </w:rPr>
            </w:pPr>
            <w:r>
              <w:rPr>
                <w:rFonts w:ascii="Arial" w:cs="Arial" w:eastAsia="Arial" w:hAnsi="Arial"/>
                <w:sz w:val="18"/>
                <w:szCs w:val="18"/>
                <w:color w:val="auto"/>
              </w:rPr>
              <w:t>(55.5)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329"/>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Purchases of available-for-sale marketable securities</w:t>
            </w:r>
          </w:p>
        </w:tc>
        <w:tc>
          <w:tcPr>
            <w:tcW w:w="2760" w:type="dxa"/>
            <w:vAlign w:val="bottom"/>
            <w:gridSpan w:val="3"/>
          </w:tcPr>
          <w:p>
            <w:pPr>
              <w:jc w:val="right"/>
              <w:ind w:right="120"/>
              <w:spacing w:after="0"/>
              <w:rPr>
                <w:sz w:val="20"/>
                <w:szCs w:val="20"/>
                <w:color w:val="auto"/>
              </w:rPr>
            </w:pPr>
            <w:r>
              <w:rPr>
                <w:rFonts w:ascii="Arial" w:cs="Arial" w:eastAsia="Arial" w:hAnsi="Arial"/>
                <w:sz w:val="18"/>
                <w:szCs w:val="18"/>
                <w:color w:val="auto"/>
              </w:rPr>
              <w:t>(5.1)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net</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acquired upon formation of Index Services</w:t>
            </w:r>
          </w:p>
        </w:tc>
        <w:tc>
          <w:tcPr>
            <w:tcW w:w="19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Index Services assets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Proceeds from Chicago Board Options Exchange exercise right privileges</w:t>
            </w:r>
          </w:p>
        </w:tc>
        <w:tc>
          <w:tcPr>
            <w:tcW w:w="19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Purchase of Bolsa Mexicana de Valores, S.A.B. de C.V. shares</w:t>
            </w:r>
          </w:p>
        </w:tc>
        <w:tc>
          <w:tcPr>
            <w:tcW w:w="1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329"/>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(repayments of) commercial paper, net</w:t>
            </w:r>
          </w:p>
        </w:tc>
        <w:tc>
          <w:tcPr>
            <w:tcW w:w="1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Proceeds from other borrowings, net of issuance costs</w:t>
            </w:r>
          </w:p>
        </w:tc>
        <w:tc>
          <w:tcPr>
            <w:tcW w:w="19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Repayment of other borrowings</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dividends</w:t>
            </w:r>
          </w:p>
        </w:tc>
        <w:tc>
          <w:tcPr>
            <w:tcW w:w="2760" w:type="dxa"/>
            <w:vAlign w:val="bottom"/>
            <w:gridSpan w:val="3"/>
          </w:tcPr>
          <w:p>
            <w:pPr>
              <w:jc w:val="right"/>
              <w:ind w:right="120"/>
              <w:spacing w:after="0"/>
              <w:rPr>
                <w:sz w:val="20"/>
                <w:szCs w:val="20"/>
                <w:color w:val="auto"/>
              </w:rPr>
            </w:pPr>
            <w:r>
              <w:rPr>
                <w:rFonts w:ascii="Arial" w:cs="Arial" w:eastAsia="Arial" w:hAnsi="Arial"/>
                <w:sz w:val="18"/>
                <w:szCs w:val="18"/>
                <w:color w:val="auto"/>
              </w:rPr>
              <w:t>(280.6)</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issued to BM&amp;FBOVESPA</w:t>
            </w:r>
          </w:p>
        </w:tc>
        <w:tc>
          <w:tcPr>
            <w:tcW w:w="1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Repurchase of Class A common stock, including costs</w:t>
            </w:r>
          </w:p>
        </w:tc>
        <w:tc>
          <w:tcPr>
            <w:tcW w:w="2760" w:type="dxa"/>
            <w:vAlign w:val="bottom"/>
            <w:gridSpan w:val="3"/>
          </w:tcPr>
          <w:p>
            <w:pPr>
              <w:jc w:val="right"/>
              <w:ind w:right="120"/>
              <w:spacing w:after="0"/>
              <w:rPr>
                <w:sz w:val="20"/>
                <w:szCs w:val="20"/>
                <w:color w:val="auto"/>
              </w:rPr>
            </w:pPr>
            <w:r>
              <w:rPr>
                <w:rFonts w:ascii="Arial" w:cs="Arial" w:eastAsia="Arial" w:hAnsi="Arial"/>
                <w:sz w:val="18"/>
                <w:szCs w:val="18"/>
                <w:color w:val="auto"/>
              </w:rPr>
              <w:t>(220.4)</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Distribution paid to non-controlling interest</w:t>
            </w:r>
          </w:p>
        </w:tc>
        <w:tc>
          <w:tcPr>
            <w:tcW w:w="19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6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9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9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(914.7)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9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$ 829.3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$ 568.2</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00" w:type="dxa"/>
            <w:vAlign w:val="bottom"/>
            <w:gridSpan w:val="2"/>
            <w:vMerge w:val="continue"/>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3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$ 612.1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paid</w:t>
            </w:r>
          </w:p>
        </w:tc>
        <w:tc>
          <w:tcPr>
            <w:tcW w:w="3760" w:type="dxa"/>
            <w:vAlign w:val="bottom"/>
            <w:gridSpan w:val="3"/>
          </w:tcPr>
          <w:p>
            <w:pPr>
              <w:jc w:val="right"/>
              <w:ind w:right="240"/>
              <w:spacing w:after="0"/>
              <w:rPr>
                <w:sz w:val="20"/>
                <w:szCs w:val="20"/>
                <w:color w:val="auto"/>
              </w:rPr>
            </w:pPr>
            <w:r>
              <w:rPr>
                <w:rFonts w:ascii="Arial" w:cs="Arial" w:eastAsia="Arial" w:hAnsi="Arial"/>
                <w:sz w:val="18"/>
                <w:szCs w:val="18"/>
                <w:color w:val="auto"/>
              </w:rPr>
              <w:t>111.9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Change in net unrealized securities gains</w:t>
            </w:r>
          </w:p>
        </w:tc>
        <w:tc>
          <w:tcPr>
            <w:tcW w:w="3760" w:type="dxa"/>
            <w:vAlign w:val="bottom"/>
            <w:gridSpan w:val="3"/>
          </w:tcPr>
          <w:p>
            <w:pPr>
              <w:jc w:val="right"/>
              <w:ind w:right="240"/>
              <w:spacing w:after="0"/>
              <w:rPr>
                <w:sz w:val="20"/>
                <w:szCs w:val="20"/>
                <w:color w:val="auto"/>
              </w:rPr>
            </w:pPr>
            <w:r>
              <w:rPr>
                <w:rFonts w:ascii="Arial" w:cs="Arial" w:eastAsia="Arial" w:hAnsi="Arial"/>
                <w:sz w:val="18"/>
                <w:szCs w:val="18"/>
                <w:color w:val="auto"/>
              </w:rPr>
              <w:t>122.6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derivatives gains</w:t>
            </w:r>
          </w:p>
        </w:tc>
        <w:tc>
          <w:tcPr>
            <w:tcW w:w="3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the Board of Trade of the City of Chicago, Inc. (CBOT), New York Mercantile Exchange, Inc. (NYMEX) and their respective subsidiaries (collectively, the exchange). On March 18, 2010, CBOT acquired a 90% ownership interest in CME Group Index Holdings LLC (Index Services), a venture with Dow Jones &amp; Company (Dow Jones). The financial statements and accompanying notes presented in this report include the financial results of Index Services beginning on March 19, 2010.</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2011 and December 31, 2010 and the results of operations and cash flows for the periods indicated. Quarterly results are not necessarily indicative of results for any subsequent period.</w:t>
      </w:r>
    </w:p>
    <w:p>
      <w:pPr>
        <w:spacing w:after="0" w:line="1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accompanying consolidated financial statements should be read in conjunction with the consolidated financial statements and notes thereto in CME Group’s Annual Report on Form 10-K for the year ended December 31, 2010, filed with the Securities and Exchange Commission (SEC) on February 28, 2011. Certain reclassifications have been made to the 2010 financial statements to conform to the presentation in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 and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2011 and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8"/>
              </w:rPr>
              <w:t>September 30, 2011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2010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64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4"/>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20" w:type="dxa"/>
            <w:vAlign w:val="bottom"/>
            <w:gridSpan w:val="3"/>
            <w:vMerge w:val="continue"/>
          </w:tcPr>
          <w:p>
            <w:pPr>
              <w:spacing w:after="0"/>
              <w:rPr>
                <w:sz w:val="12"/>
                <w:szCs w:val="12"/>
                <w:color w:val="auto"/>
              </w:rPr>
            </w:pPr>
          </w:p>
        </w:tc>
        <w:tc>
          <w:tcPr>
            <w:tcW w:w="7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10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2"/>
                <w:szCs w:val="12"/>
                <w:color w:val="auto"/>
              </w:rPr>
            </w:pPr>
          </w:p>
        </w:tc>
        <w:tc>
          <w:tcPr>
            <w:tcW w:w="94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Value</w:t>
            </w:r>
          </w:p>
        </w:tc>
        <w:tc>
          <w:tcPr>
            <w:tcW w:w="7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1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Amortizable Intangible Assets: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 xml:space="preserve">Clearing firm, market data and other customer relationships </w:t>
            </w:r>
            <w:r>
              <w:rPr>
                <w:rFonts w:ascii="Arial" w:cs="Arial" w:eastAsia="Arial" w:hAnsi="Arial"/>
                <w:sz w:val="11"/>
                <w:szCs w:val="11"/>
                <w:color w:val="auto"/>
              </w:rPr>
              <w:t>(1)</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$3,071.9</w:t>
            </w:r>
          </w:p>
        </w:tc>
        <w:tc>
          <w:tcPr>
            <w:tcW w:w="12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(373.3)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2,698.6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$3,081.0</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(292.3)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Technology-related intellectual property</w:t>
            </w:r>
          </w:p>
        </w:tc>
        <w:tc>
          <w:tcPr>
            <w:tcW w:w="62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30.5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1"/>
                <w:szCs w:val="11"/>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3,222.9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2,771.3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3,230.6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(355.4)</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2,875.2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color w:val="auto"/>
              </w:rPr>
              <w:t>Total amortizable intangible assets</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gridSpan w:val="3"/>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3,214.5</w:t>
            </w:r>
          </w:p>
        </w:tc>
        <w:tc>
          <w:tcPr>
            <w:tcW w:w="120" w:type="dxa"/>
            <w:vAlign w:val="bottom"/>
          </w:tcPr>
          <w:p>
            <w:pPr>
              <w:spacing w:after="0"/>
              <w:rPr>
                <w:sz w:val="19"/>
                <w:szCs w:val="19"/>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2,768.2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3,221.9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(351.1)</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578.0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Total intangible assets – other, net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3,345.8</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Trading products </w:t>
            </w:r>
            <w:r>
              <w:rPr>
                <w:rFonts w:ascii="Arial" w:cs="Arial" w:eastAsia="Arial" w:hAnsi="Arial"/>
                <w:sz w:val="11"/>
                <w:szCs w:val="11"/>
                <w:color w:val="auto"/>
              </w:rPr>
              <w:t>(3)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17,040.5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17,040.5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second quarter of 2011, the company sold its rights in certain Index Services customer relationships for $18.0 million. The net book value of these assets at the time of the sale was $8.2 million.</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September 30, 2011 and December 31, 2010, other amortizable intangible assets consisted of service and market maker agreements and a definite-lived trade name.</w:t>
      </w:r>
    </w:p>
    <w:p>
      <w:pPr>
        <w:spacing w:after="0" w:line="50" w:lineRule="exact"/>
        <w:rPr>
          <w:rFonts w:ascii="Arial" w:cs="Arial" w:eastAsia="Arial" w:hAnsi="Arial"/>
          <w:sz w:val="18"/>
          <w:szCs w:val="18"/>
          <w:color w:val="auto"/>
        </w:rPr>
      </w:pPr>
    </w:p>
    <w:p>
      <w:pPr>
        <w:ind w:left="460" w:right="8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and NYMEX Holdings. Clearing and transaction fees revenues are generated through the trading of these products. These trading products, most of which have traded for decades, require authorization from the Commodity and Futures Trading Commission (CFTC). Product authorizations from the CFTC have no term limits.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amortization expense for intangible assets was $33.0 million and $32.4 million for the quarters ended September 30, 2011 and 2010, respectively. Total amortization expense for intangible assets was $99.2 million and $95.5 million for the first nine months of 2011 and 2010, respectively. As of September 30, 2011, the future estimated amortization expense related to amortizable intangible assets is expected to be as follows. The future estimated amortization expense is subject to change based on changes in foreign exchange rates.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2016</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9380" w:type="dxa"/>
            <w:vAlign w:val="bottom"/>
            <w:gridSpan w:val="16"/>
          </w:tcPr>
          <w:p>
            <w:pPr>
              <w:spacing w:after="0"/>
              <w:rPr>
                <w:sz w:val="20"/>
                <w:szCs w:val="20"/>
                <w:color w:val="auto"/>
              </w:rPr>
            </w:pPr>
            <w:r>
              <w:rPr>
                <w:rFonts w:ascii="Arial" w:cs="Arial" w:eastAsia="Arial" w:hAnsi="Arial"/>
                <w:sz w:val="18"/>
                <w:szCs w:val="18"/>
                <w:color w:val="auto"/>
                <w:w w:val="89"/>
              </w:rPr>
              <w:t>Goodwill activity consisted of the following for the nine months ended September 30, 2011 and the year ended December 31, 2010: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4"/>
                <w:szCs w:val="24"/>
                <w:color w:val="auto"/>
              </w:rPr>
            </w:pPr>
          </w:p>
        </w:tc>
        <w:tc>
          <w:tcPr>
            <w:tcW w:w="920" w:type="dxa"/>
            <w:vAlign w:val="bottom"/>
            <w:gridSpan w:val="4"/>
          </w:tcPr>
          <w:p>
            <w:pPr>
              <w:ind w:left="1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Business</w:t>
            </w:r>
          </w:p>
        </w:tc>
        <w:tc>
          <w:tcPr>
            <w:tcW w:w="240" w:type="dxa"/>
            <w:vAlign w:val="bottom"/>
          </w:tcPr>
          <w:p>
            <w:pPr>
              <w:spacing w:after="0"/>
              <w:rPr>
                <w:sz w:val="12"/>
                <w:szCs w:val="12"/>
                <w:color w:val="auto"/>
              </w:rPr>
            </w:pPr>
          </w:p>
        </w:tc>
        <w:tc>
          <w:tcPr>
            <w:tcW w:w="11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2"/>
                <w:szCs w:val="12"/>
                <w:color w:val="auto"/>
              </w:rPr>
            </w:pPr>
          </w:p>
        </w:tc>
        <w:tc>
          <w:tcPr>
            <w:tcW w:w="8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Activity</w:t>
            </w:r>
          </w:p>
        </w:tc>
        <w:tc>
          <w:tcPr>
            <w:tcW w:w="16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35"/>
        </w:trPr>
        <w:tc>
          <w:tcPr>
            <w:tcW w:w="55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79"/>
              <w:spacing w:after="0" w:line="135"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Combinations</w:t>
            </w:r>
          </w:p>
        </w:tc>
        <w:tc>
          <w:tcPr>
            <w:tcW w:w="240" w:type="dxa"/>
            <w:vAlign w:val="bottom"/>
          </w:tcPr>
          <w:p>
            <w:pPr>
              <w:spacing w:after="0"/>
              <w:rPr>
                <w:sz w:val="11"/>
                <w:szCs w:val="11"/>
                <w:color w:val="auto"/>
              </w:rPr>
            </w:pPr>
          </w:p>
        </w:tc>
        <w:tc>
          <w:tcPr>
            <w:tcW w:w="114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rPr>
              <w:t>Adjustment</w:t>
            </w:r>
          </w:p>
        </w:tc>
        <w:tc>
          <w:tcPr>
            <w:tcW w:w="580" w:type="dxa"/>
            <w:vAlign w:val="bottom"/>
            <w:gridSpan w:val="4"/>
          </w:tcPr>
          <w:p>
            <w:pPr>
              <w:jc w:val="center"/>
              <w:ind w:left="19"/>
              <w:spacing w:after="0"/>
              <w:rPr>
                <w:sz w:val="20"/>
                <w:szCs w:val="20"/>
                <w:color w:val="auto"/>
              </w:rPr>
            </w:pPr>
            <w:r>
              <w:rPr>
                <w:rFonts w:ascii="Arial" w:cs="Arial" w:eastAsia="Arial" w:hAnsi="Arial"/>
                <w:sz w:val="11"/>
                <w:szCs w:val="11"/>
                <w:b w:val="1"/>
                <w:bCs w:val="1"/>
                <w:color w:val="auto"/>
                <w:w w:val="88"/>
              </w:rPr>
              <w:t>(4)</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4"/>
          </w:tcPr>
          <w:p>
            <w:pPr>
              <w:jc w:val="right"/>
              <w:ind w:right="195"/>
              <w:spacing w:after="0" w:line="135"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CBOT Holdings,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5,035.7</w:t>
            </w:r>
          </w:p>
        </w:tc>
        <w:tc>
          <w:tcPr>
            <w:tcW w:w="58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5,035.7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NYMEX Holdings, Inc.</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2,462.3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1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2,462.2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Index Services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7,983.6</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0.</w:t>
            </w:r>
            <w:r>
              <w:rPr>
                <w:rFonts w:ascii="Arial" w:cs="Arial" w:eastAsia="Arial" w:hAnsi="Arial"/>
                <w:sz w:val="18"/>
                <w:szCs w:val="18"/>
                <w:u w:val="single" w:color="auto"/>
                <w:color w:val="auto"/>
                <w:w w:val="87"/>
              </w:rPr>
              <w:t>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7,984.4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4"/>
          </w:tcPr>
          <w:p>
            <w:pPr>
              <w:ind w:left="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2"/>
                <w:szCs w:val="12"/>
                <w:color w:val="auto"/>
              </w:rPr>
            </w:pPr>
          </w:p>
        </w:tc>
        <w:tc>
          <w:tcPr>
            <w:tcW w:w="700" w:type="dxa"/>
            <w:vAlign w:val="bottom"/>
            <w:gridSpan w:val="2"/>
          </w:tcPr>
          <w:p>
            <w:pPr>
              <w:jc w:val="right"/>
              <w:ind w:right="119"/>
              <w:spacing w:after="0" w:line="149" w:lineRule="exact"/>
              <w:rPr>
                <w:sz w:val="20"/>
                <w:szCs w:val="20"/>
                <w:color w:val="auto"/>
              </w:rPr>
            </w:pPr>
            <w:r>
              <w:rPr>
                <w:rFonts w:ascii="Arial" w:cs="Arial" w:eastAsia="Arial" w:hAnsi="Arial"/>
                <w:sz w:val="14"/>
                <w:szCs w:val="14"/>
                <w:b w:val="1"/>
                <w:bCs w:val="1"/>
                <w:color w:val="auto"/>
              </w:rPr>
              <w:t>31,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Business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Activity</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79"/>
              <w:spacing w:after="0" w:line="135"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Combinations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CBOT Holdings, Inc.</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$5,035.7</w:t>
            </w:r>
          </w:p>
        </w:tc>
        <w:tc>
          <w:tcPr>
            <w:tcW w:w="58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w w:val="88"/>
              </w:rPr>
              <w:t>—</w:t>
            </w:r>
          </w:p>
        </w:tc>
        <w:tc>
          <w:tcPr>
            <w:tcW w:w="280" w:type="dxa"/>
            <w:vAlign w:val="bottom"/>
            <w:tcBorders>
              <w:left w:val="single" w:sz="8" w:color="CCEEFF"/>
            </w:tcBorders>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$5,035.7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NYMEX Holdings, Inc.</w:t>
            </w:r>
          </w:p>
        </w:tc>
        <w:tc>
          <w:tcPr>
            <w:tcW w:w="80" w:type="dxa"/>
            <w:vAlign w:val="bottom"/>
          </w:tcPr>
          <w:p>
            <w:pPr>
              <w:spacing w:after="0"/>
              <w:rPr>
                <w:sz w:val="18"/>
                <w:szCs w:val="18"/>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2,463.1</w:t>
            </w:r>
          </w:p>
        </w:tc>
        <w:tc>
          <w:tcPr>
            <w:tcW w:w="10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2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2,462.3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Index Services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7,549.2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456.7</w:t>
            </w:r>
          </w:p>
        </w:tc>
        <w:tc>
          <w:tcPr>
            <w:tcW w:w="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(19.8)</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activity includes adjustments to restructuring costs and tax contingencies, the recognition of excess tax benefits upon exercise of stock options and foreign currency translation adjustments.</w:t>
      </w:r>
    </w:p>
    <w:p>
      <w:pPr>
        <w:spacing w:after="0" w:line="13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conducts impairment testing of goodwill and indefinite-lived intangible assets at least annually. In the third quarter of 2011, the company adopted the accounting guidance on goodwill impairment testing that was issued in September 2011. The guidance allows companies to perform a qualitative assessment of goodwill that may allow them to omit the annual two-step impairment test.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2010, the company recorded a $19.8 million impairment charge to reduce the carrying amount of Credit Market Analysis,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(CMA) goodwill to its estimated fair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Short -term debt consisted of the following at September 30, 2011 and December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81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8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8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 loan due 2011, interest equal to 3-month LIBOR plus1.00%, reset quarterly</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Total short-term debt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8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September 2008, the company entered into an interest rate swap agreement that modified the variable interest obligation associated with this facility so that the interest payable effectively became fixed at a rate of 4.72% beginning with the interest accrued after October 22, 2008. This interest rate swap agreement was terminated in January 2011 when the term loan was repaid.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September 30, 2011 and December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8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83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6"/>
              <w:spacing w:after="0" w:line="148"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$750.0 million fixed rate notes due August 2013, interest equal to 5.40%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749.0</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$750.0 million fixed rate notes due February 2014, interest equal to 5.75%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747.8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2,106.3</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2010, the company entered into a forward-starting interest rate swap agreement that modified the interest obligation associated with these notes so that the interest payable effectively became fixed at a rate of 4.46% at issuance on March 18, 2010.</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Commercial paper notes with an aggregate par value of $1.0 billion and maturities ranging from 1 to 33 days were issued during the first nine months of 2011. There was no commercial paper outstanding at December 31, 2010 or September 30, 2011. As of September 30, 2011, the most recent commercial paper issuance was in March 2011. During the first nine months of 2011 and 2010, the weighted average balance, at par value, of commercial paper outstanding was $41.0 million and $111.5 million, respectively. In the first nine months of 2011, the maximum month-end balance for commercial paper was $200.0 million in January. In the first nine months of 2010, the maximum month-end balance was $300.0 million in February and March.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September 30,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56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5060" w:type="dxa"/>
            <w:vAlign w:val="bottom"/>
            <w:shd w:val="clear" w:color="auto" w:fill="CCEEFF"/>
          </w:tcPr>
          <w:p>
            <w:pPr>
              <w:spacing w:after="0"/>
              <w:rPr>
                <w:sz w:val="18"/>
                <w:szCs w:val="18"/>
                <w:color w:val="auto"/>
              </w:rPr>
            </w:pPr>
          </w:p>
        </w:tc>
        <w:tc>
          <w:tcPr>
            <w:tcW w:w="5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5060" w:type="dxa"/>
            <w:vAlign w:val="bottom"/>
          </w:tcPr>
          <w:p>
            <w:pPr>
              <w:spacing w:after="0"/>
              <w:rPr>
                <w:sz w:val="18"/>
                <w:szCs w:val="18"/>
                <w:color w:val="auto"/>
              </w:rPr>
            </w:pPr>
          </w:p>
        </w:tc>
        <w:tc>
          <w:tcPr>
            <w:tcW w:w="5640" w:type="dxa"/>
            <w:vAlign w:val="bottom"/>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060" w:type="dxa"/>
            <w:vAlign w:val="bottom"/>
            <w:shd w:val="clear" w:color="auto" w:fill="CCEEFF"/>
          </w:tcPr>
          <w:p>
            <w:pPr>
              <w:spacing w:after="0"/>
              <w:rPr>
                <w:sz w:val="18"/>
                <w:szCs w:val="18"/>
                <w:color w:val="auto"/>
              </w:rPr>
            </w:pPr>
          </w:p>
        </w:tc>
        <w:tc>
          <w:tcPr>
            <w:tcW w:w="5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5060" w:type="dxa"/>
            <w:vAlign w:val="bottom"/>
          </w:tcPr>
          <w:p>
            <w:pPr>
              <w:spacing w:after="0"/>
              <w:rPr>
                <w:sz w:val="18"/>
                <w:szCs w:val="18"/>
                <w:color w:val="auto"/>
              </w:rPr>
            </w:pPr>
          </w:p>
        </w:tc>
        <w:tc>
          <w:tcPr>
            <w:tcW w:w="56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060" w:type="dxa"/>
            <w:vAlign w:val="bottom"/>
            <w:shd w:val="clear" w:color="auto" w:fill="CCEEFF"/>
          </w:tcPr>
          <w:p>
            <w:pPr>
              <w:spacing w:after="0"/>
              <w:rPr>
                <w:sz w:val="18"/>
                <w:szCs w:val="18"/>
                <w:color w:val="auto"/>
              </w:rPr>
            </w:pPr>
          </w:p>
        </w:tc>
        <w:tc>
          <w:tcPr>
            <w:tcW w:w="5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640" w:type="dxa"/>
            <w:vAlign w:val="bottom"/>
          </w:tcPr>
          <w:p>
            <w:pPr>
              <w:jc w:val="right"/>
              <w:ind w:right="12"/>
              <w:spacing w:after="0"/>
              <w:rPr>
                <w:sz w:val="20"/>
                <w:szCs w:val="20"/>
                <w:color w:val="auto"/>
              </w:rPr>
            </w:pPr>
            <w:r>
              <w:rPr>
                <w:rFonts w:ascii="Arial" w:cs="Arial" w:eastAsia="Arial" w:hAnsi="Arial"/>
                <w:sz w:val="18"/>
                <w:szCs w:val="18"/>
                <w:color w:val="auto"/>
              </w:rPr>
              <w:t>612.5</w:t>
            </w:r>
          </w:p>
        </w:tc>
      </w:tr>
    </w:tbl>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fair values of the fixed rate notes due 2013 and 2014 were estimated using quoted market prices. The fair value of the fixed rate notes due 2018 was derived using a standard valuation model with market-based observable inputs including U.S. Treasury yields and interest rate spreads. At September 30, 2011, the fair values of the fixed rate notes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8"/>
              </w:rPr>
              <w:t>(in millions)</w:t>
            </w:r>
          </w:p>
        </w:tc>
        <w:tc>
          <w:tcPr>
            <w:tcW w:w="386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Fair Value</w:t>
            </w:r>
          </w:p>
        </w:tc>
      </w:tr>
      <w:tr>
        <w:trPr>
          <w:trHeight w:val="203"/>
        </w:trPr>
        <w:tc>
          <w:tcPr>
            <w:tcW w:w="4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$750.0 million fixed rate notes due August 2013</w:t>
            </w:r>
          </w:p>
        </w:tc>
        <w:tc>
          <w:tcPr>
            <w:tcW w:w="6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802.4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$750.0 million fixed rate notes due February 2014</w:t>
            </w:r>
          </w:p>
        </w:tc>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823.4</w:t>
            </w: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million fixed rate notes due March 2018</w:t>
            </w:r>
          </w:p>
        </w:tc>
        <w:tc>
          <w:tcPr>
            <w:tcW w:w="6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672.5</w:t>
            </w:r>
          </w:p>
        </w:tc>
        <w:tc>
          <w:tcPr>
            <w:tcW w:w="100" w:type="dxa"/>
            <w:vAlign w:val="bottom"/>
            <w:shd w:val="clear" w:color="auto" w:fill="CCEEFF"/>
          </w:tcPr>
          <w:p>
            <w:pPr>
              <w:spacing w:after="0"/>
              <w:rPr>
                <w:sz w:val="18"/>
                <w:szCs w:val="18"/>
                <w:color w:val="auto"/>
              </w:rPr>
            </w:pPr>
          </w:p>
        </w:tc>
      </w:tr>
      <w:tr>
        <w:trPr>
          <w:trHeight w:val="363"/>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140" w:type="dxa"/>
            <w:vAlign w:val="bottom"/>
          </w:tcPr>
          <w:p>
            <w:pPr>
              <w:jc w:val="right"/>
              <w:ind w:right="483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effective tax rate decreased to 31.9% in the first nine months of 2011 from 41.6% in the first nine months of 2010. The effective tax rate decreased by 7.5% due to a tax benefit of $118.1 million resulting from a change in state tax apportionment in the first quarter of 2011. This change resulted in a reduction in the income tax provision primarily due to a revaluation of existing deferred tax liabilities. The effective tax rate also decreased by 3.1% due to a $48.8 million reduction in valuation allowances on unrealized capital losses previously reserved. The company began marking-to-market its investment in BM&amp;FBOVESPA S.A. (BM&amp;FBOVESPA) in the first quarter of 2011. As a result of this change, the company determined that it is now more likely than not that the deferred tax assets associated with losses on other investments will be recognized.</w:t>
      </w:r>
    </w:p>
    <w:p>
      <w:pPr>
        <w:spacing w:after="0" w:line="12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to the valuation allowance reductions that decreased the company’s effective tax rate, the company also reversed a valuation allowance of $64.3 million related to its investment in BM&amp;FBOVESPA, which increased accumulated other comprehensive income (loss) in the first quarter of 2011. The valuation allowance was reversed because the company began marking-to-market its investment in BM&amp;FBOVEPA in the first quarter of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9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i w:val="1"/>
          <w:iCs w:val="1"/>
          <w:color w:val="auto"/>
        </w:rPr>
        <w:t>Legal Matters</w:t>
      </w:r>
      <w:r>
        <w:rPr>
          <w:rFonts w:ascii="Arial" w:cs="Arial" w:eastAsia="Arial" w:hAnsi="Arial"/>
          <w:sz w:val="15"/>
          <w:szCs w:val="15"/>
          <w:color w:val="auto"/>
        </w:rPr>
        <w:t>. In 2008, Fifth Market filed a complaint against CME Group and CME seeking a permanent injunction against CME’s Globex system and</w:t>
      </w:r>
      <w:r>
        <w:rPr>
          <w:rFonts w:ascii="Arial" w:cs="Arial" w:eastAsia="Arial" w:hAnsi="Arial"/>
          <w:sz w:val="15"/>
          <w:szCs w:val="15"/>
          <w:i w:val="1"/>
          <w:iCs w:val="1"/>
          <w:color w:val="auto"/>
        </w:rPr>
        <w:t xml:space="preserve"> </w:t>
      </w:r>
      <w:r>
        <w:rPr>
          <w:rFonts w:ascii="Arial" w:cs="Arial" w:eastAsia="Arial" w:hAnsi="Arial"/>
          <w:sz w:val="15"/>
          <w:szCs w:val="15"/>
          <w:color w:val="auto"/>
        </w:rPr>
        <w:t>unquantified enhanced damages for what the plaintiff alleges is willful infringement of two U.S. patents, in addition to costs, expenses and attorneys’ fees. The matter has been stayed pending the outcome of a reexamination of one of the patents at issue by the U.S. Patent and Trademark Office (USPTO). Based on its investigation to date and advice from legal counsel, the company believes this suit is without merit and intends to defend itself vigorously against these charges.</w:t>
      </w:r>
    </w:p>
    <w:p>
      <w:pPr>
        <w:spacing w:after="0" w:line="9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2009, CME and CBOT filed a complaint against Howard Garber seeking a declaratory judgment that neither CME nor CBOT infringed Mr. Garber’s patent and that his patent is invalid and unenforceable. In 2009, Technology Research Group LLC, the current owner of the patent at issue, filed counterclaims alleging that CME and CBOT willingly infringe or induce or contribute to the infringement of its patent. Technology Research is seeking damages in the amount no less than a reasonable royalty. The matter has been dismissed without prejudice with right to reinstate pending reexamination of the patent at issue by the USPTO and all settlement possibilities are evaluated. Based on its investigation to date and advice from legal counsel, the company believes this suit is without merit and intends to defend itself vigorously against these charges.</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2009, Realtime Data LLC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Both of these lawsuits have been consolidated with the original action. Realtime Data is seeking a permanent injunction, unquantified enhanced damages, attorneys’ fees and costs. Discovery in this matter is in the early stages. The Court of Appeals for the Federal Circuit has ordered that the case be transferred to the Southern District of New York. Realtime’s request for reconsideration of the transfer has been denied and the case has been transferred to New York. Based on its investigation to date and advice from legal counsel, the company believes this suit is without merit and intends to defend itself vigorously against these charges.</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foregoing legal matters involve alleged infringements of intellectual property, which due to their nature involve potential liability that is uncertain, difficult to quantify and involve a wide range of potential outcomes. The company believes that the matters are without merit and intends to defend itself vigorously against the claims. We expect the reexaminations by the USPTO in the Fifth Market and Garber matters to result in a determination of the validity of the patents at issue which we expect will have an impact on the merits of the matters. Given the uncertainty of the potential outcome of the reexaminations, at this time the company is unable to estimate the reasonably possible loss or range of reasonably possible loss in the unlikely event it were found to be liable at trial in these matters. In the Realtime matter, no estimate of our reasonably possible loss or range of reasonably possible loss may be made at this time because the damages sought in the proceeding have not been quantified or substantiated and the discovery phase of the matter is in the early stages.</w:t>
      </w:r>
    </w:p>
    <w:p>
      <w:pPr>
        <w:spacing w:after="0" w:line="11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or in the aggregate will not have a material impact on its consolidated financial position or results of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Regulatory Matters</w:t>
      </w:r>
      <w:r>
        <w:rPr>
          <w:rFonts w:ascii="Arial" w:cs="Arial" w:eastAsia="Arial" w:hAnsi="Arial"/>
          <w:sz w:val="18"/>
          <w:szCs w:val="18"/>
          <w:color w:val="auto"/>
        </w:rPr>
        <w:t>. In the normal course of business, the company discusses matters with its regulators raised during regulatory examinations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CME Clearing Contract Settlement. </w:t>
      </w:r>
      <w:r>
        <w:rPr>
          <w:rFonts w:ascii="Arial" w:cs="Arial" w:eastAsia="Arial" w:hAnsi="Arial"/>
          <w:sz w:val="16"/>
          <w:szCs w:val="16"/>
          <w:color w:val="auto"/>
        </w:rPr>
        <w:t>CME marks-to-market open positions for most products at least twice a day, and requires payment from clearing firms whose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have lost value and makes payments to clearing firms whose positions have gained value. For select cleared-only markets, positions are marked-to-market once daily, with the capability to mark-to-market more frequently as market conditions warrant. Under the extremely unlikely scenario of simultaneous default by every clearing firm who has open positions with unrealized losses, the maximum exposure related to CME’s guarantee would be one half day of changes in fair value of all open positions, before considering CME’s ability to access defaulting clearing firms’ performance bond and guaranty fund balances as well as other available resources. During the first nine months of 2011, CME transferred an average of approximately $3.0 billion a day through its clearing system for settlement from clearing firms whose positions had lost value to clearing firms whose positions had gained value. CME reduces its guarantee exposure through initial and maintenance performance bond requirements and mandatory guaranty fund contributions. The company believes that its guarantee liability is immaterial and therefore has not recorded any liability at September 30, 2011.</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2012. The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 will automatically renew for a one-year period unless either party provides advance notice of their intent to terminate. CME can maintain collateral in the form of U.S. Treasury securities or irrevocable letters of credit. At September 30, 2011, CME was contingently liable to SGX on irrevocable letters of credit totaling $161.0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Cross-Margin Agreements</w:t>
      </w:r>
      <w:r>
        <w:rPr>
          <w:rFonts w:ascii="Arial" w:cs="Arial" w:eastAsia="Arial" w:hAnsi="Arial"/>
          <w:sz w:val="18"/>
          <w:szCs w:val="18"/>
          <w:color w:val="auto"/>
        </w:rPr>
        <w:t>. CME and The Options Clearing Corporation (OCC) have a cross-margin arrangement, whereby a common clearing firm may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Cross-margin agreements exist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Payments</w:t>
      </w:r>
    </w:p>
    <w:p>
      <w:pPr>
        <w:spacing w:after="0" w:line="96"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Total expense for stock-based payments, including shares issued to the board of directors, was $39.0 million and $29.6 million for the nine months ended September 30, 2011 and 2010, respectively. The total income tax benefit recognized in the consolidated statements of income for stock-based payment arrangements was $15.3 million and $11.8 million for the nine months ended September 30, 2011 and 2010, respectively.</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first nine months of 2011, the company granted employees stock options totaling 270,188 shares under the CME Group Omnibus Stock Plan. The options have a ten-year term with exercise prices ranging from $271 to $286 per share, the closing market price on the dates of grant. The fair value of these options totaled $25.1 million, measured at the grant dates using the Black-Scholes valuation model, which is recognized as compensation expense on an accelerated basis over the vesting period of four years. The Black-Scholes fair values of the option grants were calculated using the following assumptions: dividend yields ranging from 2.0% to 2.1%; expected volatility ranging from 41% to 42%; risk-free interest rates ranging from 1.3% to 2.4% and an expected life ranging from 5.6 to 6.2 years. The grant date weighted average fair value of options granted during the first nine months of 2011 was $93 per share.</w:t>
      </w:r>
    </w:p>
    <w:p>
      <w:pPr>
        <w:spacing w:after="0" w:line="120" w:lineRule="exact"/>
        <w:rPr>
          <w:sz w:val="20"/>
          <w:szCs w:val="20"/>
          <w:color w:val="auto"/>
        </w:rPr>
      </w:pPr>
    </w:p>
    <w:p>
      <w:pPr>
        <w:jc w:val="both"/>
        <w:ind w:right="200"/>
        <w:spacing w:after="0" w:line="323" w:lineRule="auto"/>
        <w:rPr>
          <w:sz w:val="20"/>
          <w:szCs w:val="20"/>
          <w:color w:val="auto"/>
        </w:rPr>
      </w:pPr>
      <w:r>
        <w:rPr>
          <w:rFonts w:ascii="Arial" w:cs="Arial" w:eastAsia="Arial" w:hAnsi="Arial"/>
          <w:sz w:val="15"/>
          <w:szCs w:val="15"/>
          <w:color w:val="auto"/>
        </w:rPr>
        <w:t>In the first nine months of 2011, the company granted 133,662 shares of restricted Class A common stock and 472 restricted stock units which generally have a vesting period of two to four years. The fair value of these grants was $36.6 million, which is recognized as compensation expense on an accelerated basis over the vesting period. In the first nine months of 2011, the company granted 5,542 performance shares. The vesting of these shares is contingent on meeting stated goals over a performance period. The expense for these shares is recognized on an accelerated basis over a performance period of three to four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 (Loss)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December 2008, an unrealized loss of $81.7 million, net of tax, resulting from changes in foreign currency exchange rates, was recorded in accumulated other comprehensive income (loss) upon recognizing impairment on the company’s investment in BM&amp;FBOVESPA. Prior to February 2011, this investment was recorded at cost due to restrictions on the sale of the stock. The company began marking-to-market its investment in BM&amp;FBOVESPA in February 2011 because these restrictions will lapse in February 2012, with changes in fair value recorded in accumulated other comprehensive income (loss). During the first nine months of 2011, the company recognized an unrealized gain on the investment in BM&amp;FBOVESPA of $117.5 million, net of tax, and reversed the unrealized loss of $81.7 million, net of tax, attributable to foreign currency translation adjustments that were initially recorded in December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90" w:lineRule="exact"/>
        <w:rPr>
          <w:sz w:val="20"/>
          <w:szCs w:val="20"/>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entity-specific inputs.</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general, the company uses quoted prices in active markets for identical assets to determine the fair value of marketable securities and equity investments. Level 1 assets generally include U.S. Treasury securities, exchange-traded mutual funds and publicly-traded equity securities. If quoted prices are not available to determine fair value, the company uses other inputs that are observable either directly or indirectly. Assets included in level 2 generally consist of U.S. Government agency securities, municipal bonds, asset-backed securities and certain corporate bonds. The level 2 marketable securities were measured at fair value based on matrix pricing using prices of similar securities with similar inputs such as maturity dates, interest rates and credit ratings. There were no level 3 assets that were valued on a recurring basis as of September 30, 2011. In addition, there were no liabilities valued at fair value on a recurring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Financial assets recorded in the consolidated balance sheet as of September 30, 2011 were classified in their entirety based on the lowest level of input that was significant to each asset’s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At September 30, 2011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gridSpan w:val="3"/>
            <w:vMerge w:val="continue"/>
          </w:tcPr>
          <w:p>
            <w:pPr>
              <w:spacing w:after="0"/>
              <w:rPr>
                <w:sz w:val="11"/>
                <w:szCs w:val="11"/>
                <w:color w:val="auto"/>
              </w:rPr>
            </w:pPr>
          </w:p>
        </w:tc>
        <w:tc>
          <w:tcPr>
            <w:tcW w:w="2820" w:type="dxa"/>
            <w:vAlign w:val="bottom"/>
          </w:tcPr>
          <w:p>
            <w:pPr>
              <w:spacing w:after="0"/>
              <w:rPr>
                <w:sz w:val="11"/>
                <w:szCs w:val="11"/>
                <w:color w:val="auto"/>
              </w:rPr>
            </w:pPr>
          </w:p>
        </w:tc>
        <w:tc>
          <w:tcPr>
            <w:tcW w:w="6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Level 2</w:t>
            </w:r>
          </w:p>
        </w:tc>
        <w:tc>
          <w:tcPr>
            <w:tcW w:w="32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40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 at Fair Value:</w:t>
            </w: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509.1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543.5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At September 30, 2011, equity investments include our investment in BM&amp;FBOVESPA, which has been recorded at fair value using its quoted market price. The fair value of our investment in BM&amp;FBOVESPA was $485.5 million at September 30, 2011. Until February 2011, this investment was recorded at cost due to restrictions on sale of the stock that exceeded a one year time period. Equity investments are included in other assets in the consolidated balance sheets.</w:t>
      </w:r>
    </w:p>
    <w:p>
      <w:pPr>
        <w:spacing w:after="0" w:line="1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were no transfers of assets between level 1 and level 2 during the first nine months of 2011. Additionally, there were no assets or liabilities valued at fair value on a recurring or non-recurring basis using significant unobservable inputs during the first nine months of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1,084,000 and 941,000 were anti-dilutive for the quarter and nine months ended September 30, 2011, respectively. Outstanding stock options and restricted stock awards of approximately 984,000 and 865,000 were anti-dilutive for the quarter and nine months ended September 30, 2010, respectively. There were no anti-dilutive restricted stock awards for the quarter and nine months ended September 30, 2011.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0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 except shares and per share data)</w:t>
            </w: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020" w:type="dxa"/>
            <w:vAlign w:val="bottom"/>
            <w:gridSpan w:val="3"/>
            <w:vMerge w:val="continue"/>
          </w:tcPr>
          <w:p>
            <w:pPr>
              <w:spacing w:after="0"/>
              <w:rPr>
                <w:sz w:val="11"/>
                <w:szCs w:val="11"/>
                <w:color w:val="auto"/>
              </w:rPr>
            </w:pPr>
          </w:p>
        </w:tc>
        <w:tc>
          <w:tcPr>
            <w:tcW w:w="3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CME Group</w:t>
            </w:r>
          </w:p>
        </w:tc>
        <w:tc>
          <w:tcPr>
            <w:tcW w:w="30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316.1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244.3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1,066.4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5020" w:type="dxa"/>
            <w:vAlign w:val="bottom"/>
            <w:gridSpan w:val="3"/>
          </w:tcPr>
          <w:p>
            <w:pPr>
              <w:spacing w:after="0"/>
              <w:rPr>
                <w:sz w:val="20"/>
                <w:szCs w:val="20"/>
                <w:color w:val="auto"/>
              </w:rPr>
            </w:pPr>
            <w:r>
              <w:rPr>
                <w:rFonts w:ascii="Arial" w:cs="Arial" w:eastAsia="Arial" w:hAnsi="Arial"/>
                <w:sz w:val="18"/>
                <w:szCs w:val="18"/>
                <w:color w:val="auto"/>
                <w:w w:val="99"/>
              </w:rPr>
              <w:t>Weighted Average Number of Common Shares (in thousands):</w:t>
            </w: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66,458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66,556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66,690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Effect of stock options</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restricted stock awards</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3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vMerge w:val="continue"/>
          </w:tcPr>
          <w:p>
            <w:pPr>
              <w:spacing w:after="0"/>
              <w:rPr>
                <w:sz w:val="19"/>
                <w:szCs w:val="19"/>
                <w:color w:val="auto"/>
              </w:rPr>
            </w:pPr>
          </w:p>
        </w:tc>
        <w:tc>
          <w:tcPr>
            <w:tcW w:w="3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66,667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66,744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66,901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Attributable to CME Group:</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60" w:type="dxa"/>
            <w:vAlign w:val="bottom"/>
          </w:tcPr>
          <w:p>
            <w:pPr>
              <w:jc w:val="right"/>
              <w:ind w:right="219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for the following:</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4, 2011, CME Group, Index Services and The McGraw-Hill Companies Inc. (McGraw-Hill) announced that they had entered into an agreement to establish a new index business venture. Under the terms of the agreement, CME Group will contribute certain assets of Index Services, its index business venture with Dow Jones, in which it currently owns a 90% interest. Subsequent to closing, CME Group will own a 24.4% interest in the new index business venture. As part of the agreement, CME Group will also sell CMA to McGraw-Hill. The transaction is expected to close by June 2012, subject to regulatory approval and customary closing conditions.</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part of the agreement, Standard &amp; Poor’s Financial Services LLC (S&amp;P), a subsidiary of McGraw-Hill, and CME will enter into a new license agreement, which will replace the existing license agreement between them. The term of the license will continue until the later of December 31, 2017 or one year after the date that CME Group ceases to own at least five percent of the outstanding index business venture interests. Based on the agreement, the term may be extended up to an additional ten years under certain circumstances.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Under the new license agreement, the index business venture will provide CME Group a license to use certain S&amp;P stock indexes as the basis for futures, options, swaps and other derivative contracts. CME Group will have an exclusive license for certain S&amp;P stock indexes for futures and options. In exchange for the license, CME Group will pay a quarterly fee based on a percentage of CME Group’s overall equity index complex profits.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accompanying unaudited consolidated financial statements and notes in this Form 10-Q and our Annual Report on Form 10-K for the year ended December 31, 2010.</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i w:val="1"/>
                <w:iCs w:val="1"/>
                <w:color w:val="auto"/>
                <w:w w:val="94"/>
              </w:rPr>
              <w:t>(dollars in millions, except per share data)</w:t>
            </w:r>
          </w:p>
        </w:tc>
        <w:tc>
          <w:tcPr>
            <w:tcW w:w="286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34"/>
        </w:trPr>
        <w:tc>
          <w:tcPr>
            <w:tcW w:w="2460" w:type="dxa"/>
            <w:vAlign w:val="bottom"/>
            <w:tcBorders>
              <w:bottom w:val="single" w:sz="8" w:color="auto"/>
            </w:tcBorders>
            <w:vMerge w:val="continue"/>
          </w:tcPr>
          <w:p>
            <w:pPr>
              <w:spacing w:after="0"/>
              <w:rPr>
                <w:sz w:val="11"/>
                <w:szCs w:val="11"/>
                <w:color w:val="auto"/>
              </w:rPr>
            </w:pPr>
          </w:p>
        </w:tc>
        <w:tc>
          <w:tcPr>
            <w:tcW w:w="28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Borders>
              <w:top w:val="single" w:sz="8" w:color="auto"/>
            </w:tcBorders>
          </w:tcPr>
          <w:p>
            <w:pPr>
              <w:jc w:val="right"/>
              <w:ind w:right="47"/>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8"/>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$874.2</w:t>
            </w:r>
          </w:p>
        </w:tc>
        <w:tc>
          <w:tcPr>
            <w:tcW w:w="2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$733.4</w:t>
            </w:r>
          </w:p>
        </w:tc>
        <w:tc>
          <w:tcPr>
            <w:tcW w:w="3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2,544.1</w:t>
            </w:r>
          </w:p>
        </w:tc>
        <w:tc>
          <w:tcPr>
            <w:tcW w:w="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2,240.5</w:t>
            </w:r>
          </w:p>
        </w:tc>
        <w:tc>
          <w:tcPr>
            <w:tcW w:w="38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302.1</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290.5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913.4</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867.8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 (26.2)</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 (27.2)</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(78.0)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 attributable to CME Group</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$316.1</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$244.3</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1,066.4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755.2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8"/>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 attributable to CME Group</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4.74</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3.66</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999.8</w:t>
            </w:r>
          </w:p>
        </w:tc>
        <w:tc>
          <w:tcPr>
            <w:tcW w:w="8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963.0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00" w:right="5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third quarter and first nine months of 2011 when compared with the same periods of 2010, the growth in revenues was attributable to an increase in clearing and transaction fees revenue due to an increase in contract volume.</w:t>
      </w:r>
    </w:p>
    <w:p>
      <w:pPr>
        <w:spacing w:after="0" w:line="5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overall expenses in the third quarter and first nine months of 2011 was due to higher compensation and benefits resulting from an increase in salaries and health care costs. In the first nine months of 2011 when compared with the same period in 2010, the increase in overall expenses was also attributable to an increase in employee headcount related to the formation of CME Group Index Services LLC (Index Services) in March 2010.</w:t>
      </w:r>
    </w:p>
    <w:p>
      <w:pPr>
        <w:spacing w:after="0" w:line="62"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change in the state tax apportionment and a reduction in valuation allowances on other unrealized capital losses previously reserved contributed to a decline in the effective tax rate for the first nine months of 2011 when compared with the same period in 2010.</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flows from operations increased due to an increase in contract volume.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380" w:type="dxa"/>
            <w:vAlign w:val="bottom"/>
          </w:tcPr>
          <w:p>
            <w:pPr>
              <w:spacing w:after="0"/>
              <w:rPr>
                <w:sz w:val="14"/>
                <w:szCs w:val="14"/>
                <w:color w:val="auto"/>
              </w:rPr>
            </w:pPr>
          </w:p>
        </w:tc>
        <w:tc>
          <w:tcPr>
            <w:tcW w:w="12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29"/>
        </w:trPr>
        <w:tc>
          <w:tcPr>
            <w:tcW w:w="412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50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top w:val="single" w:sz="8" w:color="auto"/>
            </w:tcBorders>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20" w:type="dxa"/>
            <w:vAlign w:val="bottom"/>
            <w:tcBorders>
              <w:top w:val="single" w:sz="8" w:color="auto"/>
            </w:tcBorders>
          </w:tcPr>
          <w:p>
            <w:pPr>
              <w:jc w:val="right"/>
              <w:ind w:right="100"/>
              <w:spacing w:after="0" w:line="129" w:lineRule="exact"/>
              <w:rPr>
                <w:sz w:val="20"/>
                <w:szCs w:val="20"/>
                <w:color w:val="auto"/>
              </w:rPr>
            </w:pPr>
            <w:r>
              <w:rPr>
                <w:rFonts w:ascii="Arial" w:cs="Arial" w:eastAsia="Arial" w:hAnsi="Arial"/>
                <w:sz w:val="14"/>
                <w:szCs w:val="14"/>
                <w:b w:val="1"/>
                <w:bCs w:val="1"/>
                <w:color w:val="auto"/>
              </w:rPr>
              <w:t>2011</w:t>
            </w:r>
          </w:p>
        </w:tc>
        <w:tc>
          <w:tcPr>
            <w:tcW w:w="920" w:type="dxa"/>
            <w:vAlign w:val="bottom"/>
            <w:tcBorders>
              <w:top w:val="single" w:sz="8" w:color="auto"/>
            </w:tcBorders>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Clearing and transaction fees</w:t>
            </w:r>
          </w:p>
        </w:tc>
        <w:tc>
          <w:tcPr>
            <w:tcW w:w="2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$732.7</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$598.7</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$ 2,111.8</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$1,860.9</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Market data and information services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321.9</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291.0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Access and communication fees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3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2,544.1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2,240.5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80" w:type="dxa"/>
            <w:vAlign w:val="bottom"/>
            <w:vMerge w:val="restart"/>
          </w:tcPr>
          <w:p>
            <w:pPr>
              <w:jc w:val="right"/>
              <w:ind w:right="612"/>
              <w:spacing w:after="0"/>
              <w:rPr>
                <w:sz w:val="20"/>
                <w:szCs w:val="20"/>
                <w:color w:val="auto"/>
              </w:rPr>
            </w:pPr>
            <w:r>
              <w:rPr>
                <w:rFonts w:ascii="Arial" w:cs="Arial" w:eastAsia="Arial" w:hAnsi="Arial"/>
                <w:sz w:val="18"/>
                <w:szCs w:val="18"/>
                <w:color w:val="auto"/>
              </w:rPr>
              <w:t>18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90"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The following table summarizes our total contract volume, revenue and average rate per contract. Total contract volume includes contracts that are traded on our exchange and cleared through our clearing house. Contract volume also includes cleared-only CME ClearPort contracts. Volume is measured in round turns, which is considered a completed transaction which involves a purchase and an offsetting sale of a contract. Average rate per contract is determined by dividing total clearing and transaction fee revenues by total contract volume. All amounts exclude our TRAKRS, credit default swap and interest rate swap contracts.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5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15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7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2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30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2,648.4</w:t>
            </w: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2,309.0</w:t>
            </w:r>
          </w:p>
        </w:tc>
        <w:tc>
          <w:tcPr>
            <w:tcW w:w="3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$732.7</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$598.7</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2,111.8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1,860.9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$0.779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$0.810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0.806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We estimate the following increases (decreases) in clearing and transaction fees based on change in total contract volume and change in average rate per contract during the third quarter of 2011 when compared with the same period in 2010 and the first nine months of 2011 when compared with the same period in 2010.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Quarter</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Nine Months</w:t>
            </w:r>
          </w:p>
        </w:tc>
        <w:tc>
          <w:tcPr>
            <w:tcW w:w="0" w:type="dxa"/>
            <w:vAlign w:val="bottom"/>
          </w:tcPr>
          <w:p>
            <w:pPr>
              <w:spacing w:after="0"/>
              <w:rPr>
                <w:sz w:val="1"/>
                <w:szCs w:val="1"/>
                <w:color w:val="auto"/>
              </w:rPr>
            </w:pPr>
          </w:p>
        </w:tc>
      </w:tr>
      <w:tr>
        <w:trPr>
          <w:trHeight w:val="148"/>
        </w:trPr>
        <w:tc>
          <w:tcPr>
            <w:tcW w:w="9520" w:type="dxa"/>
            <w:vAlign w:val="bottom"/>
            <w:gridSpan w:val="3"/>
            <w:vMerge w:val="continue"/>
          </w:tcPr>
          <w:p>
            <w:pPr>
              <w:spacing w:after="0"/>
              <w:rPr>
                <w:sz w:val="12"/>
                <w:szCs w:val="12"/>
                <w:color w:val="auto"/>
              </w:rPr>
            </w:pPr>
          </w:p>
        </w:tc>
        <w:tc>
          <w:tcPr>
            <w:tcW w:w="80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8"/>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8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due to change in total contract volume</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$157.1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Decrease due to change in average rate per contract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clearing and transaction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volume, the change in revenues attributable to changes in each is only an approximation.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580" w:type="dxa"/>
            <w:vAlign w:val="bottom"/>
          </w:tcPr>
          <w:p>
            <w:pPr>
              <w:spacing w:after="0"/>
              <w:rPr>
                <w:sz w:val="14"/>
                <w:szCs w:val="14"/>
                <w:color w:val="auto"/>
              </w:rPr>
            </w:pPr>
          </w:p>
        </w:tc>
        <w:tc>
          <w:tcPr>
            <w:tcW w:w="18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8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29"/>
        </w:trPr>
        <w:tc>
          <w:tcPr>
            <w:tcW w:w="46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5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Average Daily Volume by Product Line:</w:t>
            </w:r>
          </w:p>
        </w:tc>
        <w:tc>
          <w:tcPr>
            <w:tcW w:w="1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2520" w:type="dxa"/>
            <w:vAlign w:val="bottom"/>
            <w:gridSpan w:val="3"/>
          </w:tcPr>
          <w:p>
            <w:pPr>
              <w:jc w:val="right"/>
              <w:ind w:right="400"/>
              <w:spacing w:after="0"/>
              <w:rPr>
                <w:sz w:val="20"/>
                <w:szCs w:val="20"/>
                <w:color w:val="auto"/>
              </w:rPr>
            </w:pPr>
            <w:r>
              <w:rPr>
                <w:rFonts w:ascii="Arial" w:cs="Arial" w:eastAsia="Arial" w:hAnsi="Arial"/>
                <w:sz w:val="18"/>
                <w:szCs w:val="18"/>
                <w:color w:val="auto"/>
              </w:rPr>
              <w:t>6,518</w:t>
            </w:r>
          </w:p>
        </w:tc>
        <w:tc>
          <w:tcPr>
            <w:tcW w:w="540" w:type="dxa"/>
            <w:vAlign w:val="bottom"/>
          </w:tcPr>
          <w:p>
            <w:pPr>
              <w:jc w:val="right"/>
              <w:spacing w:after="0"/>
              <w:rPr>
                <w:sz w:val="20"/>
                <w:szCs w:val="20"/>
                <w:color w:val="auto"/>
              </w:rPr>
            </w:pPr>
            <w:r>
              <w:rPr>
                <w:rFonts w:ascii="Arial" w:cs="Arial" w:eastAsia="Arial" w:hAnsi="Arial"/>
                <w:sz w:val="18"/>
                <w:szCs w:val="18"/>
                <w:color w:val="auto"/>
              </w:rPr>
              <w:t>5,020</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6,464</w:t>
            </w:r>
          </w:p>
        </w:tc>
        <w:tc>
          <w:tcPr>
            <w:tcW w:w="540" w:type="dxa"/>
            <w:vAlign w:val="bottom"/>
          </w:tcPr>
          <w:p>
            <w:pPr>
              <w:jc w:val="right"/>
              <w:spacing w:after="0"/>
              <w:rPr>
                <w:sz w:val="20"/>
                <w:szCs w:val="20"/>
                <w:color w:val="auto"/>
              </w:rPr>
            </w:pPr>
            <w:r>
              <w:rPr>
                <w:rFonts w:ascii="Arial" w:cs="Arial" w:eastAsia="Arial" w:hAnsi="Arial"/>
                <w:sz w:val="18"/>
                <w:szCs w:val="18"/>
                <w:color w:val="auto"/>
              </w:rPr>
              <w:t>5,409</w:t>
            </w:r>
          </w:p>
        </w:tc>
        <w:tc>
          <w:tcPr>
            <w:tcW w:w="4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4,040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3,269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520" w:type="dxa"/>
            <w:vAlign w:val="bottom"/>
            <w:gridSpan w:val="3"/>
          </w:tcPr>
          <w:p>
            <w:pPr>
              <w:jc w:val="right"/>
              <w:ind w:right="400"/>
              <w:spacing w:after="0"/>
              <w:rPr>
                <w:sz w:val="20"/>
                <w:szCs w:val="20"/>
                <w:color w:val="auto"/>
              </w:rPr>
            </w:pPr>
            <w:r>
              <w:rPr>
                <w:rFonts w:ascii="Arial" w:cs="Arial" w:eastAsia="Arial" w:hAnsi="Arial"/>
                <w:sz w:val="18"/>
                <w:szCs w:val="18"/>
                <w:color w:val="auto"/>
              </w:rPr>
              <w:t>988</w:t>
            </w:r>
          </w:p>
        </w:tc>
        <w:tc>
          <w:tcPr>
            <w:tcW w:w="540" w:type="dxa"/>
            <w:vAlign w:val="bottom"/>
          </w:tcPr>
          <w:p>
            <w:pPr>
              <w:jc w:val="right"/>
              <w:spacing w:after="0"/>
              <w:rPr>
                <w:sz w:val="20"/>
                <w:szCs w:val="20"/>
                <w:color w:val="auto"/>
              </w:rPr>
            </w:pPr>
            <w:r>
              <w:rPr>
                <w:rFonts w:ascii="Arial" w:cs="Arial" w:eastAsia="Arial" w:hAnsi="Arial"/>
                <w:sz w:val="18"/>
                <w:szCs w:val="18"/>
                <w:color w:val="auto"/>
              </w:rPr>
              <w:t>866</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956</w:t>
            </w:r>
          </w:p>
        </w:tc>
        <w:tc>
          <w:tcPr>
            <w:tcW w:w="540" w:type="dxa"/>
            <w:vAlign w:val="bottom"/>
          </w:tcPr>
          <w:p>
            <w:pPr>
              <w:jc w:val="right"/>
              <w:spacing w:after="0"/>
              <w:rPr>
                <w:sz w:val="20"/>
                <w:szCs w:val="20"/>
                <w:color w:val="auto"/>
              </w:rPr>
            </w:pPr>
            <w:r>
              <w:rPr>
                <w:rFonts w:ascii="Arial" w:cs="Arial" w:eastAsia="Arial" w:hAnsi="Arial"/>
                <w:sz w:val="18"/>
                <w:szCs w:val="18"/>
                <w:color w:val="auto"/>
              </w:rPr>
              <w:t>930</w:t>
            </w:r>
          </w:p>
        </w:tc>
        <w:tc>
          <w:tcPr>
            <w:tcW w:w="4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Agricultural commodity</w:t>
            </w:r>
          </w:p>
        </w:tc>
        <w:tc>
          <w:tcPr>
            <w:tcW w:w="2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1,032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Energy</w:t>
            </w:r>
          </w:p>
        </w:tc>
        <w:tc>
          <w:tcPr>
            <w:tcW w:w="2520" w:type="dxa"/>
            <w:vAlign w:val="bottom"/>
            <w:gridSpan w:val="3"/>
          </w:tcPr>
          <w:p>
            <w:pPr>
              <w:jc w:val="right"/>
              <w:ind w:right="400"/>
              <w:spacing w:after="0"/>
              <w:rPr>
                <w:sz w:val="20"/>
                <w:szCs w:val="20"/>
                <w:color w:val="auto"/>
              </w:rPr>
            </w:pPr>
            <w:r>
              <w:rPr>
                <w:rFonts w:ascii="Arial" w:cs="Arial" w:eastAsia="Arial" w:hAnsi="Arial"/>
                <w:sz w:val="18"/>
                <w:szCs w:val="18"/>
                <w:color w:val="auto"/>
              </w:rPr>
              <w:t>1,670</w:t>
            </w:r>
          </w:p>
        </w:tc>
        <w:tc>
          <w:tcPr>
            <w:tcW w:w="540" w:type="dxa"/>
            <w:vAlign w:val="bottom"/>
          </w:tcPr>
          <w:p>
            <w:pPr>
              <w:jc w:val="right"/>
              <w:spacing w:after="0"/>
              <w:rPr>
                <w:sz w:val="20"/>
                <w:szCs w:val="20"/>
                <w:color w:val="auto"/>
              </w:rPr>
            </w:pPr>
            <w:r>
              <w:rPr>
                <w:rFonts w:ascii="Arial" w:cs="Arial" w:eastAsia="Arial" w:hAnsi="Arial"/>
                <w:sz w:val="18"/>
                <w:szCs w:val="18"/>
                <w:color w:val="auto"/>
              </w:rPr>
              <w:t>1,657</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1,798</w:t>
            </w:r>
          </w:p>
        </w:tc>
        <w:tc>
          <w:tcPr>
            <w:tcW w:w="540" w:type="dxa"/>
            <w:vAlign w:val="bottom"/>
          </w:tcPr>
          <w:p>
            <w:pPr>
              <w:jc w:val="right"/>
              <w:spacing w:after="0"/>
              <w:rPr>
                <w:sz w:val="20"/>
                <w:szCs w:val="20"/>
                <w:color w:val="auto"/>
              </w:rPr>
            </w:pPr>
            <w:r>
              <w:rPr>
                <w:rFonts w:ascii="Arial" w:cs="Arial" w:eastAsia="Arial" w:hAnsi="Arial"/>
                <w:sz w:val="18"/>
                <w:szCs w:val="18"/>
                <w:color w:val="auto"/>
              </w:rPr>
              <w:t>1,689</w:t>
            </w:r>
          </w:p>
        </w:tc>
        <w:tc>
          <w:tcPr>
            <w:tcW w:w="4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w:t>
            </w: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Aggregate average daily volume</w:t>
            </w:r>
          </w:p>
        </w:tc>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27</w:t>
            </w: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21"/>
        </w:trPr>
        <w:tc>
          <w:tcPr>
            <w:tcW w:w="462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14,702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11,550</w:t>
            </w:r>
          </w:p>
        </w:tc>
        <w:tc>
          <w:tcPr>
            <w:tcW w:w="4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14,013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12,217</w:t>
            </w:r>
          </w:p>
        </w:tc>
        <w:tc>
          <w:tcPr>
            <w:tcW w:w="40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Venue:</w:t>
            </w:r>
          </w:p>
        </w:tc>
        <w:tc>
          <w:tcPr>
            <w:tcW w:w="1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Electronic</w:t>
            </w:r>
          </w:p>
        </w:tc>
        <w:tc>
          <w:tcPr>
            <w:tcW w:w="2520" w:type="dxa"/>
            <w:vAlign w:val="bottom"/>
            <w:gridSpan w:val="3"/>
          </w:tcPr>
          <w:p>
            <w:pPr>
              <w:jc w:val="right"/>
              <w:ind w:right="400"/>
              <w:spacing w:after="0"/>
              <w:rPr>
                <w:sz w:val="20"/>
                <w:szCs w:val="20"/>
                <w:color w:val="auto"/>
              </w:rPr>
            </w:pPr>
            <w:r>
              <w:rPr>
                <w:rFonts w:ascii="Arial" w:cs="Arial" w:eastAsia="Arial" w:hAnsi="Arial"/>
                <w:sz w:val="18"/>
                <w:szCs w:val="18"/>
                <w:color w:val="auto"/>
              </w:rPr>
              <w:t>12,462</w:t>
            </w:r>
          </w:p>
        </w:tc>
        <w:tc>
          <w:tcPr>
            <w:tcW w:w="540" w:type="dxa"/>
            <w:vAlign w:val="bottom"/>
          </w:tcPr>
          <w:p>
            <w:pPr>
              <w:jc w:val="right"/>
              <w:spacing w:after="0"/>
              <w:rPr>
                <w:sz w:val="20"/>
                <w:szCs w:val="20"/>
                <w:color w:val="auto"/>
              </w:rPr>
            </w:pPr>
            <w:r>
              <w:rPr>
                <w:rFonts w:ascii="Arial" w:cs="Arial" w:eastAsia="Arial" w:hAnsi="Arial"/>
                <w:sz w:val="18"/>
                <w:szCs w:val="18"/>
                <w:color w:val="auto"/>
              </w:rPr>
              <w:t>9,574</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11,845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10,168</w:t>
            </w:r>
          </w:p>
        </w:tc>
        <w:tc>
          <w:tcPr>
            <w:tcW w:w="4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outcry</w:t>
            </w:r>
          </w:p>
        </w:tc>
        <w:tc>
          <w:tcPr>
            <w:tcW w:w="2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Privately negotiated</w:t>
            </w:r>
          </w:p>
        </w:tc>
        <w:tc>
          <w:tcPr>
            <w:tcW w:w="15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257</w:t>
            </w: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241</w:t>
            </w: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exchange-traded volume</w:t>
            </w: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14,276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11,082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13,559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11,754</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Total CME ClearPort</w:t>
            </w:r>
          </w:p>
        </w:tc>
        <w:tc>
          <w:tcPr>
            <w:tcW w:w="15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426</w:t>
            </w: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4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454</w:t>
            </w:r>
          </w:p>
        </w:tc>
        <w:tc>
          <w:tcPr>
            <w:tcW w:w="540" w:type="dxa"/>
            <w:vAlign w:val="bottom"/>
          </w:tcPr>
          <w:p>
            <w:pPr>
              <w:jc w:val="right"/>
              <w:spacing w:after="0"/>
              <w:rPr>
                <w:sz w:val="20"/>
                <w:szCs w:val="20"/>
                <w:color w:val="auto"/>
              </w:rPr>
            </w:pPr>
            <w:r>
              <w:rPr>
                <w:rFonts w:ascii="Arial" w:cs="Arial" w:eastAsia="Arial" w:hAnsi="Arial"/>
                <w:sz w:val="18"/>
                <w:szCs w:val="18"/>
                <w:color w:val="auto"/>
              </w:rPr>
              <w:t>463</w:t>
            </w:r>
          </w:p>
        </w:tc>
        <w:tc>
          <w:tcPr>
            <w:tcW w:w="4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14,702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11,550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14,013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12,217</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2"/>
        </w:trPr>
        <w:tc>
          <w:tcPr>
            <w:tcW w:w="4620" w:type="dxa"/>
            <w:vAlign w:val="bottom"/>
            <w:gridSpan w:val="3"/>
          </w:tcPr>
          <w:p>
            <w:pPr>
              <w:spacing w:after="0"/>
              <w:rPr>
                <w:sz w:val="20"/>
                <w:szCs w:val="20"/>
                <w:color w:val="auto"/>
              </w:rPr>
            </w:pPr>
            <w:r>
              <w:rPr>
                <w:rFonts w:ascii="Arial" w:cs="Arial" w:eastAsia="Arial" w:hAnsi="Arial"/>
                <w:sz w:val="18"/>
                <w:szCs w:val="18"/>
                <w:color w:val="auto"/>
              </w:rPr>
              <w:t>Electronic Volume as a Percentage of Total Volume</w:t>
            </w:r>
          </w:p>
        </w:tc>
        <w:tc>
          <w:tcPr>
            <w:tcW w:w="2520" w:type="dxa"/>
            <w:vAlign w:val="bottom"/>
            <w:gridSpan w:val="3"/>
          </w:tcPr>
          <w:p>
            <w:pPr>
              <w:jc w:val="right"/>
              <w:ind w:right="240"/>
              <w:spacing w:after="0"/>
              <w:rPr>
                <w:sz w:val="20"/>
                <w:szCs w:val="20"/>
                <w:color w:val="auto"/>
              </w:rPr>
            </w:pPr>
            <w:r>
              <w:rPr>
                <w:rFonts w:ascii="Arial" w:cs="Arial" w:eastAsia="Arial" w:hAnsi="Arial"/>
                <w:sz w:val="18"/>
                <w:szCs w:val="18"/>
                <w:color w:val="auto"/>
              </w:rPr>
              <w:t>85%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80" w:type="dxa"/>
            <w:vAlign w:val="bottom"/>
          </w:tcPr>
          <w:p>
            <w:pPr>
              <w:jc w:val="right"/>
              <w:ind w:right="312"/>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average daily volume for our key interest rate products. Eurodollar front 8 contracts include contracts expiring within two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Eurodollar back 32 contracts include contracts expiring within three to ten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Nine Months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8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3"/>
          </w:tcPr>
          <w:p>
            <w:pPr>
              <w:jc w:val="center"/>
              <w:ind w:left="34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i w:val="1"/>
                <w:iCs w:val="1"/>
                <w:color w:val="auto"/>
                <w:w w:val="91"/>
              </w:rPr>
              <w:t>(amounts in thousands)</w:t>
            </w:r>
          </w:p>
        </w:tc>
        <w:tc>
          <w:tcPr>
            <w:tcW w:w="5600" w:type="dxa"/>
            <w:vAlign w:val="bottom"/>
            <w:vMerge w:val="restart"/>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5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vMerge w:val="continue"/>
          </w:tcPr>
          <w:p>
            <w:pPr>
              <w:spacing w:after="0"/>
              <w:rPr>
                <w:sz w:val="12"/>
                <w:szCs w:val="12"/>
                <w:color w:val="auto"/>
              </w:rPr>
            </w:pPr>
          </w:p>
        </w:tc>
        <w:tc>
          <w:tcPr>
            <w:tcW w:w="5600" w:type="dxa"/>
            <w:vAlign w:val="bottom"/>
            <w:vMerge w:val="continue"/>
          </w:tcPr>
          <w:p>
            <w:pPr>
              <w:spacing w:after="0"/>
              <w:rPr>
                <w:sz w:val="12"/>
                <w:szCs w:val="12"/>
                <w:color w:val="auto"/>
              </w:rPr>
            </w:pPr>
          </w:p>
        </w:tc>
        <w:tc>
          <w:tcPr>
            <w:tcW w:w="460" w:type="dxa"/>
            <w:vAlign w:val="bottom"/>
            <w:tcBorders>
              <w:top w:val="single" w:sz="8" w:color="auto"/>
            </w:tcBorders>
          </w:tcPr>
          <w:p>
            <w:pPr>
              <w:jc w:val="right"/>
              <w:ind w:right="18"/>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Eurodollar futures and options:</w:t>
            </w: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440"/>
              <w:spacing w:after="0"/>
              <w:rPr>
                <w:sz w:val="20"/>
                <w:szCs w:val="20"/>
                <w:color w:val="auto"/>
              </w:rPr>
            </w:pPr>
            <w:r>
              <w:rPr>
                <w:rFonts w:ascii="Arial" w:cs="Arial" w:eastAsia="Arial" w:hAnsi="Arial"/>
                <w:sz w:val="18"/>
                <w:szCs w:val="18"/>
                <w:color w:val="auto"/>
              </w:rPr>
              <w:t>Front 8 futures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1,686</w:t>
            </w:r>
          </w:p>
        </w:tc>
        <w:tc>
          <w:tcPr>
            <w:tcW w:w="2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1,307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1,892</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1,669</w:t>
            </w:r>
          </w:p>
        </w:tc>
        <w:tc>
          <w:tcPr>
            <w:tcW w:w="30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Back 32 futures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960" w:type="dxa"/>
            <w:vAlign w:val="bottom"/>
            <w:gridSpan w:val="2"/>
          </w:tcPr>
          <w:p>
            <w:pPr>
              <w:ind w:left="440"/>
              <w:spacing w:after="0"/>
              <w:rPr>
                <w:sz w:val="20"/>
                <w:szCs w:val="20"/>
                <w:color w:val="auto"/>
              </w:rPr>
            </w:pPr>
            <w:r>
              <w:rPr>
                <w:rFonts w:ascii="Arial" w:cs="Arial" w:eastAsia="Arial" w:hAnsi="Arial"/>
                <w:sz w:val="18"/>
                <w:szCs w:val="18"/>
                <w:color w:val="auto"/>
              </w:rPr>
              <w:t>Options</w:t>
            </w:r>
          </w:p>
        </w:tc>
        <w:tc>
          <w:tcPr>
            <w:tcW w:w="460" w:type="dxa"/>
            <w:vAlign w:val="bottom"/>
          </w:tcPr>
          <w:p>
            <w:pPr>
              <w:jc w:val="right"/>
              <w:spacing w:after="0"/>
              <w:rPr>
                <w:sz w:val="20"/>
                <w:szCs w:val="20"/>
                <w:color w:val="auto"/>
              </w:rPr>
            </w:pPr>
            <w:r>
              <w:rPr>
                <w:rFonts w:ascii="Arial" w:cs="Arial" w:eastAsia="Arial" w:hAnsi="Arial"/>
                <w:sz w:val="18"/>
                <w:szCs w:val="18"/>
                <w:color w:val="auto"/>
              </w:rPr>
              <w:t>908</w:t>
            </w:r>
          </w:p>
        </w:tc>
        <w:tc>
          <w:tcPr>
            <w:tcW w:w="2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646</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733</w:t>
            </w:r>
          </w:p>
        </w:tc>
        <w:tc>
          <w:tcPr>
            <w:tcW w:w="30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futures and options: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440"/>
              <w:spacing w:after="0"/>
              <w:rPr>
                <w:sz w:val="20"/>
                <w:szCs w:val="20"/>
                <w:color w:val="auto"/>
              </w:rPr>
            </w:pPr>
            <w:r>
              <w:rPr>
                <w:rFonts w:ascii="Arial" w:cs="Arial" w:eastAsia="Arial" w:hAnsi="Arial"/>
                <w:sz w:val="18"/>
                <w:szCs w:val="18"/>
                <w:color w:val="auto"/>
              </w:rPr>
              <w:t>10-Year</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1,603</w:t>
            </w:r>
          </w:p>
        </w:tc>
        <w:tc>
          <w:tcPr>
            <w:tcW w:w="2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1,470</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1,544</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1,370</w:t>
            </w:r>
          </w:p>
        </w:tc>
        <w:tc>
          <w:tcPr>
            <w:tcW w:w="30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5-Year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960" w:type="dxa"/>
            <w:vAlign w:val="bottom"/>
            <w:gridSpan w:val="2"/>
          </w:tcPr>
          <w:p>
            <w:pPr>
              <w:ind w:left="440"/>
              <w:spacing w:after="0"/>
              <w:rPr>
                <w:sz w:val="20"/>
                <w:szCs w:val="20"/>
                <w:color w:val="auto"/>
              </w:rPr>
            </w:pPr>
            <w:r>
              <w:rPr>
                <w:rFonts w:ascii="Arial" w:cs="Arial" w:eastAsia="Arial" w:hAnsi="Arial"/>
                <w:sz w:val="18"/>
                <w:szCs w:val="18"/>
                <w:color w:val="auto"/>
              </w:rPr>
              <w:t>Treasury bond</w:t>
            </w:r>
          </w:p>
        </w:tc>
        <w:tc>
          <w:tcPr>
            <w:tcW w:w="460" w:type="dxa"/>
            <w:vAlign w:val="bottom"/>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2-Year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Overall interest rate contract volume increased in the third quarter and first nine months of 2011 when compared with the same periods in 2010 due to volatility caused by a change in market expectations regarding short-term and long-term interest rates tied to the Federal Reserve’s announcement that it intends to maintain its zero interest rate policy through 2013 as well as the downgrade of the United States credit rating. While there was strong growth in short-term contract volume, mid-term interest rate contract volume, which includes Eurodollar back 32 futures and 5-Year U.S. Treasury futures and options, grew at a faster rate than short-term contract volume because of a shift from contracts based on short-term interest rates to mid-term interest rates due to the continued zero interest rate policy through 2013.</w:t>
      </w:r>
    </w:p>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also believe that overall U.S. Treasury futures and options contract volume increased due to institutional portfolio adjustments caused by the downgrade of the United States credit rating. Many institutional portfolios are required to maintain an average minimum overall credit rating. When the U.S. Treasury credit rating was downgraded, the institutional portfolios had to sell investments with lower credit ratings and buy more U.S. Treasuries in order to increase their average minimum overall credit rating.</w:t>
      </w:r>
    </w:p>
    <w:p>
      <w:pPr>
        <w:sectPr>
          <w:pgSz w:w="11900" w:h="16838" w:orient="portrait"/>
          <w:cols w:equalWidth="0" w:num="1">
            <w:col w:w="11420"/>
          </w:cols>
          <w:pgMar w:left="240" w:top="459" w:right="2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average daily volume for our key equity products.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857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E-mini S&amp;P futures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E-mini NASDAQ futures and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Nine Months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3"/>
          </w:tcPr>
          <w:p>
            <w:pPr>
              <w:jc w:val="center"/>
              <w:ind w:left="346"/>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vMerge w:val="restart"/>
          </w:tcPr>
          <w:p>
            <w:pPr>
              <w:spacing w:after="0"/>
              <w:rPr>
                <w:sz w:val="14"/>
                <w:szCs w:val="14"/>
                <w:color w:val="auto"/>
              </w:rPr>
            </w:pPr>
          </w:p>
        </w:tc>
        <w:tc>
          <w:tcPr>
            <w:tcW w:w="15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1"/>
              </w:rPr>
              <w:t>Change</w:t>
            </w: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46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60" w:type="dxa"/>
            <w:vAlign w:val="bottom"/>
          </w:tcPr>
          <w:p>
            <w:pPr>
              <w:jc w:val="right"/>
              <w:spacing w:after="0" w:line="201" w:lineRule="exact"/>
              <w:rPr>
                <w:sz w:val="20"/>
                <w:szCs w:val="20"/>
                <w:color w:val="auto"/>
              </w:rPr>
            </w:pPr>
            <w:r>
              <w:rPr>
                <w:rFonts w:ascii="Arial" w:cs="Arial" w:eastAsia="Arial" w:hAnsi="Arial"/>
                <w:sz w:val="18"/>
                <w:szCs w:val="18"/>
                <w:color w:val="auto"/>
                <w:w w:val="97"/>
              </w:rPr>
              <w:t>3,284</w:t>
            </w:r>
          </w:p>
        </w:tc>
        <w:tc>
          <w:tcPr>
            <w:tcW w:w="28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w w:val="97"/>
              </w:rPr>
              <w:t>2,172</w:t>
            </w:r>
          </w:p>
        </w:tc>
        <w:tc>
          <w:tcPr>
            <w:tcW w:w="280" w:type="dxa"/>
            <w:vAlign w:val="bottom"/>
          </w:tcPr>
          <w:p>
            <w:pPr>
              <w:spacing w:after="0"/>
              <w:rPr>
                <w:sz w:val="17"/>
                <w:szCs w:val="17"/>
                <w:color w:val="auto"/>
              </w:rPr>
            </w:pP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51%</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w w:val="97"/>
              </w:rPr>
              <w:t>2,621</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w w:val="84"/>
              </w:rPr>
              <w:t>2,379</w:t>
            </w:r>
          </w:p>
        </w:tc>
        <w:tc>
          <w:tcPr>
            <w:tcW w:w="300" w:type="dxa"/>
            <w:vAlign w:val="bottom"/>
          </w:tcPr>
          <w:p>
            <w:pPr>
              <w:spacing w:after="0"/>
              <w:rPr>
                <w:sz w:val="17"/>
                <w:szCs w:val="17"/>
                <w:color w:val="auto"/>
              </w:rPr>
            </w:pPr>
          </w:p>
        </w:tc>
        <w:tc>
          <w:tcPr>
            <w:tcW w:w="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460" w:type="dxa"/>
            <w:vAlign w:val="bottom"/>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328</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2">
            <w:col w:w="6240" w:space="720"/>
            <w:col w:w="4460"/>
          </w:cols>
          <w:pgMar w:left="240" w:top="459" w:right="239" w:bottom="1440" w:gutter="0" w:footer="0" w:header="0"/>
          <w:type w:val="continuous"/>
        </w:sectPr>
      </w:pPr>
    </w:p>
    <w:p>
      <w:pPr>
        <w:spacing w:after="0" w:line="291" w:lineRule="auto"/>
        <w:rPr>
          <w:sz w:val="20"/>
          <w:szCs w:val="20"/>
          <w:color w:val="auto"/>
        </w:rPr>
      </w:pPr>
      <w:r>
        <w:rPr>
          <w:rFonts w:ascii="Arial" w:cs="Arial" w:eastAsia="Arial" w:hAnsi="Arial"/>
          <w:sz w:val="16"/>
          <w:szCs w:val="16"/>
          <w:color w:val="auto"/>
        </w:rPr>
        <w:t>The increase in equity contract volume for the third quarter and first nine months of 2011 when compared with the same periods in 2010 was attributable to an overall increase in volatility, as measured by the CBOE Volatility Index. We experienced periods of high volatility within the equity markets during the third quarter of 2011, which we believe was attributable to the downgrade of the United States credit rating and the continuation of the sovereign debt crisis in Europe. We also experienced short periods of high volatility in May 2010 due to the start of the sovereign debt crisis in Europe, which we believe contributed to additional volume in the first nine months of 2010. In general, equity products such as the E-mini NASDAQ contracts that hedge market risks different than those of the E-mini S&amp;P 500, our most liquid equity product, do not tend to benefit from macro-level events or increased volatility to the same extent.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foreign exchange products.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i w:val="1"/>
                <w:iCs w:val="1"/>
                <w:color w:val="auto"/>
                <w:w w:val="91"/>
              </w:rPr>
              <w:t>(amounts in thousands)</w:t>
            </w:r>
          </w:p>
        </w:tc>
        <w:tc>
          <w:tcPr>
            <w:tcW w:w="5220" w:type="dxa"/>
            <w:vAlign w:val="bottom"/>
          </w:tcPr>
          <w:p>
            <w:pPr>
              <w:spacing w:after="0"/>
              <w:rPr>
                <w:sz w:val="14"/>
                <w:szCs w:val="14"/>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76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34"/>
        </w:trPr>
        <w:tc>
          <w:tcPr>
            <w:tcW w:w="1360" w:type="dxa"/>
            <w:vAlign w:val="bottom"/>
            <w:tcBorders>
              <w:bottom w:val="single" w:sz="8" w:color="auto"/>
            </w:tcBorders>
            <w:vMerge w:val="continue"/>
          </w:tcPr>
          <w:p>
            <w:pPr>
              <w:spacing w:after="0"/>
              <w:rPr>
                <w:sz w:val="11"/>
                <w:szCs w:val="11"/>
                <w:color w:val="auto"/>
              </w:rPr>
            </w:pPr>
          </w:p>
        </w:tc>
        <w:tc>
          <w:tcPr>
            <w:tcW w:w="5220" w:type="dxa"/>
            <w:vAlign w:val="bottom"/>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Euro</w:t>
            </w:r>
          </w:p>
        </w:tc>
        <w:tc>
          <w:tcPr>
            <w:tcW w:w="5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vMerge w:val="continue"/>
            <w:shd w:val="clear" w:color="auto" w:fill="CCEEFF"/>
          </w:tcPr>
          <w:p>
            <w:pPr>
              <w:spacing w:after="0"/>
              <w:rPr>
                <w:sz w:val="17"/>
                <w:szCs w:val="17"/>
                <w:color w:val="auto"/>
              </w:rPr>
            </w:pPr>
          </w:p>
        </w:tc>
        <w:tc>
          <w:tcPr>
            <w:tcW w:w="52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387</w:t>
            </w:r>
          </w:p>
        </w:tc>
        <w:tc>
          <w:tcPr>
            <w:tcW w:w="4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38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369</w:t>
            </w:r>
          </w:p>
        </w:tc>
        <w:tc>
          <w:tcPr>
            <w:tcW w:w="4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364</w:t>
            </w:r>
          </w:p>
        </w:tc>
        <w:tc>
          <w:tcPr>
            <w:tcW w:w="4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Japanese yen</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137</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129</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Australian dollar</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440" w:type="dxa"/>
            <w:vAlign w:val="bottom"/>
          </w:tcPr>
          <w:p>
            <w:pPr>
              <w:ind w:left="280"/>
              <w:spacing w:after="0"/>
              <w:rPr>
                <w:sz w:val="20"/>
                <w:szCs w:val="20"/>
                <w:color w:val="auto"/>
              </w:rPr>
            </w:pPr>
            <w:r>
              <w:rPr>
                <w:rFonts w:ascii="Arial" w:cs="Arial" w:eastAsia="Arial" w:hAnsi="Arial"/>
                <w:sz w:val="16"/>
                <w:szCs w:val="16"/>
                <w:color w:val="auto"/>
                <w:w w:val="78"/>
              </w:rPr>
              <w:t>44</w:t>
            </w:r>
          </w:p>
        </w:tc>
        <w:tc>
          <w:tcPr>
            <w:tcW w:w="5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78"/>
              </w:rPr>
              <w:t>19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overall increase in foreign exchange contract volume for the third quarter and first nine months of 2011 when compared with the same periods in 2010 was attributable to the ongoing sovereign debt crisis in Europe in the third quarter of 2011, which resulted in higher Euro contract volume. We believe that intervention by the Japanese central bank to control the yen foreign exchange rate caused the market to move to safe haven currencies, such as the Australian dollar and the Canadian dollar, which resulted in a decrease in Japanese yen contract volume and an increase in Australian dollar and Canadian dollar contract volume.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i w:val="1"/>
                <w:iCs w:val="1"/>
                <w:color w:val="auto"/>
                <w:w w:val="91"/>
              </w:rPr>
              <w:t>(amounts in thousands)</w:t>
            </w:r>
          </w:p>
        </w:tc>
        <w:tc>
          <w:tcPr>
            <w:tcW w:w="5220" w:type="dxa"/>
            <w:vAlign w:val="bottom"/>
          </w:tcPr>
          <w:p>
            <w:pPr>
              <w:spacing w:after="0"/>
              <w:rPr>
                <w:sz w:val="14"/>
                <w:szCs w:val="14"/>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1"/>
              </w:rPr>
              <w:t>Change</w:t>
            </w:r>
          </w:p>
        </w:tc>
        <w:tc>
          <w:tcPr>
            <w:tcW w:w="17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4"/>
        </w:trPr>
        <w:tc>
          <w:tcPr>
            <w:tcW w:w="1360" w:type="dxa"/>
            <w:vAlign w:val="bottom"/>
            <w:tcBorders>
              <w:bottom w:val="single" w:sz="8" w:color="auto"/>
            </w:tcBorders>
            <w:vMerge w:val="continue"/>
          </w:tcPr>
          <w:p>
            <w:pPr>
              <w:spacing w:after="0"/>
              <w:rPr>
                <w:sz w:val="11"/>
                <w:szCs w:val="11"/>
                <w:color w:val="auto"/>
              </w:rPr>
            </w:pPr>
          </w:p>
        </w:tc>
        <w:tc>
          <w:tcPr>
            <w:tcW w:w="5220" w:type="dxa"/>
            <w:vAlign w:val="bottom"/>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4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Corn</w:t>
            </w:r>
          </w:p>
        </w:tc>
        <w:tc>
          <w:tcPr>
            <w:tcW w:w="5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vMerge w:val="continue"/>
            <w:shd w:val="clear" w:color="auto" w:fill="CCEEFF"/>
          </w:tcPr>
          <w:p>
            <w:pPr>
              <w:spacing w:after="0"/>
              <w:rPr>
                <w:sz w:val="17"/>
                <w:szCs w:val="17"/>
                <w:color w:val="auto"/>
              </w:rPr>
            </w:pPr>
          </w:p>
        </w:tc>
        <w:tc>
          <w:tcPr>
            <w:tcW w:w="52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399</w:t>
            </w:r>
          </w:p>
        </w:tc>
        <w:tc>
          <w:tcPr>
            <w:tcW w:w="4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394</w:t>
            </w:r>
          </w:p>
        </w:tc>
        <w:tc>
          <w:tcPr>
            <w:tcW w:w="38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444</w:t>
            </w:r>
          </w:p>
        </w:tc>
        <w:tc>
          <w:tcPr>
            <w:tcW w:w="44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331</w:t>
            </w:r>
          </w:p>
        </w:tc>
        <w:tc>
          <w:tcPr>
            <w:tcW w:w="4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Soybean</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4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153</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Wheat</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the increase in contract volume for the third quarter and first nine months of 2011 when compared with the same periods of 2010 was attributable to a decline in supply due to flooding, drought and excessive heat in 2011, which resulted in increased volatility and higher grain prices. We also believe the increase in volume resulted from increased demand for feedgrains caused by increased demand for cattle and other proteins in emerging markets. Corn contract volume remained flat and wheat volume declined in the third quarter of 2011 when compared with the same period in 2010 due to lower volatility in the corn and wheat market compared with the soybean market.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i w:val="1"/>
                <w:iCs w:val="1"/>
                <w:color w:val="auto"/>
                <w:w w:val="91"/>
              </w:rPr>
              <w:t>(amounts in thousands)</w:t>
            </w:r>
          </w:p>
        </w:tc>
        <w:tc>
          <w:tcPr>
            <w:tcW w:w="5220" w:type="dxa"/>
            <w:vAlign w:val="bottom"/>
          </w:tcPr>
          <w:p>
            <w:pPr>
              <w:spacing w:after="0"/>
              <w:rPr>
                <w:sz w:val="14"/>
                <w:szCs w:val="14"/>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1"/>
              </w:rPr>
              <w:t>Change</w:t>
            </w:r>
          </w:p>
        </w:tc>
        <w:tc>
          <w:tcPr>
            <w:tcW w:w="176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34"/>
        </w:trPr>
        <w:tc>
          <w:tcPr>
            <w:tcW w:w="1360" w:type="dxa"/>
            <w:vAlign w:val="bottom"/>
            <w:tcBorders>
              <w:bottom w:val="single" w:sz="8" w:color="auto"/>
            </w:tcBorders>
            <w:vMerge w:val="continue"/>
          </w:tcPr>
          <w:p>
            <w:pPr>
              <w:spacing w:after="0"/>
              <w:rPr>
                <w:sz w:val="11"/>
                <w:szCs w:val="11"/>
                <w:color w:val="auto"/>
              </w:rPr>
            </w:pPr>
          </w:p>
        </w:tc>
        <w:tc>
          <w:tcPr>
            <w:tcW w:w="5220" w:type="dxa"/>
            <w:vAlign w:val="bottom"/>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4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Crude oil</w:t>
            </w:r>
          </w:p>
        </w:tc>
        <w:tc>
          <w:tcPr>
            <w:tcW w:w="5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vMerge w:val="continue"/>
            <w:shd w:val="clear" w:color="auto" w:fill="CCEEFF"/>
          </w:tcPr>
          <w:p>
            <w:pPr>
              <w:spacing w:after="0"/>
              <w:rPr>
                <w:sz w:val="17"/>
                <w:szCs w:val="17"/>
                <w:color w:val="auto"/>
              </w:rPr>
            </w:pPr>
          </w:p>
        </w:tc>
        <w:tc>
          <w:tcPr>
            <w:tcW w:w="52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849</w:t>
            </w:r>
          </w:p>
        </w:tc>
        <w:tc>
          <w:tcPr>
            <w:tcW w:w="4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831</w:t>
            </w:r>
          </w:p>
        </w:tc>
        <w:tc>
          <w:tcPr>
            <w:tcW w:w="38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932</w:t>
            </w:r>
          </w:p>
        </w:tc>
        <w:tc>
          <w:tcPr>
            <w:tcW w:w="44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869</w:t>
            </w:r>
          </w:p>
        </w:tc>
        <w:tc>
          <w:tcPr>
            <w:tcW w:w="4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Natural gas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4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501</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489</w:t>
            </w:r>
          </w:p>
        </w:tc>
        <w:tc>
          <w:tcPr>
            <w:tcW w:w="4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8"/>
              </w:rPr>
              <w:t>Refined products</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Energy contract volume was relatively flat in the third quarter of 2011 when compared with the same period in 2010 due to low price volatility within the energy market.</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the first nine months of 2011 when compared with the same period of 2010, we believe the increase in contract volume was attributable to increased price volatility within the energy market during the first quarter of 2011. We believe that increased volatility caused by changes in global supply and demand resulting from political unrest in the Middle East in the first quarter of 2011 contributed to the increase in crude oil volume. We also believe that increased volatility caused by weather-related events led to an increase in natural gas contract volume in the first nine months of 2011.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average daily volume for our key metal products.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857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Silver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Nine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76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4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0" w:type="dxa"/>
            <w:vAlign w:val="bottom"/>
          </w:tcPr>
          <w:p>
            <w:pPr>
              <w:jc w:val="right"/>
              <w:spacing w:after="0" w:line="201" w:lineRule="exact"/>
              <w:rPr>
                <w:sz w:val="20"/>
                <w:szCs w:val="20"/>
                <w:color w:val="auto"/>
              </w:rPr>
            </w:pPr>
            <w:r>
              <w:rPr>
                <w:rFonts w:ascii="Arial" w:cs="Arial" w:eastAsia="Arial" w:hAnsi="Arial"/>
                <w:sz w:val="18"/>
                <w:szCs w:val="18"/>
                <w:color w:val="auto"/>
                <w:w w:val="99"/>
              </w:rPr>
              <w:t>310</w:t>
            </w:r>
          </w:p>
        </w:tc>
        <w:tc>
          <w:tcPr>
            <w:tcW w:w="400" w:type="dxa"/>
            <w:vAlign w:val="bottom"/>
            <w:vMerge w:val="continue"/>
          </w:tcPr>
          <w:p>
            <w:pPr>
              <w:spacing w:after="0"/>
              <w:rPr>
                <w:sz w:val="17"/>
                <w:szCs w:val="17"/>
                <w:color w:val="auto"/>
              </w:rPr>
            </w:pP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170</w:t>
            </w:r>
          </w:p>
        </w:tc>
        <w:tc>
          <w:tcPr>
            <w:tcW w:w="380" w:type="dxa"/>
            <w:vAlign w:val="bottom"/>
            <w:vMerge w:val="continue"/>
          </w:tcPr>
          <w:p>
            <w:pPr>
              <w:spacing w:after="0"/>
              <w:rPr>
                <w:sz w:val="17"/>
                <w:szCs w:val="17"/>
                <w:color w:val="auto"/>
              </w:rPr>
            </w:pPr>
          </w:p>
        </w:tc>
        <w:tc>
          <w:tcPr>
            <w:tcW w:w="9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82%</w:t>
            </w: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252</w:t>
            </w:r>
          </w:p>
        </w:tc>
        <w:tc>
          <w:tcPr>
            <w:tcW w:w="440" w:type="dxa"/>
            <w:vAlign w:val="bottom"/>
            <w:vMerge w:val="continue"/>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400" w:type="dxa"/>
            <w:vAlign w:val="bottom"/>
            <w:vMerge w:val="continue"/>
          </w:tcPr>
          <w:p>
            <w:pPr>
              <w:spacing w:after="0"/>
              <w:rPr>
                <w:sz w:val="17"/>
                <w:szCs w:val="17"/>
                <w:color w:val="auto"/>
              </w:rPr>
            </w:pPr>
          </w:p>
        </w:tc>
        <w:tc>
          <w:tcPr>
            <w:tcW w:w="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440" w:type="dxa"/>
            <w:vAlign w:val="bottom"/>
          </w:tcPr>
          <w:p>
            <w:pPr>
              <w:ind w:left="280"/>
              <w:spacing w:after="0"/>
              <w:rPr>
                <w:sz w:val="20"/>
                <w:szCs w:val="20"/>
                <w:color w:val="auto"/>
              </w:rPr>
            </w:pPr>
            <w:r>
              <w:rPr>
                <w:rFonts w:ascii="Arial" w:cs="Arial" w:eastAsia="Arial" w:hAnsi="Arial"/>
                <w:sz w:val="16"/>
                <w:szCs w:val="16"/>
                <w:color w:val="auto"/>
                <w:w w:val="78"/>
              </w:rPr>
              <w:t>88</w:t>
            </w: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2">
            <w:col w:w="5860" w:space="720"/>
            <w:col w:w="4780"/>
          </w:cols>
          <w:pgMar w:left="240" w:top="459" w:right="299" w:bottom="1440" w:gutter="0" w:footer="0" w:header="0"/>
        </w:sectPr>
      </w:pPr>
    </w:p>
    <w:p>
      <w:pPr>
        <w:ind w:right="260"/>
        <w:spacing w:after="0" w:line="332" w:lineRule="auto"/>
        <w:rPr>
          <w:sz w:val="20"/>
          <w:szCs w:val="20"/>
          <w:color w:val="auto"/>
        </w:rPr>
      </w:pPr>
      <w:r>
        <w:rPr>
          <w:rFonts w:ascii="Arial" w:cs="Arial" w:eastAsia="Arial" w:hAnsi="Arial"/>
          <w:sz w:val="16"/>
          <w:szCs w:val="16"/>
          <w:color w:val="auto"/>
        </w:rPr>
        <w:t>The overall increase in metal contract volume is attributable to the increased investment in precious metals as an asset class due to high volatility within other financial markets. We believe that there has been an increase in silver contract volume due to the greater use of silver as an alternative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average rate per contract decreased in the third quarter when compared with the same period in 2010 due to a higher portion of equity products as a percentage of total volume compared with energy products. As a percentage of volume, equity product volume increased by 3% in the third quarter while energy products decreased by 3%. Equity products have lower fees compared with energy products. In addition, the average rate per contract decreased due to incremental volume in energy and interest rate products which triggered higher-tiered discount levels.</w:t>
      </w:r>
    </w:p>
    <w:p>
      <w:pPr>
        <w:spacing w:after="0" w:line="11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the first nine months of 2011 when compared with the same period in 2010, the average rate per contract decreased due to a higher portion of interest rate products as a percentage of total volume compared with energy products. As a percentage of volume, interest rate product volume increased by 2% in the first nine months of 2011 while energy products decreased by 1%. Interest rate products have lower fees compared with energy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12% and one firm represented 11% of our clearing and transaction fees revenue in the first nine months of 2011.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9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Revenue from Index Services contributed to an increase in market data and information services revenue in the third quarter and first nine months of 2011 when compared with the same periods in 2010. Revenues from Index Services, which include revenue from market data and licensing, increased in the third quarter of 2011 when compared with the same period of 2010 due to growth in assets under management, which was driven by underlying index market performance. The increase in the first nine months of 2011 when compared with the same period in 2010 was attributable to the formation of Index Services in March 2010. The increase in the third quarter and first nine months was partially offset by a decrease in basic device counts due to cost-cutting initiatives at customer firms.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2012, all users of our basic service will pay $70 per month for each basic device.</w:t>
      </w:r>
    </w:p>
    <w:p>
      <w:pPr>
        <w:spacing w:after="0" w:line="9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two largest resellers of our market data represented approximately 39% of our market data and information services revenue in the first nine months of 2011.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98"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We recognized a $9.8 million gain on sale of certain Index Services assets related to one of its service offerings in the second quarter of 2011, which contributed to the increase in other revenue in the first nine months of 2011 when compared with the same period in 2010. In addition, $0.9 million and $3.7 million in incremental processing services revenue generated from various strategic relationships contributed to an increase in other revenues in the third quarter</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and first nine months of 2011 when compared with the same periods of 2010. The increase in the third quarter of 2011 was partially offset by a $3.7 million decrease in revenues generated from our agreement with BM&amp;FBOVESPA S.A. (BM&amp;FBOVESPA) to develop a new multi-asset class electronic platform because the initial development phase was completed in the third quarter of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Nine Months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5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Arial" w:cs="Arial" w:eastAsia="Arial" w:hAnsi="Arial"/>
                <w:sz w:val="14"/>
                <w:szCs w:val="14"/>
                <w:i w:val="1"/>
                <w:iCs w:val="1"/>
                <w:color w:val="auto"/>
                <w:w w:val="96"/>
              </w:rPr>
              <w:t>(dollars in millions)</w:t>
            </w:r>
          </w:p>
        </w:tc>
        <w:tc>
          <w:tcPr>
            <w:tcW w:w="5620" w:type="dxa"/>
            <w:vAlign w:val="bottom"/>
            <w:vMerge w:val="restart"/>
          </w:tcPr>
          <w:p>
            <w:pPr>
              <w:spacing w:after="0"/>
              <w:rPr>
                <w:sz w:val="14"/>
                <w:szCs w:val="14"/>
                <w:color w:val="auto"/>
              </w:rPr>
            </w:pPr>
          </w:p>
        </w:tc>
        <w:tc>
          <w:tcPr>
            <w:tcW w:w="15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34"/>
        </w:trPr>
        <w:tc>
          <w:tcPr>
            <w:tcW w:w="1140" w:type="dxa"/>
            <w:vAlign w:val="bottom"/>
            <w:tcBorders>
              <w:bottom w:val="single" w:sz="8" w:color="auto"/>
            </w:tcBorders>
            <w:vMerge w:val="continue"/>
          </w:tcPr>
          <w:p>
            <w:pPr>
              <w:spacing w:after="0"/>
              <w:rPr>
                <w:sz w:val="11"/>
                <w:szCs w:val="11"/>
                <w:color w:val="auto"/>
              </w:rPr>
            </w:pPr>
          </w:p>
        </w:tc>
        <w:tc>
          <w:tcPr>
            <w:tcW w:w="5620" w:type="dxa"/>
            <w:vAlign w:val="bottom"/>
            <w:vMerge w:val="continue"/>
          </w:tcPr>
          <w:p>
            <w:pPr>
              <w:spacing w:after="0"/>
              <w:rPr>
                <w:sz w:val="11"/>
                <w:szCs w:val="11"/>
                <w:color w:val="auto"/>
              </w:rPr>
            </w:pPr>
          </w:p>
        </w:tc>
        <w:tc>
          <w:tcPr>
            <w:tcW w:w="50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Borders>
              <w:right w:val="single" w:sz="8" w:color="CCEEFF"/>
            </w:tcBorders>
            <w:gridSpan w:val="2"/>
            <w:vMerge w:val="continue"/>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$ 119.9</w:t>
            </w:r>
          </w:p>
        </w:tc>
        <w:tc>
          <w:tcPr>
            <w:tcW w:w="2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$ 110.4</w:t>
            </w:r>
          </w:p>
        </w:tc>
        <w:tc>
          <w:tcPr>
            <w:tcW w:w="28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w:t>
            </w:r>
          </w:p>
        </w:tc>
        <w:tc>
          <w:tcPr>
            <w:tcW w:w="1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$359.7</w:t>
            </w:r>
          </w:p>
        </w:tc>
        <w:tc>
          <w:tcPr>
            <w:tcW w:w="14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$312.3</w:t>
            </w:r>
          </w:p>
        </w:tc>
        <w:tc>
          <w:tcPr>
            <w:tcW w:w="3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9.8</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31.7</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30.8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26.1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90.4</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82.5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99.2</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32.4</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33.1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95.1</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98.1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56.9</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20.5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64.7</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62.8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302.1</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913.4</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867.8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Operating expenses increased by $11.6 million and $45.6 million in the third quarter and first nine months of 2011, respectively, when compared with the same periods in 2010. The following table shows the estimated impact of key factors resulting in the increase (decrease) in operating expenses: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60" w:type="dxa"/>
            <w:vAlign w:val="bottom"/>
            <w:gridSpan w:val="3"/>
          </w:tcPr>
          <w:p>
            <w:pPr>
              <w:jc w:val="right"/>
              <w:ind w:right="140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4"/>
                <w:szCs w:val="14"/>
                <w:color w:val="auto"/>
              </w:rPr>
            </w:pPr>
          </w:p>
        </w:tc>
        <w:tc>
          <w:tcPr>
            <w:tcW w:w="21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September 30, 2011</w:t>
            </w:r>
          </w:p>
        </w:tc>
        <w:tc>
          <w:tcPr>
            <w:tcW w:w="120" w:type="dxa"/>
            <w:vAlign w:val="bottom"/>
          </w:tcPr>
          <w:p>
            <w:pPr>
              <w:spacing w:after="0"/>
              <w:rPr>
                <w:sz w:val="14"/>
                <w:szCs w:val="14"/>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5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Amount</w:t>
            </w:r>
          </w:p>
        </w:tc>
        <w:tc>
          <w:tcPr>
            <w:tcW w:w="7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Change as a</w:t>
            </w:r>
          </w:p>
        </w:tc>
        <w:tc>
          <w:tcPr>
            <w:tcW w:w="80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Amount</w:t>
            </w: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Change as a</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i w:val="1"/>
                <w:iCs w:val="1"/>
                <w:color w:val="auto"/>
                <w:w w:val="96"/>
              </w:rPr>
              <w:t>(dollars in millions)</w:t>
            </w:r>
          </w:p>
        </w:tc>
        <w:tc>
          <w:tcPr>
            <w:tcW w:w="5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of</w:t>
            </w:r>
          </w:p>
        </w:tc>
        <w:tc>
          <w:tcPr>
            <w:tcW w:w="700" w:type="dxa"/>
            <w:vAlign w:val="bottom"/>
          </w:tcPr>
          <w:p>
            <w:pPr>
              <w:spacing w:after="0"/>
              <w:rPr>
                <w:sz w:val="12"/>
                <w:szCs w:val="12"/>
                <w:color w:val="auto"/>
              </w:rPr>
            </w:pPr>
          </w:p>
        </w:tc>
        <w:tc>
          <w:tcPr>
            <w:tcW w:w="16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20" w:type="dxa"/>
            <w:vAlign w:val="bottom"/>
          </w:tcPr>
          <w:p>
            <w:pPr>
              <w:spacing w:after="0"/>
              <w:rPr>
                <w:sz w:val="12"/>
                <w:szCs w:val="12"/>
                <w:color w:val="auto"/>
              </w:rPr>
            </w:pPr>
          </w:p>
        </w:tc>
        <w:tc>
          <w:tcPr>
            <w:tcW w:w="11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of</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53"/>
        </w:trPr>
        <w:tc>
          <w:tcPr>
            <w:tcW w:w="1140" w:type="dxa"/>
            <w:vAlign w:val="bottom"/>
            <w:tcBorders>
              <w:bottom w:val="single" w:sz="8" w:color="auto"/>
            </w:tcBorders>
            <w:vMerge w:val="continue"/>
          </w:tcPr>
          <w:p>
            <w:pPr>
              <w:spacing w:after="0"/>
              <w:rPr>
                <w:sz w:val="12"/>
                <w:szCs w:val="12"/>
                <w:color w:val="auto"/>
              </w:rPr>
            </w:pPr>
          </w:p>
        </w:tc>
        <w:tc>
          <w:tcPr>
            <w:tcW w:w="5120" w:type="dxa"/>
            <w:vAlign w:val="bottom"/>
            <w:vMerge w:val="continue"/>
          </w:tcPr>
          <w:p>
            <w:pPr>
              <w:spacing w:after="0"/>
              <w:rPr>
                <w:sz w:val="12"/>
                <w:szCs w:val="12"/>
                <w:color w:val="auto"/>
              </w:rPr>
            </w:pPr>
          </w:p>
        </w:tc>
        <w:tc>
          <w:tcPr>
            <w:tcW w:w="5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9"/>
              </w:rPr>
              <w:t>Change</w:t>
            </w:r>
          </w:p>
        </w:tc>
        <w:tc>
          <w:tcPr>
            <w:tcW w:w="700" w:type="dxa"/>
            <w:vAlign w:val="bottom"/>
          </w:tcPr>
          <w:p>
            <w:pPr>
              <w:spacing w:after="0"/>
              <w:rPr>
                <w:sz w:val="12"/>
                <w:szCs w:val="12"/>
                <w:color w:val="auto"/>
              </w:rPr>
            </w:pPr>
          </w:p>
        </w:tc>
        <w:tc>
          <w:tcPr>
            <w:tcW w:w="166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3"/>
              </w:rPr>
              <w:t>Total Expenses</w:t>
            </w:r>
          </w:p>
        </w:tc>
        <w:tc>
          <w:tcPr>
            <w:tcW w:w="122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w w:val="89"/>
              </w:rPr>
              <w:t>Change</w:t>
            </w:r>
          </w:p>
        </w:tc>
        <w:tc>
          <w:tcPr>
            <w:tcW w:w="10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3"/>
              </w:rPr>
              <w:t>Total Expenses</w:t>
            </w:r>
          </w:p>
        </w:tc>
        <w:tc>
          <w:tcPr>
            <w:tcW w:w="0" w:type="dxa"/>
            <w:vAlign w:val="bottom"/>
          </w:tcPr>
          <w:p>
            <w:pPr>
              <w:spacing w:after="0"/>
              <w:rPr>
                <w:sz w:val="1"/>
                <w:szCs w:val="1"/>
                <w:color w:val="auto"/>
              </w:rPr>
            </w:pPr>
          </w:p>
        </w:tc>
      </w:tr>
      <w:tr>
        <w:trPr>
          <w:trHeight w:val="20"/>
        </w:trPr>
        <w:tc>
          <w:tcPr>
            <w:tcW w:w="6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Salaries, benefits and employer taxes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Borders>
              <w:left w:val="single" w:sz="8" w:color="CCEEFF"/>
            </w:tcBorders>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12.8</w:t>
            </w:r>
          </w:p>
        </w:tc>
        <w:tc>
          <w:tcPr>
            <w:tcW w:w="700" w:type="dxa"/>
            <w:vAlign w:val="bottom"/>
            <w:tcBorders>
              <w:left w:val="single" w:sz="8" w:color="CCEEFF"/>
            </w:tcBorders>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37.8</w:t>
            </w:r>
          </w:p>
        </w:tc>
        <w:tc>
          <w:tcPr>
            <w:tcW w:w="70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2360" w:type="dxa"/>
            <w:vAlign w:val="bottom"/>
            <w:gridSpan w:val="3"/>
          </w:tcPr>
          <w:p>
            <w:pPr>
              <w:jc w:val="right"/>
              <w:ind w:right="8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9.7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expense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00" w:type="dxa"/>
            <w:vAlign w:val="bottom"/>
            <w:tcBorders>
              <w:left w:val="single" w:sz="8" w:color="CCEEFF"/>
            </w:tcBorders>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License fees based on volume</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2360" w:type="dxa"/>
            <w:vAlign w:val="bottom"/>
            <w:gridSpan w:val="3"/>
          </w:tcPr>
          <w:p>
            <w:pPr>
              <w:jc w:val="right"/>
              <w:ind w:right="8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0.3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settlements and legal accruals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w:t>
            </w:r>
          </w:p>
        </w:tc>
        <w:tc>
          <w:tcPr>
            <w:tcW w:w="2360" w:type="dxa"/>
            <w:vAlign w:val="bottom"/>
            <w:tcBorders>
              <w:left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Non-qualified deferred compensation plan</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236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 related to Index Services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00" w:type="dxa"/>
            <w:vAlign w:val="bottom"/>
            <w:tcBorders>
              <w:left w:val="single" w:sz="8" w:color="CCEEFF"/>
            </w:tcBorders>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CMA Impairment</w:t>
            </w:r>
          </w:p>
        </w:tc>
        <w:tc>
          <w:tcPr>
            <w:tcW w:w="120" w:type="dxa"/>
            <w:vAlign w:val="bottom"/>
          </w:tcPr>
          <w:p>
            <w:pPr>
              <w:spacing w:after="0"/>
              <w:rPr>
                <w:sz w:val="18"/>
                <w:szCs w:val="18"/>
                <w:color w:val="auto"/>
              </w:rPr>
            </w:pPr>
          </w:p>
        </w:tc>
        <w:tc>
          <w:tcPr>
            <w:tcW w:w="4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(20.5)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00" w:type="dxa"/>
            <w:vAlign w:val="bottom"/>
            <w:tcBorders>
              <w:left w:val="single" w:sz="8" w:color="CCEEFF"/>
            </w:tcBorders>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Total percent increase</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7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45.6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Salary increases and rising healthcare costs contributed to a rise in salaries, benefits and employer taxes. An increase in average headcount primarily due to the formation of Index Services also contributed to an increase in expense in the first nine months of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increased in the first nine months of 2011 due to the expense impact related to the September 2010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Marketing expenses increased in the third quarter and first nine months of 2011 due primarily to new advertising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License fees based on volume increased in the third quarter and first nine months of 2011 due to an increase in equity product volume.</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Legal and other expenses decreased in the third quarter and first nine months of 2011 due to additional customer settlements and additional accruals for various legal matters in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Compensation and benefits expense decreased due to a reduction in our non-qualified deferred compensation plan liability, the impact of which does not affect net income because of an equal and offsetting change in investment income.</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decrease in professional fees relating to the formation and integration of Index Services, which occurred in the first quarter of 2010, partially offset the overall increase in expense in the first nine months of 2011.</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the overall increase in expense in the first nine months of 2011 were partially offset by impairment charges recorded in the second quarter of 2010 on the goodwill and trade name related to our CMA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0"/>
              </w:rPr>
              <w:t>Nine Months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Pr>
          <w:p>
            <w:pPr>
              <w:spacing w:after="0"/>
              <w:rPr>
                <w:sz w:val="14"/>
                <w:szCs w:val="14"/>
                <w:color w:val="auto"/>
              </w:rPr>
            </w:pPr>
          </w:p>
        </w:tc>
        <w:tc>
          <w:tcPr>
            <w:tcW w:w="144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gridSpan w:val="2"/>
            <w:vMerge w:val="restart"/>
          </w:tcPr>
          <w:p>
            <w:pPr>
              <w:jc w:val="right"/>
              <w:ind w:right="252"/>
              <w:spacing w:after="0"/>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4"/>
                <w:szCs w:val="14"/>
                <w:color w:val="auto"/>
              </w:rPr>
            </w:pPr>
          </w:p>
        </w:tc>
        <w:tc>
          <w:tcPr>
            <w:tcW w:w="16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29"/>
        </w:trPr>
        <w:tc>
          <w:tcPr>
            <w:tcW w:w="666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jc w:val="right"/>
              <w:ind w:right="27"/>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$ 12.6</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$ 27.1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Gains (losses) on derivative investments</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5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borrowing costs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(29.0)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7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(19)</w:t>
            </w:r>
          </w:p>
        </w:tc>
        <w:tc>
          <w:tcPr>
            <w:tcW w:w="7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(105.2)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Equity in net losses of unconsolidated subsidiaries</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(75)</w:t>
            </w:r>
          </w:p>
        </w:tc>
        <w:tc>
          <w:tcPr>
            <w:tcW w:w="760" w:type="dxa"/>
            <w:vAlign w:val="bottom"/>
            <w:gridSpan w:val="3"/>
          </w:tcPr>
          <w:p>
            <w:pPr>
              <w:jc w:val="right"/>
              <w:ind w:right="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(26.2)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(27.2)</w:t>
            </w:r>
          </w:p>
        </w:tc>
        <w:tc>
          <w:tcPr>
            <w:tcW w:w="7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7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(63.9)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decrease in investment income during the third quarter and first nine months of 2011 when compared with the same period in 2010 was due to a decline in gains on marketable securities related to our non-qualified deferred compensation plans of $7.3 million and $4.1 million in the third quarter and first nine months of 2011, respectively, when compared with the same periods in 2010. Gains and losses from these non-qualified deferred compensation plan securities are offset by an equal amount of compensation and benefits expense. The decrease in the first nine months of 2011 when compared with the same period of 2010 was partially offset by an increase in dividend income from our investment in BM&amp;FBOVESPA. Total overall dividend income was $28.0 million in the first nine months of 2011 compared with $23.3 million for the same period in 2010.</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March 2010, we recognized a $6.0 million gain on derivative investments as a result of a settlement from the Lehman Brothers Holdings Inc. (Lehman) bankruptcy proceedings. The settlement related to an unsecured claim against Lehman as counterparty to an over-the-counter put option contract we purchased to hedge our risk of changes in the fair value of BM&amp;FBOVESPA stock resulting from foreign currency exchange rate fluctuations between the U.S. dollar and the Brazilian real.</w:t>
      </w:r>
    </w:p>
    <w:p>
      <w:pPr>
        <w:spacing w:after="0" w:line="14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the third quarter and first nine months of 2011, when compared with the same periods in 2010, interest expense decreased due to the repayment of the $420.5 million term loan in January 2011 and the maturity of the $300.0 million floating rate notes in August 2010. The decrease in interest expense in the first nine months of 2011 was partially offset by the issuance of $612.5 million of 4.40% fixed rate notes due 2018 in March 2010.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20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Borders>
              <w:bottom w:val="single" w:sz="8" w:color="CCEEFF"/>
            </w:tcBorders>
          </w:tcPr>
          <w:p>
            <w:pPr>
              <w:spacing w:after="0"/>
              <w:rPr>
                <w:sz w:val="19"/>
                <w:szCs w:val="19"/>
                <w:color w:val="auto"/>
              </w:rPr>
            </w:pPr>
          </w:p>
        </w:tc>
      </w:tr>
      <w:tr>
        <w:trPr>
          <w:trHeight w:val="210"/>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borrowings outstanding (in millions)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$2,112.5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$2,653.7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(541.2)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$2,153.5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$2,713.6</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(560.1)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Weighted average effective yield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5.06%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4.90%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borrowings (1)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w:t>
            </w:r>
          </w:p>
        </w:tc>
      </w:tr>
    </w:tbl>
    <w:p>
      <w:pPr>
        <w:spacing w:after="0" w:line="7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cost of borrowing includes interest, commitment fees, discount accretion and debt issuance costs.</w:t>
      </w:r>
    </w:p>
    <w:p>
      <w:pPr>
        <w:spacing w:after="0" w:line="17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 the third quarter of 2010, we recognized an impairment of $2.2 million on our investment in OneChicago, LLC, which resulted in a decrease in equity in net losses of unconsolidated subsidiaries in the third quarter and first nine months of 2011, when compared with the same periods in 2010.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Quarter ended September 30</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42.3%</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Nine months ended September 30</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31.9</w:t>
            </w:r>
          </w:p>
        </w:tc>
        <w:tc>
          <w:tcPr>
            <w:tcW w:w="52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41.6</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r>
    </w:tbl>
    <w:p>
      <w:pPr>
        <w:spacing w:after="0" w:line="14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third quarter of 2011 when compared with the same period in 2010, the effective tax rate increased as the result of additional expense related to the impact of combined state and local tax rates on our existing deferred tax liabilities due to revised state and local tax apportionment estimates. The increase was offset by a decrease resulting from a reduction in the liability for uncertain tax positions.</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first nine months of 2011 when compared with the same period of 2010, the decrease in our effective tax rate was primarily attributable to a change in state tax apportionment recorded in the first quarter of 2011. This change resulted in a reduction in our income tax provision of $118.1 million due largely to a revaluation of our existing deferred tax liabilities. Additionally, in the first quarter of 2011, we began marking to market our investment in BM&amp;FBOVESPA which resulted in a $48.8 million reduction in valuation allowances on other unrealized capital losses previously reserved.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was $999.8 million for the first nine months of 2011 compared with $963.0 million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same period in 2010. The increase in net cash provided by operating activities was due to an increase in contract volume. In the first nine months of 2011,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was $67.9 million lower than net income. This decrease was the result of a decrease in deferred income tax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$130.8 million due to the revaluation of our existing deferred tax liabilities and a reduction in deferred tax valuation allowances. Also contributing to the overall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decrease in cash was an increase in accounts receivable of $72.5 million. Accounts receivable in any period result primarily from the clearing and transaction fees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billed in the last month of the reporting period.</w:t>
      </w:r>
    </w:p>
    <w:p>
      <w:pPr>
        <w:spacing w:after="0" w:line="165"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Cash used in investing activities was $111.0 million in the first nine months of 2011 compared with cash used in investing activities of $68.7 million in the first nine months of 2010. The increase in cash used was largely attributable to an increase in purchases of property in the first nine months of 2011 when compared with the same period in 2010. We also recognized proceeds from the Chicago Board Options Exchange exercise privileges in 2010.</w:t>
      </w:r>
    </w:p>
    <w:p>
      <w:pPr>
        <w:spacing w:after="0" w:line="1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used in financing activities was $914.7 million in the first nine months of 2011 compared with $586.7 million for the same period in 2010. The increase was attributable to an increase in repayment of debt in the first nine months of 2011 when compared with the same period in 2010. The increase was partially offset by proceeds from the shares issued to BM&amp;FBOVESPA in the third quarter of 2010 and a decrease in share repurchases of $354.8 million in the first nine months of 2011 when compared with the same period in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September 30,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8"/>
              </w:rPr>
              <w:t>(in millions)</w:t>
            </w:r>
          </w:p>
        </w:tc>
        <w:tc>
          <w:tcPr>
            <w:tcW w:w="67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r>
      <w:tr>
        <w:trPr>
          <w:trHeight w:val="203"/>
        </w:trPr>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Fixed rate notes due August 2013, interest equal to 5.40%</w:t>
            </w:r>
          </w:p>
        </w:tc>
        <w:tc>
          <w:tcPr>
            <w:tcW w:w="3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$ 750.0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Fixed rate notes due February 2014, interest equal to 5.75%</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11"/>
                <w:szCs w:val="11"/>
                <w:color w:val="auto"/>
              </w:rPr>
              <w:t>(1)</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2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March 2010, we completed an unregistered offering of fixed rate notes due 2018. Net proceeds from the offering were used to fund a distribution to Dow Jones in conjunction with our investment in Index Services. In February 2010, we entered into a forward-starting interest rate swap agreement that modified the interest obligation associated with these notes so that the interest payable on the notes effectively became fixed at a rate of 4.46% beginning with the interest accrued after March 18, 2010.</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Effective January 11, 2011, we entered into a new $1.0 billion multi-currency revolving senior credit facility with various financial institutions. The proceeds from the revolving senior credit facility can be used for general corporate purposes, which includes providing liquidity for our clearing house. As long as we are not in default under the new senior credit facility, we have the option to increase the facility to $1.8 billion with the consent of the agent and lenders providing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additional funds. The new senior credit facility matures in January 2014 and is voluntarily prepayable from time to time without premium or penalty. Under our new credit facility, we are required to remain in compliance with a consolidated net worth test, which is defined as our consolidated shareholders’ equity as of September 30, 2010, giving effect to share repurchases made and special dividends paid during the term of the agreement (and in no event greater than $2.0 billion in aggregate), multiplied by 0.65. We currently do not have any borrowings under this credit facility.</w:t>
      </w:r>
    </w:p>
    <w:p>
      <w:pPr>
        <w:spacing w:after="0" w:line="11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maintain a 364-day fully secured, committed line of credit with a consortium of domestic and international banks to be used in certain situations by our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U.S. Treasury securities, Government agency securities or money market mutual funds as well as the performance bond assets of a defaulting firm can be used to collateralize the facility. The line of credit provides for borrowings of up to $1.0 billion. At September 30, 2011, guaranty fund collateral available was $4.3 billion. We have the option to request an increase in the line from $1.0 billion to $2.0 billion. In addition to the 364-day fully secured, committed line of credit, we also have the option to use the new $1.0 billion multi-currency revolving senior credit facility to provide liquidity for our clearing house in the unlikely event of default.</w:t>
      </w:r>
    </w:p>
    <w:p>
      <w:pPr>
        <w:spacing w:after="0" w:line="11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addition, our 364-day fully secured, committed revolving line of credit contains a requirement that CME remain in compliance with a consolidated tangible net worth test, defined as CME consolidated shareholder’s equity less intangible assets (as defined in the agreement), of not less than $125.0 million. In the event that CME elects to increase the facility, the minimum consolidated tangible net worth test would increase ratably up to $187.5 million.</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indentures governing our fixed rate notes, our 364-day fully secured, committed revolving line of credit for $1.0 billion and our $1.0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2011, we have excess borrowing capacity for general corporate purposes of approximately $1.0 billion.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we were in compliance with the various covenant requirements of all our debt facilities.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September 30, 2011, the letters of credit totaled $161.0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1"/>
              </w:rPr>
              <w:t>Rating Agency</w:t>
            </w:r>
          </w:p>
        </w:tc>
        <w:tc>
          <w:tcPr>
            <w:tcW w:w="7620" w:type="dxa"/>
            <w:vAlign w:val="bottom"/>
            <w:vMerge w:val="restart"/>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Short-Term</w:t>
            </w: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Long-Term</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7620" w:type="dxa"/>
            <w:vAlign w:val="bottom"/>
            <w:vMerge w:val="continue"/>
          </w:tcPr>
          <w:p>
            <w:pPr>
              <w:spacing w:after="0"/>
              <w:rPr>
                <w:sz w:val="14"/>
                <w:szCs w:val="14"/>
                <w:color w:val="auto"/>
              </w:rPr>
            </w:pPr>
          </w:p>
        </w:tc>
        <w:tc>
          <w:tcPr>
            <w:tcW w:w="11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Debt Rating</w:t>
            </w:r>
          </w:p>
        </w:tc>
        <w:tc>
          <w:tcPr>
            <w:tcW w:w="11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9"/>
              </w:rPr>
              <w:t>Debt Rating</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Outlook</w:t>
            </w:r>
          </w:p>
        </w:tc>
        <w:tc>
          <w:tcPr>
            <w:tcW w:w="0" w:type="dxa"/>
            <w:vAlign w:val="bottom"/>
          </w:tcPr>
          <w:p>
            <w:pPr>
              <w:spacing w:after="0"/>
              <w:rPr>
                <w:sz w:val="1"/>
                <w:szCs w:val="1"/>
                <w:color w:val="auto"/>
              </w:rPr>
            </w:pPr>
          </w:p>
        </w:tc>
      </w:tr>
      <w:tr>
        <w:trPr>
          <w:trHeight w:val="203"/>
        </w:trPr>
        <w:tc>
          <w:tcPr>
            <w:tcW w:w="8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Standard &amp; Poor’s</w:t>
            </w: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8"/>
              </w:rPr>
              <w:t>A1+</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AA</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Moody’s Investors Service</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color w:val="auto"/>
                <w:w w:val="81"/>
              </w:rPr>
              <w:t>P1</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Aa3</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rate notes at a price equal to 101% of the principal amount, plus accrued and unpaid interest.</w:t>
      </w:r>
    </w:p>
    <w:p>
      <w:pPr>
        <w:spacing w:after="0" w:line="140"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$829.3 million at September 30, 2011 and $855.2 million at December 31, 2010.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risk is minimal given the nature of the investments.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June 2011, we announced that we are pursuing a sale and partial leaseback of the north and south buildings of CBOT. A lease agreement will allow us to maintain the agricultural commodities trading floor and certain office space of the north and south buildings. Ownership of the east building, which houses the financial trading floor and office space, will be retained by us.</w:t>
      </w:r>
    </w:p>
    <w:p>
      <w:pPr>
        <w:spacing w:after="0" w:line="140"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color w:val="auto"/>
        </w:rPr>
        <w:t>During the nine months ended September 30, 2011, cash performance bonds and security deposits increased from $4.0 billion to $7.7 billion, an increase of $3.7 billion. The increase collateral is due to increased trading activity and a change in clearing firm collateral preference, particularly in the over-the-counter market.</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Net current deferred tax assets of $23.0 million and $18.3 million are included in other current assets at September 30, 2011 and December 31, 2010,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net current deferred tax assets include unrealized losses, stock-based compensation and accrued expenses.</w:t>
      </w:r>
    </w:p>
    <w:p>
      <w:pPr>
        <w:spacing w:after="0" w:line="16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Net long-term deferred tax liabilities were $7.7 billion and $7.8 billion at September 30, 2011 and December 31, 2010, respectively. Net deferred tax liabilities are principally the result of purchase accounting for intangible assets in our various mergers including CBOT Holdings and NYMEX Holdings.</w:t>
      </w:r>
    </w:p>
    <w:p>
      <w:pPr>
        <w:spacing w:after="0" w:line="8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Net long-term deferred tax assets include a $19.5 million deferred tax asset for foreign net operating losses related to Swapstream. Our assessment at September 30, 2011 was that we did not currently meet the more-likely-than-not threshold that would allow us to realize the value of acquired and accumulated foreign net operating losses in the future. As a result, the $19.5 million deferred tax assets arising from these net operating losses have been fully reserved. In addition, valuation allowances of $0.3 million have also been provided for other foreign net operating losses in various other jurisdictions for which we do not believe that we currently meet the more-likely-than-not-threshold for recognition.</w:t>
      </w:r>
    </w:p>
    <w:p>
      <w:pPr>
        <w:spacing w:after="0" w:line="1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also have a long-term deferred tax asset related to Brazilian taxes of $40.8 million for an unrealized capital loss incurred related to our investment in BM&amp;FBOVESPA. A full valuation allowance of $40.8 million has been provided because we do not believe that we currently meet the more-likely-than-not threshold that would allow us to realize the value of the unrealized capital loss in Brazil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2011, Financial Accounting Standards Board (FASB) issued an Accounting Standards Update (ASU) for Fair Value Measurement. The ASU provides fair value measurement and disclosure requirements, and is effective for interim and annual periods beginning after December 15, 2011, with no early adoption permitted. We will adopt the disclosure requirements once the guidance becomes effective.</w:t>
      </w:r>
    </w:p>
    <w:p>
      <w:pPr>
        <w:spacing w:after="0" w:line="14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In June 2011, FASB issued an ASU for Presentation of Comprehensive Income. The ASU requires entities to report components of comprehensive income in either a continuous statement of comprehensive income or two separate but consecutive statements. The ASU is effective for interim and annual periods beginning after December 15, 2011, with early adoption permitted. We will adopt the disclosure requirements once the guidance becomes effective.</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2011, FASB issued an ASU on goodwill impairment testing. The ASU gives entities the option to perform a qualitative assessment of goodwill that may allow them to omit the annual two-step impairment test. The ASU is effective for fiscal years beginning after December 15, 2011, with early adoption permitted. We adopted the guidance in the third quarter of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2010. Refer to Item 7A. of CME Group’s Annual Report on Form 10-K for the year ended December 31, 2010 for additional information.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160" w:firstLine="8"/>
        <w:spacing w:after="0" w:line="298" w:lineRule="auto"/>
        <w:tabs>
          <w:tab w:leader="none" w:pos="2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91"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See “Legal Matters” in Note 5. Contingencies to the Consolidated Financial Statements beginning on page 13 for updates to CME Group’s legal proceedings disclosure which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following is an update to the Risk Factors disclosure included in the company’s Annual Report on Form 10-K, filed with the SEC on February 28, 2011.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role in the global marketplace may place us at greater risk for a cyber attack and other cyber security risks.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continued economic uncertainty, groups such as Occupy Wall Street and Anonymous, have targeted the financial services industry as part of their protest against the perceived lax regulation of the financial sector and economic inequality. For example, the Anonymous group called on its supporters to launch a “distributed denial of service” attack to overwhelm website traffic on NYSE Euronext’s external Web site which resulted in a brief outage. While we have no evidence at this time that we are a specific target of a cyber attack, our role in the global marketplace places us at greater risk. Additionally, our role as a leading derivatives marketplace and the operation of our CME Globex electronic trading platform may place us at greater risk for misappropriation of our intellectual property. In September 2011, a former employee of CME Group was charged with two counts of theft of trade secrets in an indictment returned by a federal grand jury. We do not believe that any customer information, trade data or required regulatory information was compromised in this incident and we have no evidence that the trade secrets were distributed in connection with this matter. While we continue to employ resources to monitor the environment and protect our infrastructure against security breaches and misappropriation of our intellectual property assets, these measures may prove insufficient depending upon the attack or threat posed, which could result in system failures and delays that could cause us to lose customers, experience lower trading volume, incur significant liabilities or have a negative impact on our competitive advantage.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6"/>
              </w:rPr>
              <w:t>(d) 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Dollar Value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(c) Total Number of</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1"/>
              </w:rPr>
              <w:t>Class A</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 Total Number of</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320" w:type="dxa"/>
            <w:vAlign w:val="bottom"/>
            <w:vMerge w:val="restart"/>
          </w:tcPr>
          <w:p>
            <w:pPr>
              <w:spacing w:after="0"/>
              <w:rPr>
                <w:sz w:val="12"/>
                <w:szCs w:val="12"/>
                <w:color w:val="auto"/>
              </w:rPr>
            </w:pPr>
          </w:p>
        </w:tc>
        <w:tc>
          <w:tcPr>
            <w:tcW w:w="19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Class A</w:t>
            </w: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 Average Price</w:t>
            </w:r>
          </w:p>
        </w:tc>
        <w:tc>
          <w:tcPr>
            <w:tcW w:w="19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Announced</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198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5"/>
              </w:rPr>
              <w:t>Shares Purchased (1)</w:t>
            </w:r>
          </w:p>
        </w:tc>
        <w:tc>
          <w:tcPr>
            <w:tcW w:w="174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Paid Per Share</w:t>
            </w:r>
          </w:p>
        </w:tc>
        <w:tc>
          <w:tcPr>
            <w:tcW w:w="192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5"/>
              </w:rPr>
              <w:t>Plans or Programs</w:t>
            </w:r>
          </w:p>
        </w:tc>
        <w:tc>
          <w:tcPr>
            <w:tcW w:w="106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(in millions) (2)</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1 to July 31</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17,238</w:t>
            </w:r>
          </w:p>
        </w:tc>
        <w:tc>
          <w:tcPr>
            <w:tcW w:w="7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290.08</w:t>
            </w:r>
          </w:p>
        </w:tc>
        <w:tc>
          <w:tcPr>
            <w:tcW w:w="7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17,235</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August 1 to August 31</w:t>
            </w: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241,345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265.02</w:t>
            </w: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241,321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to September 30</w:t>
            </w: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343,974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260.46</w:t>
            </w: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331,055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602,557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263.13</w:t>
            </w: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589,611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4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purchased consist of an aggregate of 12,946 shares of Class A common stock surrendered in the third quarter of 2011 to satisfy employees’ tax obligations upon the vesting of restricted stock.</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May 9, 2011, the board of directors authorized a new share buyback program of up to $750.0 million of Class A common stock over a 12-month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c>
          <w:tcPr>
            <w:tcW w:w="3520" w:type="dxa"/>
            <w:vAlign w:val="bottom"/>
          </w:tcPr>
          <w:p>
            <w:pPr>
              <w:spacing w:after="0"/>
              <w:rPr>
                <w:sz w:val="19"/>
                <w:szCs w:val="19"/>
                <w:color w:val="auto"/>
              </w:rPr>
            </w:pPr>
          </w:p>
        </w:tc>
      </w:tr>
      <w:tr>
        <w:trPr>
          <w:trHeight w:val="527"/>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160" w:type="dxa"/>
            <w:vAlign w:val="bottom"/>
          </w:tcPr>
          <w:p>
            <w:pPr>
              <w:ind w:left="300"/>
              <w:spacing w:after="0"/>
              <w:rPr>
                <w:sz w:val="20"/>
                <w:szCs w:val="20"/>
                <w:color w:val="auto"/>
              </w:rPr>
            </w:pPr>
            <w:r>
              <w:rPr>
                <w:rFonts w:ascii="Arial" w:cs="Arial" w:eastAsia="Arial" w:hAnsi="Arial"/>
                <w:sz w:val="18"/>
                <w:szCs w:val="18"/>
                <w:color w:val="auto"/>
                <w:w w:val="88"/>
              </w:rPr>
              <w:t>Section 302</w:t>
            </w:r>
          </w:p>
        </w:tc>
        <w:tc>
          <w:tcPr>
            <w:tcW w:w="3520" w:type="dxa"/>
            <w:vAlign w:val="bottom"/>
          </w:tcPr>
          <w:p>
            <w:pPr>
              <w:ind w:left="20"/>
              <w:spacing w:after="0"/>
              <w:rPr>
                <w:sz w:val="20"/>
                <w:szCs w:val="20"/>
                <w:color w:val="auto"/>
              </w:rPr>
            </w:pPr>
            <w:r>
              <w:rPr>
                <w:rFonts w:ascii="Arial" w:cs="Arial" w:eastAsia="Arial" w:hAnsi="Arial"/>
                <w:sz w:val="18"/>
                <w:szCs w:val="18"/>
                <w:color w:val="auto"/>
              </w:rPr>
              <w:t>Certification—Craig S. Donohue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160" w:type="dxa"/>
            <w:vAlign w:val="bottom"/>
          </w:tcPr>
          <w:p>
            <w:pPr>
              <w:ind w:left="300"/>
              <w:spacing w:after="0"/>
              <w:rPr>
                <w:sz w:val="20"/>
                <w:szCs w:val="20"/>
                <w:color w:val="auto"/>
              </w:rPr>
            </w:pPr>
            <w:r>
              <w:rPr>
                <w:rFonts w:ascii="Arial" w:cs="Arial" w:eastAsia="Arial" w:hAnsi="Arial"/>
                <w:sz w:val="18"/>
                <w:szCs w:val="18"/>
                <w:color w:val="auto"/>
                <w:w w:val="88"/>
              </w:rPr>
              <w:t>Section 302</w:t>
            </w:r>
          </w:p>
        </w:tc>
        <w:tc>
          <w:tcPr>
            <w:tcW w:w="3520" w:type="dxa"/>
            <w:vAlign w:val="bottom"/>
          </w:tcPr>
          <w:p>
            <w:pPr>
              <w:ind w:left="20"/>
              <w:spacing w:after="0"/>
              <w:rPr>
                <w:sz w:val="20"/>
                <w:szCs w:val="20"/>
                <w:color w:val="auto"/>
              </w:rPr>
            </w:pPr>
            <w:r>
              <w:rPr>
                <w:rFonts w:ascii="Arial" w:cs="Arial" w:eastAsia="Arial" w:hAnsi="Arial"/>
                <w:sz w:val="18"/>
                <w:szCs w:val="18"/>
                <w:color w:val="auto"/>
              </w:rPr>
              <w:t>Certification—James E. Parisi</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160" w:type="dxa"/>
            <w:vAlign w:val="bottom"/>
          </w:tcPr>
          <w:p>
            <w:pPr>
              <w:ind w:left="300"/>
              <w:spacing w:after="0"/>
              <w:rPr>
                <w:sz w:val="20"/>
                <w:szCs w:val="20"/>
                <w:color w:val="auto"/>
              </w:rPr>
            </w:pPr>
            <w:r>
              <w:rPr>
                <w:rFonts w:ascii="Arial" w:cs="Arial" w:eastAsia="Arial" w:hAnsi="Arial"/>
                <w:sz w:val="18"/>
                <w:szCs w:val="18"/>
                <w:color w:val="auto"/>
                <w:w w:val="88"/>
              </w:rPr>
              <w:t>Section 906</w:t>
            </w:r>
          </w:p>
        </w:tc>
        <w:tc>
          <w:tcPr>
            <w:tcW w:w="352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4680" w:type="dxa"/>
            <w:vAlign w:val="bottom"/>
            <w:gridSpan w:val="2"/>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468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4680" w:type="dxa"/>
            <w:vAlign w:val="bottom"/>
            <w:gridSpan w:val="2"/>
          </w:tcPr>
          <w:p>
            <w:pPr>
              <w:ind w:left="30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468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468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4680" w:type="dxa"/>
            <w:vAlign w:val="bottom"/>
            <w:gridSpan w:val="2"/>
          </w:tcPr>
          <w:p>
            <w:pPr>
              <w:ind w:left="300"/>
              <w:spacing w:after="0"/>
              <w:rPr>
                <w:sz w:val="20"/>
                <w:szCs w:val="20"/>
                <w:color w:val="auto"/>
              </w:rPr>
            </w:pPr>
            <w:r>
              <w:rPr>
                <w:rFonts w:ascii="Arial" w:cs="Arial" w:eastAsia="Arial" w:hAnsi="Arial"/>
                <w:sz w:val="18"/>
                <w:szCs w:val="18"/>
                <w:color w:val="auto"/>
                <w:w w:val="88"/>
              </w:rPr>
              <w:t>XBRL Taxonomy Extension Presentation Linkbase Document</w:t>
            </w:r>
          </w:p>
        </w:tc>
      </w:tr>
    </w:tbl>
    <w:p>
      <w:pPr>
        <w:spacing w:after="0" w:line="1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820" w:val="left"/>
          <w:tab w:leader="none" w:pos="8200" w:val="left"/>
        </w:tabs>
        <w:rPr>
          <w:sz w:val="20"/>
          <w:szCs w:val="20"/>
          <w:color w:val="auto"/>
        </w:rPr>
      </w:pPr>
      <w:r>
        <w:rPr>
          <w:rFonts w:ascii="Arial" w:cs="Arial" w:eastAsia="Arial" w:hAnsi="Arial"/>
          <w:sz w:val="18"/>
          <w:szCs w:val="18"/>
          <w:color w:val="auto"/>
        </w:rPr>
        <w:t>Dated: November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E. Parisi</w:t>
      </w:r>
    </w:p>
    <w:p>
      <w:pPr>
        <w:spacing w:after="0" w:line="17"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Chief Financial Officer &amp;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Director Finance</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and Corporate Development</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240" w:top="459" w:right="7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90"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460" w:firstLine="464"/>
        <w:spacing w:after="0" w:line="33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Date: November 9, 2011</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Craig S. Donohue</w:t>
            </w:r>
          </w:p>
        </w:tc>
      </w:tr>
      <w:tr>
        <w:trPr>
          <w:trHeight w:val="202"/>
        </w:trPr>
        <w:tc>
          <w:tcPr>
            <w:tcW w:w="5720" w:type="dxa"/>
            <w:vAlign w:val="bottom"/>
          </w:tcPr>
          <w:p>
            <w:pPr>
              <w:spacing w:after="0"/>
              <w:rPr>
                <w:sz w:val="17"/>
                <w:szCs w:val="17"/>
                <w:color w:val="auto"/>
              </w:rPr>
            </w:pPr>
          </w:p>
        </w:tc>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Name: Craig S. Donohue</w:t>
            </w:r>
          </w:p>
        </w:tc>
      </w:tr>
      <w:tr>
        <w:trPr>
          <w:trHeight w:val="222"/>
        </w:trPr>
        <w:tc>
          <w:tcPr>
            <w:tcW w:w="57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90"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46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2011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224" w:lineRule="exact"/>
        <w:rPr>
          <w:sz w:val="20"/>
          <w:szCs w:val="20"/>
          <w:color w:val="auto"/>
        </w:rPr>
      </w:pPr>
    </w:p>
    <w:p>
      <w:pPr>
        <w:ind w:left="1160" w:hanging="239"/>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2"/>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2019-12-10T21:32:46Z</dcterms:created>
  <dcterms:modified xsi:type="dcterms:W3CDTF">2019-12-10T21:32:46Z</dcterms:modified>
</cp:coreProperties>
</file>