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640" w:hanging="614"/>
        <w:spacing w:after="0" w:line="185" w:lineRule="auto"/>
        <w:tabs>
          <w:tab w:leader="none" w:pos="640" w:val="left"/>
        </w:tabs>
        <w:numPr>
          <w:ilvl w:val="0"/>
          <w:numId w:val="1"/>
        </w:numPr>
        <w:rPr>
          <w:rFonts w:ascii="MS PGothic" w:cs="MS PGothic" w:eastAsia="MS PGothic" w:hAnsi="MS PGothic"/>
          <w:sz w:val="27"/>
          <w:szCs w:val="27"/>
          <w:color w:val="auto"/>
          <w:vertAlign w:val="subscript"/>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640" w:hanging="614"/>
        <w:spacing w:after="0" w:line="185" w:lineRule="auto"/>
        <w:tabs>
          <w:tab w:leader="none" w:pos="640" w:val="left"/>
        </w:tabs>
        <w:numPr>
          <w:ilvl w:val="0"/>
          <w:numId w:val="2"/>
        </w:numPr>
        <w:rPr>
          <w:rFonts w:ascii="MS PGothic" w:cs="MS PGothic" w:eastAsia="MS PGothic" w:hAnsi="MS PGothic"/>
          <w:sz w:val="30"/>
          <w:szCs w:val="30"/>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1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Commission File Number 001-31553</w:t>
            </w:r>
          </w:p>
        </w:tc>
        <w:tc>
          <w:tcPr>
            <w:tcW w:w="56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575"/>
        </w:trPr>
        <w:tc>
          <w:tcPr>
            <w:tcW w:w="3740" w:type="dxa"/>
            <w:vAlign w:val="bottom"/>
          </w:tcPr>
          <w:p>
            <w:pPr>
              <w:spacing w:after="0"/>
              <w:rPr>
                <w:sz w:val="24"/>
                <w:szCs w:val="24"/>
                <w:color w:val="auto"/>
              </w:rPr>
            </w:pPr>
          </w:p>
        </w:tc>
        <w:tc>
          <w:tcPr>
            <w:tcW w:w="7480" w:type="dxa"/>
            <w:vAlign w:val="bottom"/>
            <w:gridSpan w:val="3"/>
          </w:tcPr>
          <w:p>
            <w:pPr>
              <w:jc w:val="center"/>
              <w:ind w:right="3654"/>
              <w:spacing w:after="0"/>
              <w:rPr>
                <w:sz w:val="20"/>
                <w:szCs w:val="20"/>
                <w:color w:val="auto"/>
              </w:rPr>
            </w:pPr>
            <w:r>
              <w:rPr>
                <w:rFonts w:ascii="Times New Roman" w:cs="Times New Roman" w:eastAsia="Times New Roman" w:hAnsi="Times New Roman"/>
                <w:sz w:val="43"/>
                <w:szCs w:val="43"/>
                <w:b w:val="1"/>
                <w:bCs w:val="1"/>
                <w:color w:val="auto"/>
              </w:rPr>
              <w:t>CME GROUP INC.</w:t>
            </w:r>
          </w:p>
        </w:tc>
      </w:tr>
      <w:tr>
        <w:trPr>
          <w:trHeight w:val="209"/>
        </w:trPr>
        <w:tc>
          <w:tcPr>
            <w:tcW w:w="3740" w:type="dxa"/>
            <w:vAlign w:val="bottom"/>
          </w:tcPr>
          <w:p>
            <w:pPr>
              <w:spacing w:after="0"/>
              <w:rPr>
                <w:sz w:val="18"/>
                <w:szCs w:val="18"/>
                <w:color w:val="auto"/>
              </w:rPr>
            </w:pP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20" w:type="dxa"/>
            <w:vAlign w:val="bottom"/>
          </w:tcPr>
          <w:p>
            <w:pPr>
              <w:spacing w:after="0"/>
              <w:rPr>
                <w:sz w:val="18"/>
                <w:szCs w:val="18"/>
                <w:color w:val="auto"/>
              </w:rPr>
            </w:pPr>
          </w:p>
        </w:tc>
      </w:tr>
      <w:tr>
        <w:trPr>
          <w:trHeight w:val="270"/>
        </w:trPr>
        <w:tc>
          <w:tcPr>
            <w:tcW w:w="3740" w:type="dxa"/>
            <w:vAlign w:val="bottom"/>
          </w:tcPr>
          <w:p>
            <w:pPr>
              <w:jc w:val="center"/>
              <w:ind w:left="18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20" w:type="dxa"/>
            <w:vAlign w:val="bottom"/>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36-4459170</w:t>
            </w:r>
          </w:p>
        </w:tc>
      </w:tr>
      <w:tr>
        <w:trPr>
          <w:trHeight w:val="145"/>
        </w:trPr>
        <w:tc>
          <w:tcPr>
            <w:tcW w:w="3740" w:type="dxa"/>
            <w:vAlign w:val="bottom"/>
          </w:tcPr>
          <w:p>
            <w:pPr>
              <w:jc w:val="center"/>
              <w:ind w:left="1894"/>
              <w:spacing w:after="0" w:line="14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20" w:type="dxa"/>
            <w:vAlign w:val="bottom"/>
          </w:tcPr>
          <w:p>
            <w:pPr>
              <w:jc w:val="center"/>
              <w:ind w:left="174"/>
              <w:spacing w:after="0" w:line="14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40" w:type="dxa"/>
            <w:vAlign w:val="bottom"/>
          </w:tcPr>
          <w:p>
            <w:pPr>
              <w:jc w:val="center"/>
              <w:ind w:left="189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02"/>
        </w:trPr>
        <w:tc>
          <w:tcPr>
            <w:tcW w:w="3740" w:type="dxa"/>
            <w:vAlign w:val="bottom"/>
          </w:tcPr>
          <w:p>
            <w:pPr>
              <w:jc w:val="center"/>
              <w:ind w:left="1894"/>
              <w:spacing w:after="0"/>
              <w:rPr>
                <w:sz w:val="20"/>
                <w:szCs w:val="20"/>
                <w:color w:val="auto"/>
              </w:rPr>
            </w:pPr>
            <w:r>
              <w:rPr>
                <w:rFonts w:ascii="Times New Roman" w:cs="Times New Roman" w:eastAsia="Times New Roman" w:hAnsi="Times New Roman"/>
                <w:sz w:val="14"/>
                <w:szCs w:val="14"/>
                <w:b w:val="1"/>
                <w:bCs w:val="1"/>
                <w:color w:val="auto"/>
              </w:rPr>
              <w:t>20 South Wacker Drive</w:t>
            </w:r>
          </w:p>
        </w:tc>
        <w:tc>
          <w:tcPr>
            <w:tcW w:w="310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Chicago</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Illinois</w:t>
            </w:r>
          </w:p>
        </w:tc>
        <w:tc>
          <w:tcPr>
            <w:tcW w:w="3820" w:type="dxa"/>
            <w:vAlign w:val="bottom"/>
          </w:tcPr>
          <w:p>
            <w:pPr>
              <w:jc w:val="right"/>
              <w:ind w:right="1534"/>
              <w:spacing w:after="0"/>
              <w:rPr>
                <w:sz w:val="20"/>
                <w:szCs w:val="20"/>
                <w:color w:val="auto"/>
              </w:rPr>
            </w:pPr>
            <w:r>
              <w:rPr>
                <w:rFonts w:ascii="Times New Roman" w:cs="Times New Roman" w:eastAsia="Times New Roman" w:hAnsi="Times New Roman"/>
                <w:sz w:val="14"/>
                <w:szCs w:val="14"/>
                <w:b w:val="1"/>
                <w:bCs w:val="1"/>
                <w:color w:val="auto"/>
              </w:rPr>
              <w:t>60606</w:t>
            </w:r>
          </w:p>
        </w:tc>
      </w:tr>
      <w:tr>
        <w:trPr>
          <w:trHeight w:val="183"/>
        </w:trPr>
        <w:tc>
          <w:tcPr>
            <w:tcW w:w="6840" w:type="dxa"/>
            <w:vAlign w:val="bottom"/>
            <w:gridSpan w:val="2"/>
          </w:tcPr>
          <w:p>
            <w:pPr>
              <w:ind w:left="2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5"/>
                <w:szCs w:val="15"/>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43"/>
        </w:trPr>
        <w:tc>
          <w:tcPr>
            <w:tcW w:w="1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(312) 930-1000</w:t>
            </w:r>
          </w:p>
        </w:tc>
      </w:tr>
      <w:tr>
        <w:trPr>
          <w:trHeight w:val="216"/>
        </w:trPr>
        <w:tc>
          <w:tcPr>
            <w:tcW w:w="3740" w:type="dxa"/>
            <w:vAlign w:val="bottom"/>
          </w:tcPr>
          <w:p>
            <w:pPr>
              <w:spacing w:after="0"/>
              <w:rPr>
                <w:sz w:val="18"/>
                <w:szCs w:val="18"/>
                <w:color w:val="auto"/>
              </w:rPr>
            </w:pPr>
          </w:p>
        </w:tc>
        <w:tc>
          <w:tcPr>
            <w:tcW w:w="3660" w:type="dxa"/>
            <w:vAlign w:val="bottom"/>
            <w:gridSpan w:val="2"/>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20" w:type="dxa"/>
            <w:vAlign w:val="bottom"/>
          </w:tcPr>
          <w:p>
            <w:pPr>
              <w:spacing w:after="0"/>
              <w:rPr>
                <w:sz w:val="18"/>
                <w:szCs w:val="18"/>
                <w:color w:val="auto"/>
              </w:rPr>
            </w:pPr>
          </w:p>
        </w:tc>
      </w:tr>
      <w:tr>
        <w:trPr>
          <w:trHeight w:val="206"/>
        </w:trPr>
        <w:tc>
          <w:tcPr>
            <w:tcW w:w="3740" w:type="dxa"/>
            <w:vAlign w:val="bottom"/>
            <w:tcBorders>
              <w:bottom w:val="single" w:sz="8" w:color="auto"/>
            </w:tcBorders>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56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jc w:val="center"/>
              <w:ind w:right="1134"/>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6"/>
        </w:trPr>
        <w:tc>
          <w:tcPr>
            <w:tcW w:w="374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w w:val="96"/>
              </w:rPr>
              <w:t>Class A Common Stock $0.01 par value</w:t>
            </w:r>
          </w:p>
        </w:tc>
        <w:tc>
          <w:tcPr>
            <w:tcW w:w="3100" w:type="dxa"/>
            <w:vAlign w:val="bottom"/>
          </w:tcPr>
          <w:p>
            <w:pPr>
              <w:jc w:val="center"/>
              <w:ind w:left="490"/>
              <w:spacing w:after="0"/>
              <w:rPr>
                <w:sz w:val="20"/>
                <w:szCs w:val="20"/>
                <w:color w:val="auto"/>
              </w:rPr>
            </w:pPr>
            <w:r>
              <w:rPr>
                <w:rFonts w:ascii="Times New Roman" w:cs="Times New Roman" w:eastAsia="Times New Roman" w:hAnsi="Times New Roman"/>
                <w:sz w:val="13"/>
                <w:szCs w:val="13"/>
                <w:b w:val="1"/>
                <w:bCs w:val="1"/>
                <w:color w:val="auto"/>
                <w:w w:val="92"/>
              </w:rPr>
              <w:t>CME</w:t>
            </w:r>
          </w:p>
        </w:tc>
        <w:tc>
          <w:tcPr>
            <w:tcW w:w="560" w:type="dxa"/>
            <w:vAlign w:val="bottom"/>
          </w:tcPr>
          <w:p>
            <w:pPr>
              <w:spacing w:after="0"/>
              <w:rPr>
                <w:sz w:val="14"/>
                <w:szCs w:val="14"/>
                <w:color w:val="auto"/>
              </w:rPr>
            </w:pPr>
          </w:p>
        </w:tc>
        <w:tc>
          <w:tcPr>
            <w:tcW w:w="3820" w:type="dxa"/>
            <w:vAlign w:val="bottom"/>
          </w:tcPr>
          <w:p>
            <w:pPr>
              <w:jc w:val="center"/>
              <w:ind w:right="1154"/>
              <w:spacing w:after="0"/>
              <w:rPr>
                <w:sz w:val="20"/>
                <w:szCs w:val="20"/>
                <w:color w:val="auto"/>
              </w:rPr>
            </w:pPr>
            <w:r>
              <w:rPr>
                <w:rFonts w:ascii="Times New Roman" w:cs="Times New Roman" w:eastAsia="Times New Roman" w:hAnsi="Times New Roman"/>
                <w:sz w:val="13"/>
                <w:szCs w:val="13"/>
                <w:b w:val="1"/>
                <w:bCs w:val="1"/>
                <w:color w:val="auto"/>
                <w:w w:val="95"/>
              </w:rPr>
              <w:t>Nasdaq</w:t>
            </w:r>
          </w:p>
        </w:tc>
      </w:tr>
    </w:tbl>
    <w:p>
      <w:pPr>
        <w:spacing w:after="0" w:line="9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color w:val="auto"/>
        </w:rPr>
        <w:t>____________________________________________________</w:t>
      </w:r>
    </w:p>
    <w:p>
      <w:pPr>
        <w:spacing w:after="0" w:line="49"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pacing w:after="0" w:line="1" w:lineRule="exact"/>
        <w:rPr>
          <w:sz w:val="24"/>
          <w:szCs w:val="24"/>
          <w:color w:val="auto"/>
        </w:rPr>
      </w:pPr>
    </w:p>
    <w:p>
      <w:pPr>
        <w:ind w:right="328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4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Accelerated filer</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30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2023, was approximately $66.3 billion (based on the closing price per share of CME Group Inc. Class A common stock on the Nasdaq Global Select Market (Nasdaq) on such date). The number of shares outstanding of each of the registrant’s classes of common stock as of February 7, 2024 was as follows: 359,991,858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4" w:lineRule="exact"/>
        <w:rPr>
          <w:sz w:val="24"/>
          <w:szCs w:val="24"/>
          <w:color w:val="auto"/>
        </w:rPr>
      </w:pPr>
    </w:p>
    <w:p>
      <w:pPr>
        <w:ind w:left="2660"/>
        <w:spacing w:after="0"/>
        <w:tabs>
          <w:tab w:leader="none" w:pos="8020" w:val="left"/>
        </w:tabs>
        <w:rPr>
          <w:sz w:val="20"/>
          <w:szCs w:val="20"/>
          <w:color w:val="auto"/>
        </w:rPr>
      </w:pPr>
      <w:r>
        <w:rPr>
          <w:rFonts w:ascii="Times New Roman" w:cs="Times New Roman" w:eastAsia="Times New Roman" w:hAnsi="Times New Roman"/>
          <w:sz w:val="13"/>
          <w:szCs w:val="13"/>
          <w:b w:val="1"/>
          <w:bCs w:val="1"/>
          <w:color w:val="auto"/>
        </w:rPr>
        <w:t>Documents</w:t>
      </w:r>
      <w:r>
        <w:rPr>
          <w:sz w:val="20"/>
          <w:szCs w:val="20"/>
          <w:color w:val="auto"/>
        </w:rPr>
        <w:tab/>
      </w:r>
      <w:r>
        <w:rPr>
          <w:rFonts w:ascii="Times New Roman" w:cs="Times New Roman" w:eastAsia="Times New Roman" w:hAnsi="Times New Roman"/>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37" w:lineRule="exact"/>
        <w:rPr>
          <w:sz w:val="24"/>
          <w:szCs w:val="24"/>
          <w:color w:val="auto"/>
        </w:rPr>
      </w:pPr>
    </w:p>
    <w:p>
      <w:pPr>
        <w:ind w:left="20"/>
        <w:spacing w:after="0"/>
        <w:tabs>
          <w:tab w:leader="none" w:pos="8400" w:val="left"/>
        </w:tabs>
        <w:rPr>
          <w:sz w:val="20"/>
          <w:szCs w:val="20"/>
          <w:color w:val="auto"/>
        </w:rPr>
      </w:pPr>
      <w:r>
        <w:rPr>
          <w:rFonts w:ascii="Times New Roman" w:cs="Times New Roman" w:eastAsia="Times New Roman" w:hAnsi="Times New Roman"/>
          <w:sz w:val="14"/>
          <w:szCs w:val="14"/>
          <w:color w:val="auto"/>
        </w:rPr>
        <w:t>Portions of CME Group Inc.’s Proxy Statement for the 2024 Annual Meeting of Shareholders</w:t>
      </w:r>
      <w:r>
        <w:rPr>
          <w:sz w:val="20"/>
          <w:szCs w:val="20"/>
          <w:color w:val="auto"/>
        </w:rPr>
        <w:tab/>
      </w:r>
      <w:r>
        <w:rPr>
          <w:rFonts w:ascii="Times New Roman" w:cs="Times New Roman" w:eastAsia="Times New Roman" w:hAnsi="Times New Roman"/>
          <w:sz w:val="13"/>
          <w:szCs w:val="13"/>
          <w:color w:val="auto"/>
        </w:rPr>
        <w:t>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6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CME GROUP INC.</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5"/>
            <w:vMerge w:val="restart"/>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640" w:type="dxa"/>
            <w:vAlign w:val="bottom"/>
            <w:tcBorders>
              <w:bottom w:val="single" w:sz="8" w:color="0000FF"/>
            </w:tcBorders>
            <w:vMerge w:val="continue"/>
          </w:tcPr>
          <w:p>
            <w:pPr>
              <w:spacing w:after="0"/>
              <w:rPr>
                <w:sz w:val="24"/>
                <w:szCs w:val="24"/>
                <w:color w:val="auto"/>
              </w:rPr>
            </w:pPr>
          </w:p>
        </w:tc>
        <w:tc>
          <w:tcPr>
            <w:tcW w:w="7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360" w:type="dxa"/>
            <w:vAlign w:val="bottom"/>
            <w:gridSpan w:val="20"/>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Unresolved Staff Comments</w:t>
            </w:r>
          </w:p>
        </w:tc>
        <w:tc>
          <w:tcPr>
            <w:tcW w:w="6180" w:type="dxa"/>
            <w:vAlign w:val="bottom"/>
            <w:gridSpan w:val="1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1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Cybersecurity</w:t>
            </w:r>
          </w:p>
        </w:tc>
        <w:tc>
          <w:tcPr>
            <w:tcW w:w="7240" w:type="dxa"/>
            <w:vAlign w:val="bottom"/>
            <w:gridSpan w:val="19"/>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Properties</w:t>
            </w:r>
          </w:p>
        </w:tc>
        <w:tc>
          <w:tcPr>
            <w:tcW w:w="7540" w:type="dxa"/>
            <w:vAlign w:val="bottom"/>
            <w:gridSpan w:val="21"/>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20" w:type="dxa"/>
            <w:vAlign w:val="bottom"/>
            <w:gridSpan w:val="4"/>
          </w:tcPr>
          <w:p>
            <w:pPr>
              <w:spacing w:after="0"/>
              <w:rPr>
                <w:sz w:val="22"/>
                <w:szCs w:val="22"/>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Shareholder Matters and Issuer Purchases of Equity</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Securities</w:t>
            </w:r>
          </w:p>
        </w:tc>
        <w:tc>
          <w:tcPr>
            <w:tcW w:w="7140" w:type="dxa"/>
            <w:vAlign w:val="bottom"/>
            <w:tcBorders>
              <w:top w:val="single" w:sz="8" w:color="0000FF"/>
            </w:tcBorders>
            <w:gridSpan w:val="21"/>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Reserved</w:t>
            </w:r>
          </w:p>
        </w:tc>
        <w:tc>
          <w:tcPr>
            <w:tcW w:w="7620" w:type="dxa"/>
            <w:vAlign w:val="bottom"/>
            <w:gridSpan w:val="23"/>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68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1500" w:type="dxa"/>
            <w:vAlign w:val="bottom"/>
            <w:gridSpan w:val="4"/>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3720" w:type="dxa"/>
            <w:vAlign w:val="bottom"/>
            <w:gridSpan w:val="7"/>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8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Changes in and Disagreements with Accountants on Accounting and Financial Disclosure</w:t>
            </w:r>
          </w:p>
        </w:tc>
        <w:tc>
          <w:tcPr>
            <w:tcW w:w="1480" w:type="dxa"/>
            <w:vAlign w:val="bottom"/>
            <w:gridSpan w:val="3"/>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Controls and Procedures</w:t>
            </w:r>
          </w:p>
        </w:tc>
        <w:tc>
          <w:tcPr>
            <w:tcW w:w="6420" w:type="dxa"/>
            <w:vAlign w:val="bottom"/>
            <w:gridSpan w:val="13"/>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Directors, Executive Officers and Corporate Governance</w:t>
            </w:r>
          </w:p>
        </w:tc>
        <w:tc>
          <w:tcPr>
            <w:tcW w:w="3960" w:type="dxa"/>
            <w:vAlign w:val="bottom"/>
            <w:gridSpan w:val="8"/>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Shareholder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78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rPr>
              <w:t>Certain Relationships, Related Transactions and Director Independence</w:t>
            </w:r>
          </w:p>
        </w:tc>
        <w:tc>
          <w:tcPr>
            <w:tcW w:w="520" w:type="dxa"/>
            <w:vAlign w:val="bottom"/>
            <w:gridSpan w:val="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5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Principal Accountant Fees and Services</w:t>
            </w:r>
          </w:p>
        </w:tc>
        <w:tc>
          <w:tcPr>
            <w:tcW w:w="2820" w:type="dxa"/>
            <w:vAlign w:val="bottom"/>
            <w:gridSpan w:val="5"/>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3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Exhibits and Financial Statement Schedules</w:t>
            </w:r>
          </w:p>
        </w:tc>
        <w:tc>
          <w:tcPr>
            <w:tcW w:w="4960" w:type="dxa"/>
            <w:vAlign w:val="bottom"/>
            <w:gridSpan w:val="10"/>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Form 10-K Summary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17"/>
          </w:tcPr>
          <w:p>
            <w:pPr>
              <w:jc w:val="center"/>
              <w:ind w:left="389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4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whether as a result of new information, future events or otherwise. Among the factors that might affect our performance are:</w:t>
      </w:r>
    </w:p>
    <w:p>
      <w:pPr>
        <w:spacing w:after="0" w:line="77" w:lineRule="exact"/>
        <w:rPr>
          <w:sz w:val="20"/>
          <w:szCs w:val="20"/>
          <w:color w:val="auto"/>
        </w:rPr>
      </w:pPr>
    </w:p>
    <w:p>
      <w:pPr>
        <w:ind w:left="660" w:right="1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1"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right="46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ind w:left="660" w:right="6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63" w:lineRule="exact"/>
        <w:rPr>
          <w:rFonts w:ascii="Times New Roman" w:cs="Times New Roman" w:eastAsia="Times New Roman" w:hAnsi="Times New Roman"/>
          <w:sz w:val="18"/>
          <w:szCs w:val="18"/>
          <w:color w:val="auto"/>
        </w:rPr>
      </w:pPr>
    </w:p>
    <w:p>
      <w:pPr>
        <w:ind w:left="660" w:right="16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4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1"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w:t>
      </w:r>
    </w:p>
    <w:p>
      <w:pPr>
        <w:spacing w:after="0" w:line="1"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1" w:lineRule="exact"/>
        <w:rPr>
          <w:rFonts w:ascii="Times New Roman" w:cs="Times New Roman" w:eastAsia="Times New Roman" w:hAnsi="Times New Roman"/>
          <w:sz w:val="18"/>
          <w:szCs w:val="18"/>
          <w:color w:val="auto"/>
        </w:rPr>
      </w:pPr>
    </w:p>
    <w:p>
      <w:pPr>
        <w:ind w:left="660" w:right="7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hanging="328"/>
        <w:spacing w:after="0" w:line="287"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business and distribution partners’ actions and our partnership with Google Cloud;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this Report beginning on 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CME Group enables clients to trade futures, options, cash and over-the-counter (OTC) products, optimize portfolios, and analyze data - empowering market participants worldwide the ability to efficiently manage risk and capture opportunities. CME Group provides primary price discovery and referential pricing information through its market data in a variety of formats, including real time, historical and derived data for customers in both listed and cash products. CME Group also offers industry-leading research and analytics tools to provide customers with market education resources. In addition, it operates one of the world's leading central counterparty clearing providers.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was founded in 1898 as a not-for-profit corporation. It established its clearing house in 1919, which is operated as part of CME. CME demutualized</w:t>
      </w:r>
    </w:p>
    <w:p>
      <w:pPr>
        <w:spacing w:after="0" w:line="5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2000, and in 2002 its parent company, CME Group, completed an initial public offering of its Class A common stock (Nasdaq: CME). CME Group subsequently acquired CBOT Holdings, Inc. in 2007, NYMEX Holdings, Inc. (NYMEX and COMEX) in 2008, the Kansas City Board of Trade in 2012 and NEX Group plc (NEX) in 2018. The combination with NEX expanded our global customer base and product offerings through the complementary combination of CME Group’s exchange-traded derivative products and NEX’s cash and OTC products. It also created a leading, client-centric, global markets company, generating capital efficiencies across futures, cash and OTC products for market participants seeking to lower their cost of trading and better manage risk. Our principal executive offices are located at 20 South Wacker Drive, Chicago, Illinois 60606, our telephone number is 312-930-1000 and our website is </w:t>
      </w:r>
      <w:r>
        <w:rPr>
          <w:rFonts w:ascii="Times New Roman" w:cs="Times New Roman" w:eastAsia="Times New Roman" w:hAnsi="Times New Roman"/>
          <w:sz w:val="18"/>
          <w:szCs w:val="18"/>
          <w:i w:val="1"/>
          <w:iCs w:val="1"/>
          <w:color w:val="auto"/>
        </w:rPr>
        <w:t>cmegroup.com</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CME Group exchanges offer the widest range of global benchmark products across interest rates, equity indexes, foreign exchange (FX), agricultural commodities, energy and metals. We also offer cash and repo fixed income trading via BrokerTec, and cash and OTC FX trading via EBS. Additionally, we operate one of the world’s leading central counterparty clearing providers.</w:t>
      </w:r>
    </w:p>
    <w:p>
      <w:pPr>
        <w:spacing w:after="0" w:line="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Exchange Business: </w:t>
      </w:r>
      <w:r>
        <w:rPr>
          <w:rFonts w:ascii="Times New Roman" w:cs="Times New Roman" w:eastAsia="Times New Roman" w:hAnsi="Times New Roman"/>
          <w:sz w:val="18"/>
          <w:szCs w:val="18"/>
          <w:color w:val="auto"/>
        </w:rPr>
        <w:t>Through our derivatives exchanges and clearing house, we believe our customers prefer CME Group's diversity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liquidity, price transparency and technological capabilities. Market liquidity - or the ability of a market to absorb the execution of large purchases or sales quickly and efficiently - is key to attracting and retaining customers and contributing to a market's success. Our products provide a means for hedging, speculation and asset allocation related to the risks associated with, among other things, interest rate sensitive instruments, equity ownership, changes in the value of foreign currency and changes in the prices of agricultural, energy and metal commodities.</w:t>
      </w:r>
    </w:p>
    <w:p>
      <w:pPr>
        <w:spacing w:after="0" w:line="71" w:lineRule="exact"/>
        <w:rPr>
          <w:sz w:val="20"/>
          <w:szCs w:val="20"/>
          <w:color w:val="auto"/>
        </w:rPr>
      </w:pPr>
    </w:p>
    <w:p>
      <w:pPr>
        <w:ind w:left="660" w:right="12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CME's </w:t>
      </w:r>
      <w:r>
        <w:rPr>
          <w:rFonts w:ascii="Times New Roman" w:cs="Times New Roman" w:eastAsia="Times New Roman" w:hAnsi="Times New Roman"/>
          <w:sz w:val="18"/>
          <w:szCs w:val="18"/>
          <w:color w:val="auto"/>
        </w:rPr>
        <w:t>product slate includes agricultural, equities, FX, cryptocurrencies/alternative investments and interest rate products, including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Overnight Financing Rate (SOFR) futures and options, livestock and cash-settled contracts based on the S&amp;P 500, including the E-mini S&amp;P 500 ESG (Environmental, Social and Governance) contract, Micro E-mini Equity Index contracts, Nasdaq-100, FTSE Russell and Bitcoin and Ether Reference Rate.</w:t>
      </w:r>
    </w:p>
    <w:p>
      <w:pPr>
        <w:spacing w:after="0" w:line="14"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CBOT's </w:t>
      </w:r>
      <w:r>
        <w:rPr>
          <w:rFonts w:ascii="Times New Roman" w:cs="Times New Roman" w:eastAsia="Times New Roman" w:hAnsi="Times New Roman"/>
          <w:sz w:val="18"/>
          <w:szCs w:val="18"/>
          <w:color w:val="auto"/>
        </w:rPr>
        <w:t>product slate consists of agricultural, equities and interest rate products, including contracts for United States (U.S.) Treasury futures,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soybean, corn and wheat and contracts based on the Dow Jones Industrial Index.</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NYMEX's </w:t>
      </w:r>
      <w:r>
        <w:rPr>
          <w:rFonts w:ascii="Times New Roman" w:cs="Times New Roman" w:eastAsia="Times New Roman" w:hAnsi="Times New Roman"/>
          <w:sz w:val="18"/>
          <w:szCs w:val="18"/>
          <w:color w:val="auto"/>
        </w:rPr>
        <w:t>product slate consists of energy and metals products, including contracts for crude oil, natural gas, heating oil, gasoline and emissions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 N-GEO and C-GEO).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COMEX's </w:t>
      </w:r>
      <w:r>
        <w:rPr>
          <w:rFonts w:ascii="Times New Roman" w:cs="Times New Roman" w:eastAsia="Times New Roman" w:hAnsi="Times New Roman"/>
          <w:sz w:val="18"/>
          <w:szCs w:val="18"/>
          <w:color w:val="auto"/>
        </w:rPr>
        <w:t>product slate consists of metals products, including contracts for gold, silver, copper and other base, ferrous and battery metals.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breadth and diversity of our products and services lines are beneficial to our customers and CME Group's overall performance. Our asset classes contain products designed to address differing risk management needs, and customers are able to manage risks and achieve operational and capital efficiencies by accessing our diverse products through our platforms and our clearing house.</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CME Group products are traded primarily through CME Globex, as well as by open outcry in Chicago for SOFR options (and previously, Eurodollar options) and through privately negotiated transactions.</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strive to provide the most flexible and scalable platforms to support the operational and capacity needs of our business along with the delivery of innovative technology solutions to the marketplace. Our CME Globex electronic trading system operates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electronic and privately negotiated markets, we offer brokers and customers the CME Direct platform for arranging, executing, recording and risk-managing trades across all six major asset classes. We also provide the functionality to connect to CME Direct on a mobile device through our CME Direct Mobile application with full trading and on-the-go order management capabilities.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our platforms offer:</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of execution;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capabilities to facilitate complex and demanding trading;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 access;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access, price transparency and anonymity;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efficiency;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through highly secure, resilient and low-latency network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market data; and</w:t>
      </w:r>
    </w:p>
    <w:p>
      <w:pPr>
        <w:spacing w:after="0" w:line="6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distribution, including connectivity through high-speed international telecommunications hubs in key financial centers or order routing to our global partner exchanges.</w:t>
      </w:r>
    </w:p>
    <w:p>
      <w:pPr>
        <w:spacing w:after="0" w:line="54"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maintain comprehensive business continuity and disaster recovery plans and facilities designed to provide nearly continuous availability of our markets in the event of a business disruption or disaster. We also maintain incident and crisis management plans that address responses to disruptive events.</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trading rights and privileges are exchange-specific. Open outcry trading is conducted exclusively by our members. Membership on one of our derivatives exchanges also enables a customer to trade specific products at lower fees. Under the terms of the organizational documents of our exchanges, our members have certain rights that relate primarily to trading right protections, certain trading fee protections and certain membership benefit protections. In 2023, 84% of our contract volume was from trades by our members.</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CME Clearing Business: </w:t>
      </w:r>
      <w:r>
        <w:rPr>
          <w:rFonts w:ascii="Times New Roman" w:cs="Times New Roman" w:eastAsia="Times New Roman" w:hAnsi="Times New Roman"/>
          <w:sz w:val="18"/>
          <w:szCs w:val="18"/>
          <w:color w:val="auto"/>
        </w:rPr>
        <w:t>Through our clearing house, we provide clearing and settlement services for a broad range of exchange-traded futures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on futures contracts and OTC derivatives. Our integrated clearing function is designed to ensure the safety and the soundness of our markets by serving as the counterparty to every trade, becoming the buyer to each seller and the seller to each buyer, and limiting counterparty credit risk. CME Clearing marks open positions to market at least twice a trading day, requiring payments from clearing firms whose positions have lost value and making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over multiple asset classes.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majority of clearing and transaction fees received from clearing firms represents charges for trades executed and cleared on behalf of their customers. No firm represented at least 10% of our clearing and transaction fees revenue for 2023. In the event a clearing firm were to withdraw, our experience indicates that the customer portion of the firm's trading activity would likely transfer to one or more other clearing firms of the exchange.</w:t>
      </w:r>
    </w:p>
    <w:p>
      <w:pPr>
        <w:spacing w:after="0" w:line="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Markets Business: </w:t>
      </w:r>
      <w:r>
        <w:rPr>
          <w:rFonts w:ascii="Times New Roman" w:cs="Times New Roman" w:eastAsia="Times New Roman" w:hAnsi="Times New Roman"/>
          <w:sz w:val="18"/>
          <w:szCs w:val="18"/>
          <w:color w:val="auto"/>
        </w:rPr>
        <w:t>Our cash markets business is comprised of BrokerTec and operated on CME Globex EBS. Certain BrokerTec products are cleared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third-party clearing houses. BrokerTec and EBS offer anonymous and disclosed trading venues, offering clients multiple execution and distribution options and the benefit of an established and far-reaching distribution network of liquidity providers and consumers.</w:t>
      </w:r>
    </w:p>
    <w:p>
      <w:pPr>
        <w:spacing w:after="0" w:line="63" w:lineRule="exact"/>
        <w:rPr>
          <w:sz w:val="20"/>
          <w:szCs w:val="20"/>
          <w:color w:val="auto"/>
        </w:rPr>
      </w:pPr>
    </w:p>
    <w:p>
      <w:pPr>
        <w:ind w:left="660" w:right="120" w:hanging="328"/>
        <w:spacing w:after="0" w:line="259" w:lineRule="auto"/>
        <w:tabs>
          <w:tab w:leader="none" w:pos="653"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b w:val="1"/>
          <w:bCs w:val="1"/>
          <w:color w:val="auto"/>
        </w:rPr>
        <w:t xml:space="preserve">BrokerTec </w:t>
      </w:r>
      <w:r>
        <w:rPr>
          <w:rFonts w:ascii="Times New Roman" w:cs="Times New Roman" w:eastAsia="Times New Roman" w:hAnsi="Times New Roman"/>
          <w:sz w:val="18"/>
          <w:szCs w:val="18"/>
          <w:color w:val="auto"/>
        </w:rPr>
        <w:t>operates global electronic trading for fixed income products, with a leading position in cash U.S. Treasuries, E.U. and U.S. repo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income instruments and European Government Bonds. It facilitates trading for banks and non-bank professional trading firms. The BrokerTec Central Limit Order Book is a dealer-to-dealer electronic trading platform operated on CME Globex. BrokerTec Quote is a Request For Quote platform provided on third party technology, that offers a dealer-to-client trading solution for the European, U.K. and U.S. government repo markets. </w:t>
      </w:r>
      <w:r>
        <w:rPr>
          <w:rFonts w:ascii="Times New Roman" w:cs="Times New Roman" w:eastAsia="Times New Roman" w:hAnsi="Times New Roman"/>
          <w:sz w:val="18"/>
          <w:szCs w:val="18"/>
          <w:color w:val="242424"/>
        </w:rPr>
        <w:t>BrokerTec Stream is a relationship-based trading platform offering U.S. Treasury instruments.</w:t>
      </w:r>
    </w:p>
    <w:p>
      <w:pPr>
        <w:spacing w:after="0" w:line="16" w:lineRule="exact"/>
        <w:rPr>
          <w:rFonts w:ascii="Calibri" w:cs="Calibri" w:eastAsia="Calibri" w:hAnsi="Calibri"/>
          <w:sz w:val="18"/>
          <w:szCs w:val="18"/>
          <w:color w:val="auto"/>
        </w:rPr>
      </w:pPr>
    </w:p>
    <w:p>
      <w:pPr>
        <w:ind w:left="660" w:right="320" w:hanging="328"/>
        <w:spacing w:after="0" w:line="291"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EBS </w:t>
      </w:r>
      <w:r>
        <w:rPr>
          <w:rFonts w:ascii="Times New Roman" w:cs="Times New Roman" w:eastAsia="Times New Roman" w:hAnsi="Times New Roman"/>
          <w:sz w:val="17"/>
          <w:szCs w:val="17"/>
          <w:color w:val="auto"/>
        </w:rPr>
        <w:t>provides for the trading of global FX products across major and emerging market currencies and Spot Precious Metals. EBS Market is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Central Limit Order Book electronic trading platform for spot FX, Spot Precious Metals and NDFs. EBS Direct is a relationship-based trading platform offering spot FX, Spot Precious Metals (and FX forwards and FX swaps until the scheduled cessation of that business in April 2024).</w:t>
      </w:r>
    </w:p>
    <w:p>
      <w:pPr>
        <w:spacing w:after="0" w:line="4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Data Business: </w:t>
      </w:r>
      <w:r>
        <w:rPr>
          <w:rFonts w:ascii="Times New Roman" w:cs="Times New Roman" w:eastAsia="Times New Roman" w:hAnsi="Times New Roman"/>
          <w:sz w:val="18"/>
          <w:szCs w:val="18"/>
          <w:color w:val="auto"/>
        </w:rPr>
        <w:t>We offer a variety of market data services through industry-leading market data platforms and third-party distribution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designed to meet the risk-management, trading, investment and business needs of our global client base. As such, we provide proprietary real-time and historical market data related to CME Group’s deeply liquid exchanges and cash markets businesses. We further offer derived cash markets pricing, third-party and alternative data sets, as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well as a wide range of analytic tools. As customers continue to leverage cloud technology to improve and evolve their businesses, CME Group has taken a leading role by becoming the first derivatives marketplace to provide live market data natively in the cloud with the launch of our cloud connect capabilities on the Google Cloud Platform. CME Group is also the distributor of leading benchmark equity and commodity indices on behalf of third parties, as well as a distributor and licensor of our own proprietary benchmarks and indices, including CME Term SOFR Reference Rates (CME Term SOFR), which are designed to adhere to the IOSCO Principles for Financial Benchmarks and are administered by our U.K. regulated subsidiary, CME Benchmark Administration Limited.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strategic initiatives:</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Futures and Options Growth Globally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focus on driving growth and new customer acquisition by expanding, innovating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scaling our core offerings, and increasing participation from non-U.S. customers. We do this by optimizing our global sales team, cross-selling certain products, expanding the strength of our existing benchmark products, launching new products and services, strengthening our existing product and service offerings, securing intellectual property rights to new products, enhancing our relationships and broadening our base of distribution partners, and deepening</w:t>
      </w:r>
    </w:p>
    <w:p>
      <w:pPr>
        <w:spacing w:after="0" w:line="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open interest in our core futures and options offerings. We have further focused on building upon cloud-based data distribution capabilities as a more flexible and potentially cost-effective means of providing data to our clients.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2023, CME Group futures and options had a record average daily volume of 24.4 million contracts, with a volume record in our interest rates asset class for the second consecutive year. It was also a year of volume records for multiple products, including Ultra 10 Year Treasury Note futures, SOFR futures, Bitcoin futures and a record number of contracts executed via Basis Trade at Index Close.</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continue to expand and deepen our customer base worldwide and offer customers around the world the most broad and diversified portfolio of benchmark products. Some of our products introduced over the past two years include:</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CBL Core Global Emissions Offset (C-GEO) Futures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U.S. Treasury Bond Futures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 Bitcoin and Ether Options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Aluminum Options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 WTI Options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new E-mini sector index Futures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Euro-denominated Bitcoin and Ether Futures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Ether Options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event contracts linked to our global benchmarks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TBA futures for Mortgage-backed Securities (2022)</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Euro Short-Term Rate (€STR) Futures (2022)</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Additional Cryptocurrency Reference Rates and Real-Time Indices (2022 and 2023)</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Event contracts on Bitcoin Futures (2023)</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Micro E-mini S&amp;P MidCap 400 and Micro E-mini S&amp;P SmallCap 600 Futures (2023)</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Renminbi Options (2023)</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Lithium Carbonate Futures (2023)</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Ether/Bitcoin Ratio Futures (2023)</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T-Bill Futures (2023)</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Options on Micro Gold Futures (2023)</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Cobalt Hydroxide Futures (2023)</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Micro Henry Hub Futures and Options (2023)</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Additional short-term Options on U.S. Treasury Futures (2023)</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the individual product launches noted above, we have completed many product extensions across our asset classes, including short-dated options products (Monday options on U.S. Treasury Futures, Monday and Wednesday options on</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WTI Crude Oil, Tuesday and Thursday options on E-mini Russell 2000, and Monday, Tuesday, Wednesday and Thursday options on Micro E-mini Nasdaq-100 and S&amp;P 500).</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continue to expand and deepen our customer base worldwide and offer customers around the world with the most broad and diversified portfolio of benchmark products. We believe we have a significant opportunity to expand the participation of our non-U.S. customer base in our markets. Our penetration of these markets lags our development in the U.S., and we believe that there is room for significant growth and development of these financial markets. In 2023, approximately 30% of our electronic futures and options volume was from transactions reported as outside the U.S. and approximately 54% of our market data revenue was derived from outside the U.S. We also achieved 13% growth in trading volume during European trading hours and 11% growth during Latin America trading hours in 2023 compared to 2022.</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continues to introduce tools which assist our clients in managing their risks. The FX and Metals Market Profile Tools on Quant Analytics offer simple, but effective methods for clients to compare and contrast our leading FX and metals products and liquidity pools side-by-side, which in turn enables clients to analyze their opportunity to minimize costs and achieve best execution by accessing highly complementary liquidity pools across cash and futures markets. We expect to continue to expand this Quant Analytics suite in the future as well.</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CME Liquidity Tool enables market participants to analyze liquidity across CME Group products during U.S., London or Singapore trading hours and covers 37 products to meet customer demand for our growing product suite. CME Group Volatility Indexes (CVOL) comprises a total of 42 indexes, including 7 unique broad-based benchmarks such as the Treasury Volatility Index and Commodity Volatility Index. Our real-time streaming versions of the CVOL indexes provide a representative measure of the market expectation of 30-day forward risk, comprising both end of day and live streaming values. We have increased our customer base and continue to target cross-asset opportunities across client segments and across cash and futures platforms, driving global sales and generating new client participation across all regions. We have a long history of providing customer value and responsiveness and believe our products and services position us to help our customers adapt to and comply with new regulations, while enabling them to efficiently manage their risks. We have a broad distribution network comprised of a combination of internal and external channels and proprietary front-end capabilities.</w:t>
      </w:r>
    </w:p>
    <w:p>
      <w:pPr>
        <w:spacing w:after="0" w:line="8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late 2023, we announced the launch of our new CME FX Spot+ as another tool for our customers to increase access, transparency and trading opportunities across spot FX and FX futures markets. CME FX Spot+ an all-to-all spot FX marketplace that will connect liquidity between two trading environments, whereby spot FX participants will have expanded access to CME FX futures liquidity in OTC spot terms within an open, transparent, central</w:t>
      </w:r>
    </w:p>
    <w:p>
      <w:pPr>
        <w:spacing w:after="0" w:line="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limit order book environment, while FX futures market users will see expanded access to OTC FX liquidity. We are expecting to start client testing in the second half of 2024.</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Diversify our Business and Revenue </w:t>
      </w:r>
      <w:r>
        <w:rPr>
          <w:rFonts w:ascii="Times New Roman" w:cs="Times New Roman" w:eastAsia="Times New Roman" w:hAnsi="Times New Roman"/>
          <w:sz w:val="18"/>
          <w:szCs w:val="18"/>
          <w:color w:val="auto"/>
        </w:rPr>
        <w:t>- Our acquisition of NEX strengthened our role in global financial markets infrastructure and information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adding complementary cash and OTC businesses and scale to our listed interest rate and FX products, while broadening our global client base. We are positioned to take direct advantage of growth in treasury issuance, unwinding of the Fed’s balance sheet, liquid treasury holdings and the trading of treasury instruments, as well as growing repo activity in the U.S. and Europe. The transaction expanded CME Group’s position in the large, highly competitive and highly fragmented global FX marketplace, offering both order book trading and relationship-based trading solutions for customers. The acquisition added strength in underlying customer marketplaces, especially around regional bank customers and other market participants outside of North America and expanded our market data solutions beyond futures and options into cash and OTC offerings.</w:t>
      </w:r>
    </w:p>
    <w:p>
      <w:pPr>
        <w:spacing w:after="0" w:line="79"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7"/>
          <w:szCs w:val="17"/>
          <w:color w:val="auto"/>
        </w:rPr>
        <w:t>CME Group is well-positioned to capitalize on its ability to license CME Term SOFR, administered by our subsidiary, CME Group Benchmark Administration Limited. CME Term SOFR is the only SOFR rate endorsed by the Alternative Reference Rates Committee (ARRC) and the Federal</w:t>
      </w:r>
    </w:p>
    <w:p>
      <w:pPr>
        <w:ind w:right="280"/>
        <w:spacing w:after="0" w:line="282" w:lineRule="auto"/>
        <w:rPr>
          <w:sz w:val="20"/>
          <w:szCs w:val="20"/>
          <w:color w:val="auto"/>
        </w:rPr>
      </w:pPr>
      <w:r>
        <w:rPr>
          <w:rFonts w:ascii="Times New Roman" w:cs="Times New Roman" w:eastAsia="Times New Roman" w:hAnsi="Times New Roman"/>
          <w:sz w:val="18"/>
          <w:szCs w:val="18"/>
          <w:color w:val="auto"/>
        </w:rPr>
        <w:t>Reserve Board has formally endorsed the forward-looking term rates based on SOFR. Through the end of 2023, we have licensed the CME Term SOFR benchmark to 2,975 firms and over 11,000 licensees in 100 countries.</w:t>
      </w:r>
    </w:p>
    <w:p>
      <w:pPr>
        <w:spacing w:after="0" w:line="5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2010, CME Group acquired a majority stake in Dow Jones Indexes, which was combined with S&amp;P’s index business in 2012 to form S&amp;P Dow Jones Indices LLC, of which CME Group now has a 27% ownership stake. S&amp;P Dow Jones Indices LLC combines the world class capabilities of the S&amp;P and Dow Jones Indices, and is a significant player in passive investing, including the exchange-traded fund (ETF) industry value chain. As part of the joint venture, we acquired a long-term, ownership-linked, exclusive license to list futures and options based on the S&amp;P 500 Index and certain other S&amp;P indices. We also act as the joint venture's licensing agent and distribution services provider. In 2022, we invested $410.0 million in this joint venture to fund our portion of the acquisition of the IHS Markit indices business, which includes leading fixed income and credit indices, such as iBoxx, iTraxx and CDX.</w:t>
      </w:r>
    </w:p>
    <w:p>
      <w:pPr>
        <w:spacing w:after="0" w:line="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2021, CME Group and IHS Markit (later acquired by S&amp;P Global) established a 50/50 joint venture, OSTTRA. We contributed to OSTTRA our trade processing/post-trade businesses (Traiana, TriOptima and Reset) and IHS Markit contributed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its MarkitSERV business. OSTTRA serves as the leading optimization business and provider of progressive post-trade solutions for the global OTC markets across interest rate, FX, equity and credit asset classes.</w:t>
      </w:r>
    </w:p>
    <w:p>
      <w:pPr>
        <w:spacing w:after="0" w:line="5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Unparalleled Customer Efficiencies and Operational Excellence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changing regulatory requirements for many of our customers,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margin requirements on uncleared trades, and the need for greater efficiencies, we have added tools to enable customers to manage clearing positions in our markets in an efficient manner. With the ongoing implementation of regulatory reform in the United States and in Europe, along with global implementation of Basel III capital requirements on financial institutions, we expect centralized clearing and capital efficiencies to continue to be important for our global client base.</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provide a comprehensive multi-asset class clearing solution to market participants for maximum operational ease and the capital efficiency that comes with connecting to our clearing house. Our clearing services offer the ability to optimize collateral and capital efficiencies across portfolios within the clearing house while meeting the heightened regulatory requirements on derivatives. The majority of our clearing volumes and activities are related to our listed futures and options, which represent the majority of our open interest and collateral held against these positions. We also offer clearing services for OTC interest rate swaps, FX forwards and commodity swaps.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2023, we launched CME SPAN 2 for certain futures and options on energy products, an enhancement of our Standard Portfolio Analysis of Risk (SPAN) margin framework, which provides enhanced risk management capabilities in a single, unified interface across futures and options, cleared OTC products and portfolio margining programs. In 2024, we are expecting to expand SPAN 2 to other asset classes. As CME SPAN 2 is implemented, margins for diversified portfolios will consist of products using the enhanced CME SPAN 2 framework, in addition to the existing SPAN framework, ensuring appropriate levels of offsets will continue to be provided across products subject to the SPAN and SPAN 2 frameworks.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provides various tools and services to assist customers with capital and operational efficiencies, including:</w:t>
      </w:r>
    </w:p>
    <w:p>
      <w:pPr>
        <w:spacing w:after="0" w:line="117" w:lineRule="exact"/>
        <w:rPr>
          <w:sz w:val="20"/>
          <w:szCs w:val="20"/>
          <w:color w:val="auto"/>
        </w:rPr>
      </w:pPr>
    </w:p>
    <w:p>
      <w:pPr>
        <w:ind w:left="660" w:right="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Clearing provides compression via coupon blending as well as CME CORE, an interactive margin calculator that enables clients to optimize their capital by providing insights on margin requirements prior to trading.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margining allows firms to capitalize on margin offsets between futures, options and cleared OTC instruments with common risk factors.</w:t>
      </w:r>
    </w:p>
    <w:p>
      <w:pPr>
        <w:spacing w:after="0" w:line="11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Cross-margining allows firms to achieve portfolio margin efficiencies for offsetting positions between two clearing houses, including CME and Fixed Income Clearing Corporation (FICC) or CME and Options Clearing Corporation (OCC), through reduced performance bond requirements. Through an enhancement to our arrangement with FICC, in January 2024, we began offering enhanced capital efficiencies to our eligible clearing members when trading U.S. Treasury securities and CME interest rate futures.</w:t>
      </w:r>
    </w:p>
    <w:p>
      <w:pPr>
        <w:spacing w:after="0" w:line="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with Google Cloud - </w:t>
      </w:r>
      <w:r>
        <w:rPr>
          <w:rFonts w:ascii="Times New Roman" w:cs="Times New Roman" w:eastAsia="Times New Roman" w:hAnsi="Times New Roman"/>
          <w:sz w:val="18"/>
          <w:szCs w:val="18"/>
          <w:color w:val="auto"/>
        </w:rPr>
        <w:t>In November 2021, we announced a 10-year strategic partnership with Google Cloud to accelerate CME Group’s move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cloud, which we expect will transform derivatives markets by expanding access and creating efficiencies for market participants. The partnership will focus on expanding access to CME Group’s infrastructure, advancing real-time data and analytics capabilities, co-innovating new products and services, increasing efficiencies and driving resiliency in the financial markets’ ecosystem. In 2022, we built our cloud instance on the Google Cloud platform. In 2023, we have been executing against the plans to move our non-latency sensitive applications, including clearing and data, to the Cloud. The migration of these applications will enable us to commercialize and launch new clearing and data products.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121"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We own the rights to a large number of trademarks, service marks, domain names and trade names in the U.S., Europe and other parts of the world. We have registered many of our most important trademarks in the U.S.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 intellectual property rights by relying on trademarks, patents, copyrights, database rights, trade secrets, restrictions on disclosure and other methods.</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offer equity index futures and options on key benchmarks, including S&amp;P, Nasdaq, Dow Jones, FTSE Russell and fixed income index futures. These products are listed by us subject to license agreements with the applicable owners of the indexes, some of which are exclusive. In connection with S&amp;P Dow Jones Indices, we have a license agreement (S&amp;P License Agreement) for certain S&amp;P stock indexes and related trade names, trademarks and service marks in connection with the creation, marketing, trading, clearing and promoting of futures contracts and/or options on futures contracts that are indexed to certain S&amp;P stock indexes. Our license for the S&amp;P 500 Index will be exclusive for futures and options until one year prior to the termination of the S&amp;P License Agreement, and non-exclusive for the last year. The license for the other S&amp;P stock indexes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is generally exclusive for futures and options. The term of the S&amp;P License Agreement will continue until the date that is one year after the date that CME Group ceases to own at least 5% (accounting for dilution) of the outstanding interests in S&amp;P Dow Jones Indices. Upon the occurrence of certain events, including certain terminations of the joint venture, the term may be extended up to an additional ten years. In connection with S&amp;P Dow Jones Indices, we also have an exclusive license agreement (Dow Jones License Agreement) for certain Dow Jones indexes. The initial term of the agreement is through June 30, 2026. Following the initial term, the Dow Jones License Agreement will automatically renew for renewal terms of five years thereafter, so long as there is open interest in any of CBOT’s or its affiliates’ products based on one or more of the Dow Jones licensed indexes. In the event there is no open interest in any such products, then we may terminate the agreement. We also have an exclusive license agreement for certain Nasdaq indexes through 2029. In 2015, we entered into an exclusive license agreement with FTSE Russell and launched the E-mini Russell 2000 futures in 2017. We pay the applicable third-party, per-trade fees based on contract volume under the terms of these licensing agreements. A copy of the S&amp;P License Agreement has been filed as a material contract.</w:t>
      </w:r>
    </w:p>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CME Group is the distributor of CME Term SOFR, a daily set of forward-looking interest rate estimates, calculated and published for 1-month, 3-month, 6-month and 12-month tenors and administered by CME Group Benchmark Administration Limited, a U.K. regulated subsidiary.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cannot guarantee we will be able to maintain the exclusivity of our licensing agreements with S&amp;P, Dow Jones, Nasdaq and FTSE Russell or be able to maintain existing exclusive and non-exclusive licensing arrangements beyond the term of the current agreements or that any renewal will be on terms as favorable to us. In addition, we cannot guarantee that others will not succeed in creating stock index futures based on information similar to that which we own or have obtained by license, or that market participants will not increasingly use other instruments, including securities and options based on the S&amp;P, Dow Jones, Nasdaq or FTSE Russell indexes, to manage or speculate on U.S. stock risks or clients to select another interest rate alternative. Parties also may succeed in offering indexed products that are similar to our licensed products without being required to obtain a license, or in countries that are beyond our and/or our licensors' jurisdictional reach.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seen multiple new entrants over time,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2.2, Markets in Financial Instruments Directive II (MiFID II), Capital Requirements Directive IV, Market Abuse Regulation, Benchmarks Regulation, Basel III and various other laws and regulations.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refer to the discussion below and in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Item 1A - Risk Factors" beginning on page 16 for a description of competitive risks and uncertainties.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Derivatives Exchange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competition in the derivatives business is based on a number of factors, including, among others:</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secure clearing, settlement and support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liquidity of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efficiencies;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product offerings and frequency and quality of new product development and innovative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position and expand upon existing products to address changing market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seamless customer experience;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reliability, anonymity and security in transaction processing;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accessibility, flexibility in execution methods and distribution;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capability and innovation;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transaction costs.</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Our deep, liquid markets; diverse and complementary product offerings; frequency and quality of new product development; and efficient, secure clearing, settlement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capabilities and solutions; and implement customer protections designed to ensure the integrity of our market and the confidence of our customers.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compete in a large and expanding financial services trading, clearing and settlement marketplace globally. Our competitors include, among other entities, exchanges such as Intercontinental Exchange, Inc. (ICE), the Chicago Board Options Exchange (CBOE), Euronext N.V., the Hong Kong Exchanges and Clearing Limited and Deutsche Börse AG. We have also seen the emergence of new players in the derivatives exchange business, in some cases backed by market makers and broker-dealers, as well as crypto platforms. Competition also includes alternative means of developing exposures through alternative instruments (depending on market factors) such as cash, OTC, ETFs, options, warrants, contracts for differences, structured products and other offerings and incorporates large customer and channel internalization of trade flows and data. New emerging competitors have targeted different segments of our industry, with multiple execution models and products, and emerging technologies will continue to offer additional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CME Clearing Business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recent years there has been increased competition in the provision of clearing services, and we expect competition to continue to increase in connection with compliance with Dodd-Frank, EMIR 2.2, Basel III, MiFID II and other various laws and regulations.</w:t>
      </w:r>
    </w:p>
    <w:p>
      <w:pPr>
        <w:spacing w:after="0" w:line="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competitors in the clearing services space include, among others, companies such as ICE, LCH Group, OCC, CBOE Clear, Depository Trust &amp; Clearing Corporation, Hong Kong Exchanges and Clearing, Japan Securities Clearing Corporation, LME Clear and Deutsche Börse AG. In light of the implementation of new regulatory requirements and other financial services reforms, we believe other exchanges and infrastructure providers also may undertake to provide clearing and other related post-trade services in the U.S. as CFTC-regulated clearing organizations.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competition in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Cash Markets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cash markets businesses face substantial competition across a wide array and growing number of venues. In FX, the marketplace is highly fragmented, and there is competition from other electronic communication networks, single-dealer platforms, bank-owned multi-participant platforms, streaming and request for quote services, trading venues tied to data platforms, voice brokers, other broker enabled platforms and other venues. There is a growing array of platforms and technologies, often owned by well-capitalized financial institutions and intermediaries that are also driving internalization of client FX trade flows. In the fixed income space, there are also multiple providers of treasury, European and U.S. repo, and European bond trading, as well as other products such as corporate bonds, municipal bonds, mortgage-backed bonds and agencies, and a multitude of competitors and new entrants offering single-dealer liquidity, bank-owned multi-participant platforms, streaming and request for quote services, and other broker and exchange-enabled platforms. There is also increasing competition from foreign government entities providing financial inducements to establish new FX trading venues in their countries. A key strategy of a number of these alternative and emerging venues, is to offer their services at a significantly lower price in comparison to the established EBS and BrokerTec platforms, with the aim of enticing customer business, and the resulting market share, away from our markets.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Market Data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Technology companies, market data and information vendors and front-end software vendors also represent actual and potential competitors because they have their own substantial market data calculation and distribution capabilities that could serve as alternative means for receiving open market data feeds instead of connecting directly to our exchange. Multiple other industry participants offer both referential and indicative pricing alternatives to our offerings, which are widely distributed and available across a variety of media. Distributors and consumers of our market data also may use our market data as an input into products that compete against our traded or cleared products. Although we may receive license fees for such products, such fees may not offset the impact of any loss in revenue from our comparable product.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Our businesses are regulated and serve a customer base that includes regulated market participants, and as such, we are subject to extensive regulation, primarily in the U.S., U.K. and E.U. Developments in the regulatory environment therefore have the potential to significantly affect our businesses.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Please also refer to the discussion below and in "Item 1A - Risk Factors" beginning on page 16 for a description of regulatory and legislative risks and uncertainties.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Derivatives Business, CME Clearing, the NEX SEF and Swap Data Repositories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operation of our U.S. futures exchanges, CME Clearing and the NEX SEF are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and clearing and settlement activities by the CFTC and the Federal Reserve Board.</w:t>
      </w:r>
    </w:p>
    <w:p>
      <w:pPr>
        <w:spacing w:after="0" w:line="6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the U.K. Financial Conduct Authority (FCA) and Bank of England, the Netherlands Authority for the Financial Markets (AFM) and the Federal Financial Supervisory Authority (BaFin) in Germany, among others.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Cash Markets Business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operation of BrokerTec subjects us to regulation by the Financial Industry Regulatory Authority (FINRA) and the U.S. Securities and Exchange Commission (SEC) as a broker-dealer and alternative trading system operator. BrokerTec is also subject to regulation by the FCA in the U.K., as a multilateral trading facility, in the E.U., under the AFM, as a regulated market and by the applicable regulators in Singapore and Canada.</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EBS business is regulated by the Commodity Futures Trading Commission (CFTC) as a registered swap execution facility (SEF) and by the Financial Conduct Authority (FCA) as a MiFID Multi-Lateral Trading Facility (MTF) and holds various permissions, approvals and exemptions globally, including those that subject certain of its activities to CFTC, FCA, AFM, Monetary Authority of Singapore, Australian Securities and Investments Commission, Hong Kong Monetary Authority and Canadian oversight.</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settlement of matched principal and exchange-traded businesses requires access to clearing houses either directly or through third-party providers of clearing and settlement services. BrokerTec Americas is a member of the Fixed Income Clearing Corporation, through which it clears U.S. Treasury and repo products. Our BrokerTec business operated in the EU also connects to LCH Limited, LCH SA, BME Meff Clear and Cassa di Compensazione e Garanzia (CC&amp;G), who acts as central clearing participants in the European and U.K. Gilt Repo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Market Data Business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subsidiary, CME Group Benchmark Administration Limited, is a registered benchmark administrator, authorized and supervised by the FCA under the UK Benchmark Regulations. CME Group Benchmark Administration Limited administers a variety of different multi-asset class data products, including CME Term SOFR.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Areas of Focus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actively monitor and participate in the domestic and international legislative and rulemaking processes for our industry, including providing government testimony, commenting on proposed legislation and rulemaking, and educating our regulators and policymakers on potential impacts to the marketplace. We are also focused on the U.S. Presidential administration and its federal regulatory appointees and any anticipated changes that may result.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areas of focus in the regulatory environment are:</w:t>
      </w:r>
    </w:p>
    <w:p>
      <w:pPr>
        <w:spacing w:after="0" w:line="117" w:lineRule="exact"/>
        <w:rPr>
          <w:sz w:val="20"/>
          <w:szCs w:val="20"/>
          <w:color w:val="auto"/>
        </w:rPr>
      </w:pPr>
    </w:p>
    <w:p>
      <w:pPr>
        <w:ind w:left="6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transaction tax or user fee in the U.S., U.K. or E.U., or in the States of Illinois or New Jersey, which could discourage institutions and individuals from using our markets or products or encourage them to trade in another less costly jurisdiction. Legislation to impose a financial transaction tax has been proposed previously in the U.S. Congress, Illinois General Assembly and State of New Jersey Legislature. Additionally, from time to time, the proposed U.S. Presidential budget request has included a proposal to impose a user fee to fund all or a portion of the budget of the CFTC. Legislation would be necessary to impose such a fee. Federal legislation has previously been proposed by Congress that would impose a user fee on digital asset spot markets to fund CFTC regulation of those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Such a user fee, if adopted, could potentially be expanded to apply more broadly to the futures and options markets.</w:t>
      </w:r>
    </w:p>
    <w:p>
      <w:pPr>
        <w:spacing w:after="0" w:line="63" w:lineRule="exact"/>
        <w:rPr>
          <w:sz w:val="20"/>
          <w:szCs w:val="20"/>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that proposes to eliminate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relation to the E.U. Regulations on Benchmarks have yet to come into effect, as the E.U. has extended transitional periods until the end of 2025, and has proposed further legislative changes to apply from 2025 onwards. It remains possible that data, pricing and analytics provided by CME Group for use by E.U. supervised entities and use of those benchmarks may be impacted in the future.</w:t>
      </w:r>
    </w:p>
    <w:p>
      <w:pPr>
        <w:spacing w:after="0" w:line="13"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European legislators will prohibit or restrict exclusive licenses for benchmark indexes, which might impact the profitability of several of our most popular contracts.</w:t>
      </w:r>
    </w:p>
    <w:p>
      <w:pPr>
        <w:spacing w:after="0" w:line="1" w:lineRule="exact"/>
        <w:rPr>
          <w:rFonts w:ascii="Times New Roman" w:cs="Times New Roman" w:eastAsia="Times New Roman" w:hAnsi="Times New Roman"/>
          <w:sz w:val="18"/>
          <w:szCs w:val="18"/>
          <w:color w:val="auto"/>
        </w:rPr>
      </w:pPr>
    </w:p>
    <w:p>
      <w:pPr>
        <w:ind w:left="660" w:hanging="328"/>
        <w:spacing w:after="0" w:line="298"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ind w:left="660" w:right="18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debate regarding the regulation of cryptocurrencies, which may impact our existing offerings or our ability to provide future offerings.</w:t>
      </w:r>
    </w:p>
    <w:p>
      <w:pPr>
        <w:spacing w:after="0" w:line="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regulations governing treasury market structure, including potential clearing obligations or promotions of all-to-all cash models. The SEC adopted a rule in December 2023, mandating central clearing of U.S. Treasury securities and repurchase agreements. This will require infrastructure changes to facilitate access to clearing for all participants, including indirect participants, to ensure continued liquidity in these critical markets (i.e., ensure access to FICC's clearing and settlement services for indirect participants).</w:t>
      </w:r>
    </w:p>
    <w:p>
      <w:pPr>
        <w:spacing w:after="0" w:line="17"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Basel III Endgame rules. In July 2023, the Federal Reserve Board, Federal Deposit Insurance Corporation, and Office of the Comptroller of the Currency jointly proposed changes to the regulatory capital framework for global systematically important banks (GSIBs), to implement international capital standards issued by the Basel Committee on Banking Supervision. The proposal would require GSIBs to hold increased capital for OTC exposures that they centrally clear for clients.</w:t>
      </w:r>
    </w:p>
    <w:p>
      <w:pPr>
        <w:spacing w:after="0" w:line="17" w:lineRule="exact"/>
        <w:rPr>
          <w:rFonts w:ascii="Times New Roman" w:cs="Times New Roman" w:eastAsia="Times New Roman" w:hAnsi="Times New Roman"/>
          <w:sz w:val="18"/>
          <w:szCs w:val="18"/>
          <w:color w:val="auto"/>
        </w:rPr>
      </w:pPr>
    </w:p>
    <w:p>
      <w:pPr>
        <w:ind w:left="660" w:right="180" w:hanging="328"/>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Stability Board (FSB) consultation proposing that central counterparties (CCPs) maintain separate, dedicated resources and tools for resolution. The FSB cannot dictate the implementation of its standards, including in the U.S., but has historically exerted pressure on local jurisdictions to adopt its proposals. While the CFTC has not indicated any intention to support such a proposal, if it were supported in the U.S., this proposal could negatively impact cleared markets by increasing costs, reducing participation, and disincentivizing default management participation. The FSB consultation also supports early intervention by resolution authorities which could preempt CCP recovery efforts and the role of the CFTC.</w:t>
      </w:r>
    </w:p>
    <w:p>
      <w:pPr>
        <w:spacing w:after="0" w:line="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regulatory or policy actions that could result in changes to market structure for the clearing of derivative transactions, which may impact our business model or the competitive landscape of the industry.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also see "Item 1A - Risk Factors" beginning on page 16 for additional information on our areas of regulatory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rely on a highly skilled and experienced global workforce to meet our business objectives. As of December 31, 2023, our global employee population consisted of approximately 3,565 staff, with 62% (approximately 2,200) of these employees working in the United States. and the remaining 38% (approximately 1,365) working in our various non-U.S. locations (Australia, Brazil, Canada, China, France, Hong Kong, India, Japan, Mexico, Netherlands, Singapore, South Korea, Sweden, Switzerland and the U.K.).</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that fostering a diverse and inclusive global culture is critical to our business success. We provide our workforce with a compelling employee experience that allows us to attract, retain and develop industry-leading talent. We are continually seeking new ways to challenge, develop and support our employees. Select highlights of our employee experience include the following:</w:t>
      </w:r>
    </w:p>
    <w:p>
      <w:pPr>
        <w:spacing w:after="0" w:line="6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wide range of benefits designed to support our employees’ health and well-being, retirement needs and work/life balance.</w:t>
      </w:r>
    </w:p>
    <w:p>
      <w:pPr>
        <w:spacing w:after="0" w:line="103" w:lineRule="exact"/>
        <w:rPr>
          <w:rFonts w:ascii="Times New Roman" w:cs="Times New Roman" w:eastAsia="Times New Roman" w:hAnsi="Times New Roman"/>
          <w:sz w:val="18"/>
          <w:szCs w:val="18"/>
          <w:color w:val="auto"/>
        </w:rPr>
      </w:pPr>
    </w:p>
    <w:p>
      <w:pPr>
        <w:ind w:left="660" w:right="40" w:hanging="328"/>
        <w:spacing w:after="0" w:line="23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provide a variety of avenues for employees to grow their expertise, including tuition assistance for continuing education, onsite and virtual-led professional development training courses, access to external seminars and technical skills training and over 10,000 online educational courses. We also offer an integrated series of customized leadership development programs to prepare employees for each stage of their careers.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compensation programs align employee rewards with shareholder interests and emphasize our pay-for-performance philosophy.</w:t>
      </w:r>
    </w:p>
    <w:p>
      <w:pPr>
        <w:spacing w:after="0" w:line="63"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Resource Groups (ERGs) play a crucial role in advancing a more diverse and inclusive culture. By creating communities of colleagues with shared backgrounds and interests, our ERGs help us attract, develop and retain the critical talent we need to continue to grow our business and ultimately enhance the employee experience for all. Membership is open to all CME Group employees around the globe.</w:t>
      </w:r>
    </w:p>
    <w:p>
      <w:pPr>
        <w:spacing w:after="0" w:line="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regularly conduct employee engagement surveys. We also monitor human capital metrics, such as voluntary turnover, internal placement for open roles and promotions to understand where further workforce investments may be necessary. During 2023, our performance against these metrics was:</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voluntary turnover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of open roles filled with internal candidates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of employees promoted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CME Group, we embrace an exchange of ideas driven by the rich diversity of our people, cultures and experiences. We know that when our employees bring their authentic selves to work each day, it makes our business and our culture that much stronger. Leveraging the collective mix of perspectives and insights that our individual backgrounds bring, we can continually provide our global clients with innovative products and solutions, strengthen our competitive advantage and best serve the communities in which we live and work.</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anchored our commitment to diversity and inclusion by incorporating it into our corporate goals, and our Chief Human Resources Officer provides our senior management and Board with regular updates. Our Diversity and Inclusion (D&amp;I) Council is responsible for driving our corporate D&amp;I strategy. Members of our management team and employees from across our global workforce serve on the D&amp;I Council, representing a wide variety of backgrounds and perspectives.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more information regarding our D&amp;I and sustainability practices and to review our annual Environmental, Social and Governance Reports, including our report for 2023 when issued, please visit: https://www.cmegroup.com/company/corporate-citizenship/esg.html. Information made available on our website does not constitute a part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CME Group's executive officers. Ages are as of February 7, 2024.</w:t>
      </w:r>
    </w:p>
    <w:p>
      <w:pPr>
        <w:spacing w:after="0" w:line="11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Terrence A. Duffy, 65. </w:t>
      </w:r>
      <w:r>
        <w:rPr>
          <w:rFonts w:ascii="Times New Roman" w:cs="Times New Roman" w:eastAsia="Times New Roman" w:hAnsi="Times New Roman"/>
          <w:sz w:val="18"/>
          <w:szCs w:val="18"/>
          <w:color w:val="auto"/>
        </w:rPr>
        <w:t>Mr. Duffy has served as our Chairman and Chief Executive Officer since 2016. Mr. Duffy previously served as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6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Sunil Cutinho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52</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Cutinho has served as our Chief Information Officer since February 2022 and previously served as President of CME Clearing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2014. He joined CME Group in 2002 and since then has held various positions of increasing responsibility within the organization, including as Managing Director, Deputy Head of CME Clearing from April 2014 through September 2014.</w:t>
      </w:r>
    </w:p>
    <w:p>
      <w:pPr>
        <w:spacing w:after="0" w:line="5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Lynne Fitzpatrick, 45. </w:t>
      </w:r>
      <w:r>
        <w:rPr>
          <w:rFonts w:ascii="Times New Roman" w:cs="Times New Roman" w:eastAsia="Times New Roman" w:hAnsi="Times New Roman"/>
          <w:sz w:val="18"/>
          <w:szCs w:val="18"/>
          <w:color w:val="auto"/>
        </w:rPr>
        <w:t>Ms. Fitzpatrick has served as our Chief Financial Officer since April 2023 and in her role is responsible for overseeing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corporate finance, accounting, investor relations, treasury, real estate, business development, corporate strategy, strategic investments, pricing and procurement functions. She previously served as Deputy Chief Financial Officer since 2022 and Managing Director of Corporate Development and Treasurer of CME Group since 2017. Since joining the company in 2006, Ms. Fitzpatrick has held a variety of positions with increasing levels of responsibility within the finance organization. Prior to CME Group she worked as an investment banker at Credit Suisse and UBS.</w:t>
      </w:r>
    </w:p>
    <w:p>
      <w:pPr>
        <w:spacing w:after="0" w:line="11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Holzrichter, 55. </w:t>
      </w:r>
      <w:r>
        <w:rPr>
          <w:rFonts w:ascii="Times New Roman" w:cs="Times New Roman" w:eastAsia="Times New Roman" w:hAnsi="Times New Roman"/>
          <w:sz w:val="18"/>
          <w:szCs w:val="18"/>
          <w:color w:val="auto"/>
        </w:rPr>
        <w:t>Ms. Holzrichter has served as our Chief Operating Officer since 2014 and in February 2022, her role expanded to also oversee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Clearing and Post-Trade division. She previously served as 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 Ms. Holzrichter also serves as a director of Constellation Energy Corporation.</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Marcus, 55. </w:t>
      </w:r>
      <w:r>
        <w:rPr>
          <w:rFonts w:ascii="Times New Roman" w:cs="Times New Roman" w:eastAsia="Times New Roman" w:hAnsi="Times New Roman"/>
          <w:sz w:val="18"/>
          <w:szCs w:val="18"/>
          <w:color w:val="333333"/>
        </w:rPr>
        <w:t>Mr. Marcus has served as our Senior Managing Director and General Counsel since October 2022. Prior to joining CME Group,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Marcus most recently worked in priv</w:t>
      </w:r>
      <w:r>
        <w:rPr>
          <w:rFonts w:ascii="Times New Roman" w:cs="Times New Roman" w:eastAsia="Times New Roman" w:hAnsi="Times New Roman"/>
          <w:sz w:val="18"/>
          <w:szCs w:val="18"/>
          <w:color w:val="000000"/>
        </w:rPr>
        <w:t>ate practice as a partner at Reed Smith LLP, where he specialized in derivatives regulation, litigation and enforcement.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He previously served as General Counsel of the CFTC from 2013 to 2017. Mr. Marcus also served as the CFTC's Deputy General Counsel for Litigation and as an Assistant to the Solicitor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General of the United States. His career also includes senior roles at other nationally recognized law firms and he began his career as a clerk for Judge Jose Cabranes of the U.S. Court of Appeals for the Second Circuit.</w:t>
      </w:r>
    </w:p>
    <w:p>
      <w:pPr>
        <w:spacing w:after="0" w:line="5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Tim McCourt, 45</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McCourt has served as Senior Managing Director, Global Head of Financial and OTC Products since June 2023. Before that he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global head of Equity and FX Products. He is responsible for leading the development and execution of the company’s global interest rate, equity index, foreign exchange, OTC, cryptocurrency and alternative investment product strategies. He also serves on the S&amp;P Dow Jones Indices U.S. Advisory Panel.</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Before joining CME Group in 2013 as Global Head of Equity Products, Mr. McCourt worked for the Royal Bank of Scotland (RBS), where he was responsible for building and managing the Americas Index and Delta One trading book. Prior to RBS, he held a senior trading role with JPMorgan in New York, spending 10 years with the Equity Derivatives Group.</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Hilda Harris Piell, 56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Piell has served as our Chief Human Resources Officer since 2007. A practicing attorney for seventeen years, Ms. Piell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held positions of increasing responsibility in our Legal &amp; Market Regulation division, most recently as Managing Director and Senior Associate General Counsel. Prior to joining CME Group in 2000, Ms. Piell served as Associate Commercial Counsel at MCI Telecommunications (1996-2000) and Associate Litigation Attorney at Jenner &amp; Block (1992-1996). Her career also includes service as a clerk for a judge of the U.S. District Court for the Northern District of Illinois.</w:t>
      </w:r>
    </w:p>
    <w:p>
      <w:pPr>
        <w:spacing w:after="0" w:line="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Derek Sammann, 55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Sammann has served as our Senior Managing Director, Global Head of Commodities and Options and International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2021 and previously served as our Senior Managing Director, Commodities and Options Products since 2014. He previously 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 Mr. Sammann serves as a member of the Board of Directors of the following entities: the Dubai Mercantile Exchange, the COMEX Board of Governors and the Commodities Markets Council, where he also serves as Treasurer. He also serves on the Shanghai Gold Exchange’s International Advisory Board, the Commodity Futures Trading Commission's Agricultural &amp; Energy and Environmental Markets Advisory Committees, and the Security Traders Association’s Listed Options Committee.</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Sprague, 43. </w:t>
      </w:r>
      <w:r>
        <w:rPr>
          <w:rFonts w:ascii="Times New Roman" w:cs="Times New Roman" w:eastAsia="Times New Roman" w:hAnsi="Times New Roman"/>
          <w:sz w:val="18"/>
          <w:szCs w:val="18"/>
          <w:color w:val="auto"/>
        </w:rPr>
        <w:t>Ms. Sprague has served as Senior Managing Director &amp; Global Head of Clearing and Post-Trade Services for CME Group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2022. She joined the company in 2002 and has held numerous roles and leadership positions in financial management and risk management since that time. During her tenure, she has played a key role in the company’s development of risk management policy. Since 2015, she served as Managing Director, Credit &amp; Liquidity Risk, Risk Policy &amp; Banking, overseeing CME Clearing’s exposure to counterparty credit risk, liquidity risk management and financial performance, acceptable collateral and collateral services, risk management policies and procedures, financial operations, and banking.</w:t>
      </w:r>
    </w:p>
    <w:p>
      <w:pPr>
        <w:spacing w:after="0" w:line="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Jack Tobin, 60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Tobin has served as Managing Director and Chief Accounting Officer since 2015. Mr. Tobin most recently served as our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Corporate Finance since 2007. Prior to our merger with CBOT Holdings, Mr. Tobin served as the Director, Corporate Finance for CBOT Holdings and CBOT from 2002 to 2007. Prior to joining CBOT, Mr. Tobin served as a principal consultant with PricewaterhouseCoopers from 1997 to 2002. Mr. Tobin is a registered certified public accountant.</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Kendal Vroman, 52. </w:t>
      </w:r>
      <w:r>
        <w:rPr>
          <w:rFonts w:ascii="Times New Roman" w:cs="Times New Roman" w:eastAsia="Times New Roman" w:hAnsi="Times New Roman"/>
          <w:sz w:val="18"/>
          <w:szCs w:val="18"/>
          <w:color w:val="auto"/>
        </w:rPr>
        <w:t>Mr. Vroman has served as our Chief Transformation Officer since November 2021. He previously served as Senior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International and Optimization Services since February 2020 and as our Senior Managing Director, Cash Markets and Optimization Service since 2018. Since joining the company in 2001, he has held a variety of senior leadership roles, including Managing Director, Planning and Execution; Global Head, Commodity Products and OTC Solutions, and Managing Director and Chief Corporate Development Officer. Prior to joining us, Mr. Vroman most recently served as Vice President, Corporate Operations/Chief of Staff to the Chief Executive Officer for marchFirst Inc.</w:t>
      </w:r>
    </w:p>
    <w:p>
      <w:pPr>
        <w:spacing w:after="0" w:line="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Julie Winkler, 49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Winkler has served as our Chief Commercial Officer since 2016. She leads the company’s sales, product marketing,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data analytics, and innovation lab functions, as well as the data services business line. She previously served as 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 Dow Jones Indices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www.cmegroup.com</w:t>
      </w:r>
      <w:r>
        <w:rPr>
          <w:rFonts w:ascii="Times New Roman" w:cs="Times New Roman" w:eastAsia="Times New Roman" w:hAnsi="Times New Roman"/>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may also be found on our website. The SEC also maintains an Internet site that contains reports, proxy and information statements, and other reports that we file or furnish with the SEC at http://</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www.sec.gov. Copies of these materials also are available to shareholders free of charge upon request to Shareholder Relations, officeofthesecretary@cmegroup.com. Information regarding our sustainability practices is available in our annual Environmental, Social and Governance Reports, including our report for 2023 when issued, at the following: https://www.cmegroup.com/company/corporate-citizenship/esg.html.</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7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economic, political and geopolitical market conditions, including the instability caused by wars;</w:t>
      </w:r>
    </w:p>
    <w:p>
      <w:pPr>
        <w:spacing w:after="0" w:line="35" w:lineRule="exact"/>
        <w:rPr>
          <w:rFonts w:ascii="Arial" w:cs="Arial" w:eastAsia="Arial" w:hAnsi="Arial"/>
          <w:sz w:val="22"/>
          <w:szCs w:val="22"/>
          <w:color w:val="auto"/>
        </w:rPr>
      </w:pPr>
    </w:p>
    <w:p>
      <w:pPr>
        <w:ind w:left="660" w:right="1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any direct or indirect restrictions on or increased costs associated with trading in our markets or our clearing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the industry and financial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trading volumes and volatility in the derivatives, cash and OTC markets and in their underlying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or supply in commodities underlying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monetary policies and the U.S. Federal Reserve and other international banks' forecasted interest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to our market participants and their appetite for risk-taking;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assets under our customers'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patterns, droughts, natural disasters and other catastrophes;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affecting our customer base or our ability to operate our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expansion in our customer base and within our industry.</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in the period after a material market disturbance, there may persist extreme uncertainties, which may lead to decreased volume due to factors such as reduced risk exposure, fluctuating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challenging business environment for us.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1A - Risk Factors - Risks Relating To Our Business" beginning on page 20 for additional information.</w:t>
      </w:r>
    </w:p>
    <w:p>
      <w:pPr>
        <w:spacing w:after="0" w:line="1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 fines or other consequences to our regulated status.</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primarily subject to the jurisdiction of the regulatory agencies in the U.S., U.K. and European Union. As a result of our global operations, we are also subject to the rules and regulations of other local jurisdictions in which we conduct business and offer our products and services, as appropriate.</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businesses and those of many of our clients have been and continue to be subject to extensive legislation and regulatory scrutiny, and we face the risk of continued increasing oversight and changes to our regulatory environment and business in the future and have incurred and expect to continue to incur significant costs to comply. Additional new laws or regulations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changes in enforcement practices applicable to our businesses or those of our clients could be imposed in the U.S. or other jurisdictions, which could change, or require us to change, our business practices or the structure of our business, including its current governance, risk oversight or regulatory structure, or impose significant costs on us by, for example, requiring more of our funds to be set aside for the guaranty fund or to meet other compliance requirements. This could adversely affect our ability to compete effectively with other institutions that are not affected in the same way or impact our clients' overall trading volume and demand for our market data and other services. Additionally, regulations imposed on financial institutions or market participants generally may adversely impact their trading activity in our markets. To the extent the legislative and regulatory environment becomes more onerous for us or less beneficial for us or our customers, our business, financial condition and operating results could be negatively affected.</w:t>
      </w:r>
    </w:p>
    <w:p>
      <w:pPr>
        <w:spacing w:after="0" w:line="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Legislation may be proposed, both domestically and internationally, that could, for example,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 with a resulting negative impact on our business, financial condition and operating results.</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swap data repository, broker-dealer, multilateral trading facility or other regulatory status.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broker-dealer and multilateral trading facility businesses, BrokerTec and EBS, are also extensively regulated in various jurisdictions.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comply with these regulatory obligations include potential liability and/or disciplinary action against the firm and individuals, monetary penalties and restrictions on future activities.</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with FICC could adversely impact the willingness of such participants to continue trading on our platform. As part of maintaining its FICC membership, BrokerTec Americas is required to timely and fully meet all margin calls and other obligations established by FICC, and as such must maintain ready access to sufficient liquidity to satisfy those obligations. BrokerTec Americas maintains access to liquidity resources it believes will satisfy these obligations in normal and stressed circumstances, but there can be no guarantee it will never experience a shortfall.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1 - Business - Regulatory Matters" beginning on page 11 for additional information on our areas of regulatory focus.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Some of CME Clearing's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5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for our futures and options business is to operate an efficient and transparent vertically integrated transaction execution, clearing and settlement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from an exchange-owned clearing house to a clearing house owned and controlled by clearing firms. If these legislative or regulatory changes are adopted, our business, financial condition and operating results could be adversely affected.</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we expect competition to continue to intensify. We encounter competition in all aspects of our business, including from entities having substantially greater capital and resources, offering a wide range of products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services and in some cases operating under a different 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Our competitors and potential competitors may have greater financial, marketing, technological and personnel resources than we do.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may:</w:t>
      </w:r>
    </w:p>
    <w:p>
      <w:pPr>
        <w:spacing w:after="0" w:line="158" w:lineRule="exact"/>
        <w:rPr>
          <w:sz w:val="20"/>
          <w:szCs w:val="20"/>
          <w:color w:val="auto"/>
        </w:rPr>
      </w:pPr>
    </w:p>
    <w:p>
      <w:pPr>
        <w:ind w:left="660" w:right="30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respond more quickly to competitive pressures and opportunities, including responses based upon their corporate governance structures, which may be more flexible and efficient than our corporate governance structure;</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that are preferred by our customers compared to those offered by CME Group;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risk transfer products that compete with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their products and services more competitively;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their network infrastructure and service offerings more efficiently;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better, more user-friendly or more reliable technology;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greater advantage of acquisitions, alliances and other opportunities that provide a competitive advantage;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effectively market, promote and sell their products and services;</w:t>
      </w:r>
    </w:p>
    <w:p>
      <w:pPr>
        <w:spacing w:after="0" w:line="63"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leverage existing relationships with customers and alliance partners or exploit better recognized brand names to market and sell their services; or</w:t>
      </w:r>
    </w:p>
    <w:p>
      <w:pPr>
        <w:spacing w:after="0" w:line="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 regulatory disparities between traditional, regulated exchanges and alternative markets that benefit from a reduced regulatory burden and lower-cost business model.</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our products, markets and clearing services are not competitive or are viewed as less competitive, our business, financial condition and operating results could be adversely affected. A decline in our fees or loss of customers could lower our revenues, which would adversely affect our profitability.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see "Item 1 - Business - Competition" beginning on page 10 for additional information on the competitive environment and its potential impact on our business.</w:t>
      </w:r>
    </w:p>
    <w:p>
      <w:pPr>
        <w:spacing w:after="0" w:line="5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increase trading volume in our markets. To do so, we must maintain and expand our product offerings, our customer base and our trade execution facilities, our pre-and post-trade services and clearing facilities. Our success also depends on our ability to offer competitive prices and services in an increasingly price-sensitive business. For example, some of our competitors have engaged in aggressive pricing strategies in the 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in our profit margin.</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clearing firm clients must meet certain capital requirements and must deposit collateral to meet performance bond and guaranty fund requirements. There is no guarantee the collateral deposited will continue to maintain its value. To the extent a clearing firm were to experience a decrease in capital and be unable to meet requirements, it may be required to decrease its trading activity.</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to maintain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6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role in the global marketplace places us at greater risk than other public companies for a cyber attack and other cyber-security risks. Our technology, our customers, our people and our third-party service providers are vulnerable to cyber-security threats, which could result in wrongful use of our data or our customers’ data or cause interruptions in our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which could cause us to lose customers and trading volume and result in substantial liabilities. We also could be required to incur significant expense to protect or remediate damage to our systems and/or investigate any alleged attack.</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regard the secure storage and transmission of data and the ability to continuously transact and clear on our electronic trading platforms as critical elements of our operations and our operational resiliency. Our technology, our customers, our people and our third-party service providers may be vulnerable to targeted attacks, such as "phishing" attacks, unauthorized access, fraud, computer viruses, denial of service attacks, terrorism, "ransomware" attacks, attacks created through artificial intelligence, firewall or encryption failures or other security or operational risks. Criminal groups, political activist groups and nation-state actors have targeted the financial services industry in general, including as a result of wars, and our role in the global marketplace</w:t>
      </w:r>
    </w:p>
    <w:p>
      <w:pPr>
        <w:spacing w:after="0" w:line="8" w:lineRule="exact"/>
        <w:rPr>
          <w:sz w:val="20"/>
          <w:szCs w:val="20"/>
          <w:color w:val="auto"/>
        </w:rPr>
      </w:pPr>
    </w:p>
    <w:p>
      <w:pPr>
        <w:jc w:val="both"/>
        <w:ind w:right="620"/>
        <w:spacing w:after="0" w:line="312" w:lineRule="auto"/>
        <w:rPr>
          <w:sz w:val="20"/>
          <w:szCs w:val="20"/>
          <w:color w:val="auto"/>
        </w:rPr>
      </w:pPr>
      <w:r>
        <w:rPr>
          <w:rFonts w:ascii="Times New Roman" w:cs="Times New Roman" w:eastAsia="Times New Roman" w:hAnsi="Times New Roman"/>
          <w:sz w:val="17"/>
          <w:szCs w:val="17"/>
          <w:color w:val="auto"/>
        </w:rPr>
        <w:t>places us at significant risk for a cyber attack and other information security threats. While to date we have not experienced cyber incidents that are individually, or in the aggregate, material, we and certain of our third party providers have experienced cyber attacks of varying degrees in the past.</w:t>
      </w:r>
    </w:p>
    <w:p>
      <w:pPr>
        <w:spacing w:after="0" w:line="3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usage of mobile, web, and cloud technologies, such as those pursuant to our partnership with Google Cloud, may increase our risk of a cyber attack. Our security defenses may also be impacted or breached due to employee error, malfeasance, system errors or vulnerabilities. Additionally, outside parties may attempt to fraudulently induce employees, users, customers or our third party providers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or others. The regulatory environment related to information security, privacy, data collection, data usage and use of artificial intelligence is increasingly rigorous and complex, and any failure to comply may carry significant penalties and reputational damage.</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designed our cyber defense program to mitigate such attacks and security risks through administrative, physical and technical safeguards. As part of our global information security and privacy programs, we employ resources to prevent, detect and respond to cyber attacks and security risks that could impact our people, processes and technology infrastructure, including rapid response to zero-day vulnerabilities. However, our security measures or those of our third-party providers, including any cloud-based technologies, such as those pursuant to our partnership with Google Cloud, may prove insufficient depending upon the attack or threat posed. Any security attack or breach could result in system failures and delays, malfunctions in our operations, loss of customers or lower trading volume, loss of competitive position, damage to our reputation, disruption of our business, legal liability or regulatory fines and significant costs, which in turn may cause our revenues and earnings to decline. We may be subject to litigation and financial losses that exceed our insurance policy limits or are not covered under any of our current policies.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financial services provider, we are subject to significant litigation risk and regulatory liability and penalties.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Many aspects of our business present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greater risk from terrorism, which poses physical security risks and cybersecurity risks, than other companies.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on our industry generally or on our business. While we have implemented significant physical security protection measures, business continuity plans, and established backup sites to provide operational resiliency, in the event of an attack or a threat of an attack, these security measures and contingency plans may be inadequate to prevent significant disruptions in our business, technology or access to the infrastructure necessary to maintain our business. Such an attack may result in harm to our personnel or the closure of our facilities or render our backup data and recovery systems inoperable. Damage to our facilities due to terrorist attacks may be significantly in excess of any amount of insurance coverage available, or we may not be able to insure against such damage at a reasonable price or at all. The threat of terrorist attacks also may negatively affect our ability to attract and retain employees. Any of these events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could harm our business.</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Maintaining our reputation and brand is critical to attracting and retaining customers, investors and employees and to maintaining our relationships with our regulators and other government officials. Negative publicity regarding our company or actual, alleged or perceived issues regarding our company, products or services, including social and environmental concerns relating to our company or certain commodity products and increased impact from climate change or criticism or market reaction to the performance of our market in periods of extreme volatility, could give rise to reputational risk, which could significantly harm our business prospects. These issues may include, but are not limited to, any of the risks discussed in this Item 1A, including risks from customer disputes, system failures or intrusions, cybersecurity attacks, failures to meet our regulatory obligations, failures of a clearing firm or other counterparty, issues relating to our third-party suppliers, alleged or actual fraud or misconduct or manipulative activity, or ineffective risk management.</w:t>
      </w:r>
    </w:p>
    <w:p>
      <w:pPr>
        <w:spacing w:after="0" w:line="5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markets depends on our ability to complete development of, successfully implement and maintain electronic trading and clearing systems that have the functionality, performance, availability and resilience, capacity, security and speed required by our customers.</w:t>
      </w:r>
    </w:p>
    <w:p>
      <w:pPr>
        <w:spacing w:after="0" w:line="5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create interactive electronic marketplaces for a wide range of products that have the required functionality, performance, availability and resilience, capacity, security and speed to attract and retain customers. In 2023, 92% of our overall contract volume was generated through electronic trading on our CME Globex electronic platform.</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9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reliable and cost-effective services to our customers;</w:t>
      </w:r>
    </w:p>
    <w:p>
      <w:pPr>
        <w:spacing w:after="0" w:line="35" w:lineRule="exact"/>
        <w:rPr>
          <w:rFonts w:ascii="Arial" w:cs="Arial" w:eastAsia="Arial" w:hAnsi="Arial"/>
          <w:sz w:val="22"/>
          <w:szCs w:val="22"/>
          <w:color w:val="auto"/>
        </w:rPr>
      </w:pPr>
    </w:p>
    <w:p>
      <w:pPr>
        <w:ind w:left="660" w:right="72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a timely manner, the required functionality to support electronic trading in a manner that is competitive with the functionality supported by other electronic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competitiveness of our fee structure;</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independent software vendors to write front-end software that will effectively access our electronic trading systems and automated order routing system;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developments or service offerings by competitors; and</w:t>
      </w:r>
    </w:p>
    <w:p>
      <w:pPr>
        <w:spacing w:after="0" w:line="6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justify the substantial capital investment we have made and will continue to make to enhance our electronic trading platforms and other technology offerings.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do not continue to enhance our electronic trading systems and technology offerings, including the development and migration of our marketplace and supporting operational and business functions to the cloud, if we are unable to develop our trading systems and technology offerings to include other products and markets, or if they do not have the required functionality, performance, availability and resilience, capacity, security and speed desired by our customers, our ability to successfully compete and our revenues and profits will be adversely affected.</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we rely on our customers' ability to have the necessary back office functionality to support our new products and our trading and clearing functionality. To the extent our customers and/or their third party providers are not prepared and/or lack the resources or infrastructure, the success of our new initiatives may be compromised.</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9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disruptions in service to our customers;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and delays in our customers' trade execution and processing;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settlement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or inaccurate accounting, recording, or processing of trades;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customer claims;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sanctions.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that we will not experience system failures from power or telecommunications failures, acts of God, war or terrorism, human error on our part or on the part of our third-party providers or partners,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 have a material adverse effect on our business, financial condition and operating results.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Regulations relating to our trading and clearing systems generally require the handling of anticipated present and future peak trading volume. Heavy use of our systems during peak trading times or at times of unusual market volatility could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or speed.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could be adversely affected.</w:t>
      </w:r>
    </w:p>
    <w:p>
      <w:pPr>
        <w:spacing w:after="0" w:line="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6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We depend on a number of suppliers, such as banking, clearing and settlement organizations, telephone companies, internet service providers, data processors, cloud hosting providers, data center providers, and software and hardware vendors, for elements of our trading, clearing, and other systems, as</w:t>
      </w:r>
    </w:p>
    <w:p>
      <w:pPr>
        <w:spacing w:after="0" w:line="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well as communications and networking equipment, computer hardware and software and related support and maintenance. Although we conduct due diligence and monitor important suppliers and service providers (including their resiliency), we cannot provide assurances of their performance and any interruption or cessation of their supplies or services could negatively impact our operations or those of our customers, as well as affect our reputation, financial or regulatory posture.</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our customers rely on third parties, such as independent software vendors, to provide them with front-end systems to access our trading platforms and other back office systems for their trade processing and risk management needs. While these service providers have undertaken to keep current and certify as to our enhancements and make corresponding changes to their software to our interfaces and functionality, we cannot guarantee that they will continue to make the necessary monetary, resource and time investments to keep up with our enhancements and changes.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extent any of our service providers or the organizations that provide services to our customers in connection with their trading activities cease to provide these services or cease to provide these services in an efficient, cost-effective manner, or fail to adequately expand their services to meet our needs and the needs of our customers, we could experience decreased trading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volume, lower revenues and higher costs. In addition, while we may be entitled to recovery for breaches of, or liabilities otherwise incurred in connection with, our agreements with third-party suppliers and service providers, such recovery is limited by the terms of these agreements and may not compensate us in full.</w:t>
      </w:r>
    </w:p>
    <w:p>
      <w:pPr>
        <w:spacing w:after="0" w:line="6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clearing house operations expose us to counterparties with differing risk profiles.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 Americas.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guarantee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clearing firm becomes insolvent.</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offer a wide range of data services designed to support the trading, risk management, investment and business needs of our customers. Revenues from our market data and information services represented 12% of our total revenues during the years ended December 31, 2023 and December 31, 2022. Factors that may affect our performance and demand for our data include, but are not limited to:</w:t>
      </w:r>
    </w:p>
    <w:p>
      <w:pPr>
        <w:spacing w:after="0" w:line="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existing customers utilizing our data and to attract new customers with our products and services;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overall trading volume, which may lead to a decreased demand for our market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challenging business environment for our customers, which may require them to reduce their usage of our market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new regulations, laws, rules or other government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that customers are appropriately licensed and are paying fees for the data used;</w:t>
      </w:r>
    </w:p>
    <w:p>
      <w:pPr>
        <w:spacing w:after="0" w:line="63"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intellectual property rights and identification of misappropriation and/or misuses of CME Group market data, including through the use of artificial intelligence;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developments and client preferences.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executing our growth strategy and maintaining our growth effectively.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execute on strategic initiatives to grow our business, including efforts to serve the OTC markets and to distribute our products and services on a global basis, and other initiatives to enter new markets.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and partnerships. Our growth strategy also may subject us to increased legal, compliance and regulatory obligations. Unless our growth results in an increase in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explore and pursue acquisitions and other strategic opportunities to strengthen our business and grow our company. We may make</w:t>
      </w:r>
    </w:p>
    <w:p>
      <w:pPr>
        <w:spacing w:after="0" w:line="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issue additional equity and/or debt as part of strategic partnerships with third parties, as was the case in connection with our transaction with Google Cloud. The issuance of additional equity in connection with any future transaction could be substantially dilutive to our existing shareholders. The issuance of additional debt could increase our leverage substantially.</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 OSTTRA, our joint venture with IHS Markit (now a part of S&amp;P Global), is subject to many of these risks, including the potential we may not achieve the expected cost savings, synergies and other strategic benefits from the transaction within the anticipated time frames, that the joint venture may be more costly than expected, or that we may experience customer attrition.</w:t>
      </w:r>
    </w:p>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expanded global operations, we face certain risks inherent in doing business internationally. These risks include:</w:t>
      </w:r>
    </w:p>
    <w:p>
      <w:pPr>
        <w:spacing w:after="0" w:line="13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35" w:lineRule="exact"/>
        <w:rPr>
          <w:rFonts w:ascii="Arial" w:cs="Arial" w:eastAsia="Arial" w:hAnsi="Arial"/>
          <w:sz w:val="22"/>
          <w:szCs w:val="22"/>
          <w:color w:val="auto"/>
        </w:rPr>
      </w:pPr>
    </w:p>
    <w:p>
      <w:pPr>
        <w:ind w:left="660" w:right="54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extensive and complex compliance requirements, regulations and oversight by regulators other than our primary functional regulators, including sanctions and anti-bribery laws;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associated costs in managing multiple international locations;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businesses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and cultural differences;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10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The E.U.-U.K. Trade and Cooperation Agreement was effective on January 1, 2021. As a result of Brexit, we have established a CME Group business in the Netherlands, a member of the European Union, which allows BrokerTec and EBS to continue trading in regulated financial instruments to customers in the European Economic Area; however, this has resulted in, and may continue to result in, increased legal, compliance and operational costs.</w:t>
      </w:r>
    </w:p>
    <w:p>
      <w:pPr>
        <w:spacing w:after="0" w:line="5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compliance and monitoring programs might not be effective and may result in outcomes that could adversely affect our reputation, financial condition and operating results.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our business, we discuss matters with our regulators, including during supervisory engagements and regulatory examinations, and we are subject to their inquiry and oversight. Our regulators have broad enforcement and supervisory powers, including, for example, the power to censure, fine, issue cease-and-desist orders, prohibit us from engaging in some of our businesses or suspend or revoke our regulatory designations or the registration of our officers or employees who violate applicable laws or regulations. Our ability to manage our risks and comply with applicable laws and regulations in the jurisdictions where we operate is largely dependent on our establishment and maintenance of effective risk management,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regulatory standing, financial condition and operating results. In extreme cases, these outcomes could adversely affect our ability to conduct our business.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risk management, compliance and monitoring policies, procedures and programs that are designed to prevent, detect, deter, monitor and manage our risks, including enterprise risk, compliance and internal audit programs, but such policies, procedures and programs may not be fully effective in their operation. Some of our risk management processes depend upon evaluation of information regarding markets, customers, employees, third parties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guarantee that our policies and procedures will always be effective or that we will always be successful in monitoring or evaluating the risks to which we are or may be exposed.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harmed by misconduct or errors that are difficult to detect and deter.</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continue to be highly publicized cases involving fraud or other misconduct or manipulative activity by employees of financial services firms and other market participants. Improper trading activity on our platforms by participants could include activities such as spoofing, layering, wash trading and manipulation. Misconduct by our employees and agents could include hiding unauthorized activities from us, improper or unauthorized activities on behalf of customers or the company, improper securities trading activities, circumvention of controls and procedures, improper use of assets, improper use and unauthorized disclosure of data or confidential information of the company or its customers, improper use of artificial intelligence or failure to provide effective oversight over artificial intelligence, among other potential misconduct.</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It is not always possible to deter misconduct, and the precautions we take to prevent and detect this activity may not be effective in all cases. If we were found to have not met our regulatory oversight and compliance obligations, we could be subject to regulatory sanctions, enforcement actions, financial penalties and restrictions on our activities for failure to properly identify, monitor and respond to potentially problematic activity, and such outcomes could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 trading activities in our markets could affect our brand and reputation and reduce the number of participants trading in our markets. If that should occur, we could face a corresponding decline in trading volume and revenue.</w:t>
      </w:r>
    </w:p>
    <w:p>
      <w:pPr>
        <w:spacing w:after="0" w:line="7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significantly dependent on the contract volume of products that are based on intellectual property rights of indexes derived from third-party price reporting agencies. To comply with CFTC core principles, we must be able to demonstrate that our products may not be readily susceptible to manipulation. Our inability to offer products based on these indexes could have a negative impact on our contract volume and revenues.</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is dependent on proprietary technology and other intellectual property that we own or license from third parties. We own the rights to a large number of trademarks, service marks, domain names and trade names in the U.S., Europe, and other parts of the world. We have registered many of our most important trademarks in the U.S.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trademarks, copyright, database rights, trade secrets, restrictions on disclosure, and other methods. Notwithstanding the precautions we take to protect our proprietary technology and intellectual property rights, it is possible that employees or third parties may copy, misappropriate, or otherwise obtain and use our proprietary technology without authorization or otherwise infringe on our rights. The use of certain artificial intelligence technology can give rise to intellectual property risks, including compromises to proprietary intellectual property and intellectual property infringement.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guarantee that we are or will be aware of all patents containing claims that may pose a risk of infringement by our products and services. In addition, some patent applications in the U.S.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INVESTMENT IN OUR CLASS A COMMON STOCK</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2023, we had approximately $3.4 billion of total indebtedness and we had excess borrowing capacity for general corporate purposes under our existing facilities of approximately $2.3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For example, our indebtedness may:</w:t>
      </w:r>
    </w:p>
    <w:p>
      <w:pPr>
        <w:spacing w:after="0" w:line="117" w:lineRule="exact"/>
        <w:rPr>
          <w:sz w:val="20"/>
          <w:szCs w:val="20"/>
          <w:color w:val="auto"/>
        </w:rPr>
      </w:pPr>
    </w:p>
    <w:p>
      <w:pPr>
        <w:ind w:left="660" w:right="3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or challenges relating to our business and industry;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against any less leveraged competitors.</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particularly given changes in interest rates could increase the risks described above to the extent that we incur additional debt. Our regulated businesses are also required to maintain minimum capital requirements set by their applicable regulators.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Please see "Item 7 - Management's Discussion and Analysis of Financial Condition and Results of Operations — Regulatory Requirements" beginning on page 45 for additional information regarding capital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 could increase the cost of our funding from the capital markets.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w:t>
      </w:r>
    </w:p>
    <w:p>
      <w:pPr>
        <w:spacing w:after="0" w:line="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average rate per contract for our derivatives business is subject to fluctuation due to a number of factors. As a result, our average rate per contract in any particular period may not be a reliable indication of our future average rate per contract.</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Ten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influence over the operation of our business.</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Ten of our directors own, or are officers or directors of firms that own trading rights on our exchanges. We are dependent on the revenues from the trading and clearing activities of our exchange members. In 2023, 84% of our derivatives contract volume was derived from our members. This dependence may give them influence over how we operate our business.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Many of our members and clearing firms derive a substantial portion of their income and profit from their trading or clearing activities on or through our exchanges. In addition, trading rights on our exchanges have substantial independent value. The amount of profit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and prior attempts to do so did not receive the necessary shareholder approvals.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As a highly regulated global financial services company, we understand the substantial operational risks for companies in our industry as well as the importance of protecting the information and data of our clients and employees. As such, our Global Informational Security (GIS) Program is designed and operated to mitigate information security risks and threats to the company. Its intent is to safeguard the confidentiality, integrity and availability of our information and services. The GIS Program is designed to strengthen the integrity of the global markets we support, protect CME Group’s information assets, maintain client and employee trust, support our pursuit of strategic objectives, contribute to shareholder value and preserve our reputation and brand. We implement technical, physical and administrative safeguards to protect the confidential and sensitive information of our clients, employees and other information under CME Group’s stewardship. We manage cybersecurity risk to the organization as part of our business strategy, risk management and financial functions in alignment with our overall Enterprise Risk Management Program and regularly engage with the risk committee of the board of directors and the board of directors as a whole regarding the effectiveness of the GIS Program.</w:t>
      </w:r>
    </w:p>
    <w:p>
      <w:pPr>
        <w:spacing w:after="0" w:line="7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The GIS Program is led by CME Group’s Chief Information Security Officer (CISO), who has worked in various roles in information security for over 20 years, and has led our GIS Program for more than four years since joining the company in 2016 in a senior role in GIS. The CISO reports to our Chief</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Information Officer (CIO), a member of our Management Team. Our GIS team is comprised of over 200 full-time employees, many of which hold cybersecurity, risk, or management certifications, such as Certified Information Systems Security Professional, Certified Information Security Manager, Certified in Risk and Information Systems Control, Series 99, Certified Information Systems Auditor, Project Management Professional, various cloud provider certifications and various levels of ITIL certifications. As part of our GIS Program, CME Group operates a state-of-the-art Cyber Defense Center that virtually links 24/7 to our international operational cybersecurity teams and serves as a global hub for cybersecurity risk management activities, including log collection, event monitoring, threat detection and incident response, resiliency, operations, vulnerability management and the proactive collection and processing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open source and proprietary threat and intelligence feeds allowing the company to efficiently manage, investigate and respond to cybersecurity events.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GIS team conducts analyses and aims to prevent, detect and respond to systemic events that might threaten our company, industry or the economy.</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GIS Program includes a Cyber Defense team, which manages the Incident Response Plan (IRP). This Cyber Defense team consists of subject matter experts from GIS and Information Governance, who work together to monitor and respond to cybersecurity incidents. The IRP outlines our cyber and incident response policies and governs our incident response lifecycle, which divides overall incident response into serial phases. The Crisis Management Team (CMT) is responsible for oversight during an incident, in conjunction with the Cyber Coordination Team (CCT). The CCT manages responses to cybersecurity and compliance incidents, collaborating with subject matter experts (SMEs) from various departments in response to specific incidents. When an incident reaches a certain threshold of severity, our CISO and CIO escalate the matter to our Chief Operating Officer, who is another member of our Management Team, to determine next steps, as well as possible customer and external communication. Throughout the incident response process, the Legal team is engaged, as appropriate, and helps consider whether disclosure is required once a determination is made in connection with the company’s leadership and the CMT.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identify, assess and manage material risks from cybersecurity threats through our GIS Program as follows:</w:t>
      </w:r>
    </w:p>
    <w:p>
      <w:pPr>
        <w:spacing w:after="0" w:line="158" w:lineRule="exact"/>
        <w:rPr>
          <w:sz w:val="20"/>
          <w:szCs w:val="20"/>
          <w:color w:val="auto"/>
        </w:rPr>
      </w:pPr>
    </w:p>
    <w:p>
      <w:pPr>
        <w:ind w:left="660" w:right="60" w:hanging="328"/>
        <w:spacing w:after="0" w:line="239"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We deploy a defense-in-depth strategy, acknowledging the importance of people, processes and technology in upholding information security. The strategy incorporates multiple layers of controls, including, monitoring, vulnerability management, identity and access management and security assessments.</w:t>
      </w:r>
    </w:p>
    <w:p>
      <w:pPr>
        <w:spacing w:after="0" w:line="37" w:lineRule="exact"/>
        <w:rPr>
          <w:rFonts w:ascii="Arial" w:cs="Arial" w:eastAsia="Arial" w:hAnsi="Arial"/>
          <w:sz w:val="22"/>
          <w:szCs w:val="22"/>
          <w:color w:val="auto"/>
        </w:rPr>
      </w:pPr>
    </w:p>
    <w:p>
      <w:pPr>
        <w:ind w:left="660" w:right="1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is based on the National Institute of Standards and Technology Cybersecurity Framework (NIST) and other technical standards and frameworks.</w:t>
      </w:r>
    </w:p>
    <w:p>
      <w:pPr>
        <w:spacing w:after="0" w:line="1" w:lineRule="exact"/>
        <w:rPr>
          <w:rFonts w:ascii="Times New Roman" w:cs="Times New Roman" w:eastAsia="Times New Roman" w:hAnsi="Times New Roman"/>
          <w:sz w:val="18"/>
          <w:szCs w:val="18"/>
          <w:color w:val="auto"/>
        </w:rPr>
      </w:pPr>
    </w:p>
    <w:p>
      <w:pPr>
        <w:ind w:left="660" w:right="5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robust cybersecurity defense response plan that provides a documented framework for handling security incidents and facilitates coordination across multiple parts of the company.</w:t>
      </w:r>
    </w:p>
    <w:p>
      <w:pPr>
        <w:spacing w:after="0" w:line="1"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threat intelligence and operate a state-of-the-art Cyber Defense Center, which acts as our hub of information sharing and threat intelligence analysis.</w:t>
      </w:r>
    </w:p>
    <w:p>
      <w:pPr>
        <w:spacing w:after="0" w:line="1"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external expertise and reviews into our cybersecurity risk management program and continue to engage a leading professional consulting firm to assist our company in incorporating cybersecurity best practices.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annual cybersecurity awareness and ongoing phishing training, such as routinely performing cybersecurity attack simulation exercises, which includes participation from various levels of management.</w:t>
      </w:r>
    </w:p>
    <w:p>
      <w:pPr>
        <w:spacing w:after="0" w:line="1" w:lineRule="exact"/>
        <w:rPr>
          <w:rFonts w:ascii="Times New Roman" w:cs="Times New Roman" w:eastAsia="Times New Roman" w:hAnsi="Times New Roman"/>
          <w:sz w:val="18"/>
          <w:szCs w:val="18"/>
          <w:color w:val="auto"/>
        </w:rPr>
      </w:pPr>
    </w:p>
    <w:p>
      <w:pPr>
        <w:ind w:left="660" w:right="180" w:hanging="328"/>
        <w:spacing w:after="0" w:line="277"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 risk-based approach, we conduct due diligence reviews of our third party providers for potential cybersecurity risks to the company. Our Enterprise Risk Management (ERM) team oversees our Third Party Risk Management (TPRM) program, which partners with our GIS, Information Governance, and Operational Resilience groups to manage and monitor third party risk of CME Group vendors and certain third parties of customers (fourth parties). The teams monitor cyber-related incidents and known third party vulnerabilities with the goal of enhancing processes, improving risk management and partnering on exit planning and testing for certain vendors associated with essential functions.</w:t>
      </w:r>
    </w:p>
    <w:p>
      <w:pPr>
        <w:spacing w:after="0" w:line="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insurance against certain cybersecurity and privacy risks and attacks.</w:t>
      </w:r>
    </w:p>
    <w:p>
      <w:pPr>
        <w:spacing w:after="0" w:line="6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active participant in the financial services industry and government forums and information sharing programs, designed to improve both internal and sector cybersecurity defense. These valuable external partnerships are established and maintained in order to gain more timely, comprehensive and actionable threat information across geographies and industries and to facilitate the exchange of best practices and security techniques. They allow for a high degree of collaboration and cooperation with local, state, federal, and international law enforcement and intelligence agencies, industry groups, and other private sector chief information security officers.</w:t>
      </w:r>
    </w:p>
    <w:p>
      <w:pPr>
        <w:spacing w:after="0" w:line="21" w:lineRule="exact"/>
        <w:rPr>
          <w:rFonts w:ascii="Times New Roman" w:cs="Times New Roman" w:eastAsia="Times New Roman" w:hAnsi="Times New Roman"/>
          <w:sz w:val="18"/>
          <w:szCs w:val="18"/>
          <w:color w:val="auto"/>
        </w:rPr>
      </w:pPr>
    </w:p>
    <w:p>
      <w:pPr>
        <w:ind w:left="660" w:right="60" w:hanging="328"/>
        <w:spacing w:after="0" w:line="289"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regularly test the design and effectiveness of our information security controls and processes through a program of testing performed by internal and independent third-party teams. Gaps and opportunities identified through testing are assigned to certain members of management and tracked through to closure. Testing activities support a variety of regulatory requirements and external industry certifications held by CME Group.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provides oversight of cybersecurity risks and has designated primary responsibility to the risk committee who oversees our information security programs, including cybersecurity, and is actively involved in monitoring the progress of key cybersecurity initiatives. Our board and risk committee receive regular updates on the activities and effectiveness of our GIS Program, including reports on incident response plan testing exercises and results of compliance testing and third-party evaluation results. Our CISO provides quarterly, or as needed. reports and updates to our board and risk committee on the company's cybersecurity risk management program and meets with the risk committee at least annually in a private session. The CISO has an indirect reporting line to the risk committee. We also engage with a leading professional consulting firm to provide regular updates to the board on cybersecurity-related risks in the evolving threat landscape and to provide education on best practices for board oversight of our GIS Program.</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Historically, and at the time of this filing, we have not experienced cybersecurity incidents that were deemed by the company to be material individually or in the aggregate, or reasonably likely to be material, but we have experienced cyber attacks of varying degrees in the past.</w:t>
      </w:r>
    </w:p>
    <w:p>
      <w:pPr>
        <w:spacing w:after="0" w:line="54" w:lineRule="exact"/>
        <w:rPr>
          <w:sz w:val="20"/>
          <w:szCs w:val="20"/>
          <w:color w:val="auto"/>
        </w:rPr>
      </w:pPr>
    </w:p>
    <w:p>
      <w:pPr>
        <w:ind w:right="820"/>
        <w:spacing w:after="0" w:line="375" w:lineRule="auto"/>
        <w:rPr>
          <w:sz w:val="20"/>
          <w:szCs w:val="20"/>
          <w:color w:val="auto"/>
        </w:rPr>
      </w:pPr>
      <w:r>
        <w:rPr>
          <w:rFonts w:ascii="Times New Roman" w:cs="Times New Roman" w:eastAsia="Times New Roman" w:hAnsi="Times New Roman"/>
          <w:sz w:val="18"/>
          <w:szCs w:val="18"/>
          <w:color w:val="auto"/>
        </w:rPr>
        <w:t xml:space="preserve">See "Item 1A - Risk Factors" beginning on page 16 for additional information on cyber attacks and other cybersecurity risks the company faces. </w:t>
      </w:r>
      <w:r>
        <w:rPr>
          <w:rFonts w:ascii="Times New Roman" w:cs="Times New Roman" w:eastAsia="Times New Roman" w:hAnsi="Times New Roman"/>
          <w:sz w:val="18"/>
          <w:szCs w:val="18"/>
          <w:b w:val="1"/>
          <w:bCs w:val="1"/>
          <w:color w:val="auto"/>
        </w:rPr>
        <w:t>ITEM 2. PROPERTIES</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20 South Wacker Drive, Chicago, IL, where we lease approximately 545,000 square feet of general office space. This lease expires in 2032. Our European headquarters are located at the London Fruit &amp; Wool Exchange at 1 Duval Square, London, where we lease approximately 120,000 square feet of general office space. This lease expires in 2038.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our largest data center from CyrusOne in Aurora, IL. This lease expires in 2031.</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above properties, we have other offices and data centers in various locations around the globe. The company’s management believes that its properties are suitable for the purposes for which they are used and our current needs. Please see note 5. Property and note 11. Leases to the consolidated financial statements for more information.</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"Legal and Regulatory Matters" in note 12. Contingencies to the consolidated financial statements beginning on page 74 for CME Group’s legal proceedings disclosure, which is incorporated herein by reference.</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840" w:right="18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SHAREHOLDER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on Nasdaq under the ticker symbol "CME." As of February 7, 2024, there were approximately 4,100 holders of record of our Class A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Class B common stock is not listed on a national securities exchange or traded in an organized OTC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February 7, 2024, there were approximately 1,530 holders of record of our Class B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2021, we issued and sold in a private placement approximately 4.6 million shares of Series G Non-Voting Convertible Preferred Stock. Series G Non-Voting Convertible Preferred Stock is not listed on a national securities exchange or traded in an organized OTC market. These shares are convertible to Class A common stock at the discretion of the holder at a specified conversion rate, which is initially 1:1. Series G Non-Voting Convertible Preferred Stock has the same equitable interest in our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earnings and the same dividend payments per share as our Class A shares on an as converted basis. As of February 7, 2024, there was one holder of record of our Series G Non-Voting Convertible Preferred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on CME Group Inc.'s Class A common stock relative to the cumulative total returns of the S&amp;P 500 index and a customized peer group of five companies that include: Cboe Global Markets Inc, Deutsche Boerse Ag, Intercontinental Exchange Inc, London Stock Exchange Group Plc and Nasdaq Inc. An investment of $100 (with reinvestment of all dividends) is assumed to have been made in our Class A common stock, in the peer group and the S&amp;P 500 index on December 31, 2018 and its relative performance is tracked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57150</wp:posOffset>
            </wp:positionV>
            <wp:extent cx="5863590" cy="4869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60" w:type="dxa"/>
            <w:vAlign w:val="bottom"/>
          </w:tcPr>
          <w:p>
            <w:pPr>
              <w:spacing w:after="0"/>
              <w:rPr>
                <w:sz w:val="20"/>
                <w:szCs w:val="20"/>
                <w:color w:val="auto"/>
              </w:rPr>
            </w:pPr>
          </w:p>
        </w:tc>
        <w:tc>
          <w:tcPr>
            <w:tcW w:w="7980" w:type="dxa"/>
            <w:vAlign w:val="bottom"/>
            <w:gridSpan w:val="8"/>
            <w:vMerge w:val="restart"/>
          </w:tcPr>
          <w:p>
            <w:pPr>
              <w:jc w:val="right"/>
              <w:ind w:right="395"/>
              <w:spacing w:after="0"/>
              <w:rPr>
                <w:sz w:val="20"/>
                <w:szCs w:val="20"/>
                <w:color w:val="auto"/>
              </w:rPr>
            </w:pPr>
            <w:r>
              <w:rPr>
                <w:rFonts w:ascii="Times New Roman" w:cs="Times New Roman" w:eastAsia="Times New Roman" w:hAnsi="Times New Roman"/>
                <w:sz w:val="18"/>
                <w:szCs w:val="18"/>
                <w:i w:val="1"/>
                <w:iCs w:val="1"/>
                <w:color w:val="auto"/>
              </w:rPr>
              <w:t>performance included in this graph is not necessarily indicative of future stock price performance.</w:t>
            </w:r>
          </w:p>
        </w:tc>
        <w:tc>
          <w:tcPr>
            <w:tcW w:w="15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i w:val="1"/>
                <w:iCs w:val="1"/>
                <w:color w:val="auto"/>
              </w:rPr>
              <w:t>The stock price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980" w:type="dxa"/>
            <w:vAlign w:val="bottom"/>
            <w:gridSpan w:val="8"/>
            <w:vMerge w:val="continue"/>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16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24"/>
                <w:szCs w:val="24"/>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16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Group Inc.</w:t>
            </w:r>
          </w:p>
        </w:tc>
        <w:tc>
          <w:tcPr>
            <w:tcW w:w="2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109.67</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102.73</w:t>
            </w:r>
          </w:p>
        </w:tc>
        <w:tc>
          <w:tcPr>
            <w:tcW w:w="9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133.02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8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2"/>
              </w:rPr>
              <w:t>131.49</w:t>
            </w:r>
          </w:p>
        </w:tc>
        <w:tc>
          <w:tcPr>
            <w:tcW w:w="9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155.68</w:t>
            </w:r>
          </w:p>
        </w:tc>
        <w:tc>
          <w:tcPr>
            <w:tcW w:w="9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200.37</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8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131.21</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154.03</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184.43</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00" w:type="dxa"/>
            <w:vAlign w:val="bottom"/>
          </w:tcPr>
          <w:p>
            <w:pPr>
              <w:spacing w:after="0"/>
              <w:rPr>
                <w:sz w:val="13"/>
                <w:szCs w:val="13"/>
                <w:color w:val="auto"/>
              </w:rPr>
            </w:pPr>
          </w:p>
        </w:tc>
        <w:tc>
          <w:tcPr>
            <w:tcW w:w="25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4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8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of Shares (or Units) that May Yet</w:t>
            </w:r>
          </w:p>
        </w:tc>
        <w:tc>
          <w:tcPr>
            <w:tcW w:w="0" w:type="dxa"/>
            <w:vAlign w:val="bottom"/>
          </w:tcPr>
          <w:p>
            <w:pPr>
              <w:spacing w:after="0"/>
              <w:rPr>
                <w:sz w:val="1"/>
                <w:szCs w:val="1"/>
                <w:color w:val="auto"/>
              </w:rPr>
            </w:pPr>
          </w:p>
        </w:tc>
      </w:tr>
      <w:tr>
        <w:trPr>
          <w:trHeight w:val="14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in 2023</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 Units)</w:t>
            </w:r>
          </w:p>
        </w:tc>
        <w:tc>
          <w:tcPr>
            <w:tcW w:w="240" w:type="dxa"/>
            <w:vAlign w:val="bottom"/>
          </w:tcPr>
          <w:p>
            <w:pPr>
              <w:spacing w:after="0"/>
              <w:rPr>
                <w:sz w:val="12"/>
                <w:szCs w:val="12"/>
                <w:color w:val="auto"/>
              </w:rPr>
            </w:pPr>
          </w:p>
        </w:tc>
        <w:tc>
          <w:tcPr>
            <w:tcW w:w="146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58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23"/>
                <w:szCs w:val="23"/>
                <w:b w:val="1"/>
                <w:bCs w:val="1"/>
                <w:color w:val="auto"/>
                <w:w w:val="96"/>
                <w:vertAlign w:val="superscript"/>
              </w:rPr>
              <w:t>(1)</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58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Plans or Programs (in millions)</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214.25</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210.09</w:t>
            </w: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20" w:hanging="652"/>
        <w:spacing w:after="0" w:line="280"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an aggregate of 14,657 shares of Class A common stock surrendered to satisfy employee tax obligations upon the vesting of restricted stock.</w:t>
      </w:r>
    </w:p>
    <w:p>
      <w:pPr>
        <w:spacing w:after="0" w:line="200" w:lineRule="exact"/>
        <w:rPr>
          <w:sz w:val="20"/>
          <w:szCs w:val="20"/>
          <w:color w:val="auto"/>
        </w:rPr>
      </w:pPr>
    </w:p>
    <w:p>
      <w:pPr>
        <w:spacing w:after="0" w:line="2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organized as follows:</w:t>
      </w:r>
    </w:p>
    <w:p>
      <w:pPr>
        <w:spacing w:after="0" w:line="100" w:lineRule="exact"/>
        <w:rPr>
          <w:sz w:val="20"/>
          <w:szCs w:val="20"/>
          <w:color w:val="auto"/>
        </w:rPr>
      </w:pPr>
    </w:p>
    <w:p>
      <w:pPr>
        <w:ind w:left="660" w:right="30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Summary</w:t>
      </w:r>
      <w:r>
        <w:rPr>
          <w:rFonts w:ascii="Times New Roman" w:cs="Times New Roman" w:eastAsia="Times New Roman" w:hAnsi="Times New Roman"/>
          <w:sz w:val="18"/>
          <w:szCs w:val="18"/>
          <w:color w:val="auto"/>
        </w:rPr>
        <w:t>: Includes an overview of our business; current economic, competitive and regulatory trends relevant to our business;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business strategy; and our primary sources of operating and non-operating revenues and expenses.</w:t>
      </w:r>
    </w:p>
    <w:p>
      <w:pPr>
        <w:spacing w:after="0" w:line="33"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Provides an explanation of accounting policies that may have a significant impact on our financial results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assumptions and risks associated with those policies.</w:t>
      </w:r>
    </w:p>
    <w:p>
      <w:pPr>
        <w:spacing w:after="0" w:line="19"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Includes an analysis of our 2023 financial results and a discussion of any known events or trends that are likely to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results.</w:t>
      </w:r>
    </w:p>
    <w:p>
      <w:pPr>
        <w:spacing w:after="0" w:line="33"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Includes a discussion of our future cash requirements, capital resources, significant planned expenditures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arrangements.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offer our customers the opportunity to trade futures contracts and options contracts on a range of products, including those based on interest rates, equity indexes, foreign exchange, agricultural commodities, energy and metals.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September 2021, we provided optimization services that delivered transaction lifecycle management and information services to help our customers optimize their capital, mitigate their risk and reduce operational costs. Optimization services included Traiana, TriOptima and Reset. In September 2021, we contributed the net assets of our optimization business to OSTTRA, our joint venture with IHS Markit (later acquired by S&amp;P Global).</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contracts are cleared at third-party clearing houses.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Our customers continue to use our markets as an effective and transparent means to manage risk and meet their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Trading activity in our centralized markets has fluctuated due to the ongoing uncertainty in the financial markets, fluctuations in the availability of credit, variations in the amount of assets under management as well as the Federal Reserve Bank’s interest rate policy. We continue to maintain high quality and diverse products as well as various clearing and market data services, which support our customers in any economic environment.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Competitive Environment. </w:t>
      </w:r>
      <w:r>
        <w:rPr>
          <w:rFonts w:ascii="Times New Roman" w:cs="Times New Roman" w:eastAsia="Times New Roman" w:hAnsi="Times New Roman"/>
          <w:sz w:val="18"/>
          <w:szCs w:val="18"/>
          <w:color w:val="auto"/>
        </w:rPr>
        <w:t>Our industry is competitive and we continue to encounter competition in all aspects of our business. We expect competition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intensify, especially in light of ongoing regulatory reform in the financial services industry. Competition is influenced by our brand and reputation; the efficiency and security of our clearing. settlement and support services; depth and liquidity of our markets;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and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compete in a large and expanding financial services trading, clearing and settlement marketplace globally. As markets continue to evolve, we will continue to adapt our trading technology and clearing services to meet the needs of our customers. The competitive environment to which we are subject is discussed in "Item 1 - Business" beginning on page 10.</w:t>
      </w:r>
    </w:p>
    <w:p>
      <w:pPr>
        <w:spacing w:after="0" w:line="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Regulatory Environment. </w:t>
      </w:r>
      <w:r>
        <w:rPr>
          <w:rFonts w:ascii="Times New Roman" w:cs="Times New Roman" w:eastAsia="Times New Roman" w:hAnsi="Times New Roman"/>
          <w:sz w:val="18"/>
          <w:szCs w:val="18"/>
          <w:color w:val="auto"/>
        </w:rPr>
        <w:t>Our exchange-traded derivatives exchanges and other businesses are regulated and we serve a customer base that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regulated institutions and individuals. Developments in the regulatory environment 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 Business" beginning on page 11.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strategy focuses on maximizing futures and options growth globally, diversifying our business and revenues and delivering unparalleled customer efficiencies and operational excellence, including through our partnership with Google Cloud. This strategy allows us to continue to develop into a more broadly diversified financial exchange that provides trading and clearing solutions across a wide range of products and asset classes. Our strategic initiatives are discussed in "Item 1 - Business" beginning on page 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Clearing and transaction fees. </w:t>
      </w:r>
      <w:r>
        <w:rPr>
          <w:rFonts w:ascii="Times New Roman" w:cs="Times New Roman" w:eastAsia="Times New Roman" w:hAnsi="Times New Roman"/>
          <w:sz w:val="18"/>
          <w:szCs w:val="18"/>
          <w:color w:val="auto"/>
        </w:rPr>
        <w:t>A majority of our revenue is derived from clearing and transaction fees, which include electronic trading fees, surcharges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privately negotiated transactions and other volume-related charges for exchange-traded and over-the-counter (OTC)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While volume has the most significant impact on our clearing and transaction fees revenue, there are four other factors that also influence this source of revenue:</w:t>
      </w:r>
    </w:p>
    <w:p>
      <w:pPr>
        <w:spacing w:after="0" w:line="54"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structure;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venue;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trades executed by customers who are members compared with non-member customers.</w:t>
      </w:r>
    </w:p>
    <w:p>
      <w:pPr>
        <w:spacing w:after="0" w:line="115" w:lineRule="exact"/>
        <w:rPr>
          <w:sz w:val="20"/>
          <w:szCs w:val="20"/>
          <w:color w:val="auto"/>
        </w:rPr>
      </w:pPr>
    </w:p>
    <w:p>
      <w:pPr>
        <w:ind w:left="34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Rate structure. </w:t>
      </w:r>
      <w:r>
        <w:rPr>
          <w:rFonts w:ascii="Times New Roman" w:cs="Times New Roman" w:eastAsia="Times New Roman" w:hAnsi="Times New Roman"/>
          <w:sz w:val="18"/>
          <w:szCs w:val="18"/>
          <w:color w:val="auto"/>
        </w:rPr>
        <w:t>Customers benefit from volume discounts and limits on fees as part of our effort to increase liquidity in certain products. We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65" w:lineRule="exact"/>
        <w:rPr>
          <w:sz w:val="20"/>
          <w:szCs w:val="20"/>
          <w:color w:val="auto"/>
        </w:rPr>
      </w:pPr>
    </w:p>
    <w:p>
      <w:pPr>
        <w:ind w:left="34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We offer exchange-traded futures and options contracts as well as cleared-only interest rate swap contracts. We also offer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spot and forward contracts and fixed income products. Rates are varied by product in order to optimize revenue on existing products and to encourage contract volume upon introduction of new products.</w:t>
      </w:r>
    </w:p>
    <w:p>
      <w:pPr>
        <w:spacing w:after="0" w:line="65" w:lineRule="exact"/>
        <w:rPr>
          <w:sz w:val="20"/>
          <w:szCs w:val="20"/>
          <w:color w:val="auto"/>
        </w:rPr>
      </w:pPr>
    </w:p>
    <w:p>
      <w:pPr>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Venue. </w:t>
      </w:r>
      <w:r>
        <w:rPr>
          <w:rFonts w:ascii="Times New Roman" w:cs="Times New Roman" w:eastAsia="Times New Roman" w:hAnsi="Times New Roman"/>
          <w:sz w:val="18"/>
          <w:szCs w:val="18"/>
          <w:color w:val="auto"/>
        </w:rPr>
        <w:t>Our exchange and platforms are an international marketplace that brings together buyers and sellers mainly through our electronic trading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through open outcry trading and privately negotiated transactions. Any customer who 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guaranteed by a clearing firm and who agrees to be bound by our exchange rules is able to obtain direct access to our electronic platforms. Open outcry trading is conducted exclusively by our members, who may execute trades on behalf of customers or for themselves. Beginning in July 2023, open outcry trading is now limited to Secured Overnight Financing Rate (SOFR) options products following the permanent closure of most of our open outcry pits.</w:t>
      </w:r>
    </w:p>
    <w:p>
      <w:pPr>
        <w:spacing w:after="0" w:line="72"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66" w:lineRule="exact"/>
        <w:rPr>
          <w:sz w:val="20"/>
          <w:szCs w:val="20"/>
          <w:color w:val="auto"/>
        </w:rPr>
      </w:pPr>
    </w:p>
    <w:p>
      <w:pPr>
        <w:ind w:left="340" w:right="2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Member/non-member mix. </w:t>
      </w:r>
      <w:r>
        <w:rPr>
          <w:rFonts w:ascii="Times New Roman" w:cs="Times New Roman" w:eastAsia="Times New Roman" w:hAnsi="Times New Roman"/>
          <w:sz w:val="17"/>
          <w:szCs w:val="17"/>
          <w:color w:val="auto"/>
        </w:rPr>
        <w:t>Generally, member customers are charged lower fees than our non-member customers. Holding all other factors constant,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decreases if the percentage of trades executed by members increases, and increases if the percentage of non-member trades increases.</w:t>
      </w:r>
    </w:p>
    <w:p>
      <w:pPr>
        <w:spacing w:after="0" w:line="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Clearing and transaction fees for cash markets business</w:t>
      </w:r>
      <w:r>
        <w:rPr>
          <w:rFonts w:ascii="Times New Roman" w:cs="Times New Roman" w:eastAsia="Times New Roman" w:hAnsi="Times New Roman"/>
          <w:sz w:val="18"/>
          <w:szCs w:val="18"/>
          <w:color w:val="auto"/>
        </w:rPr>
        <w:t>. Our cash markets business provides matching services whereby we match a buyer and seller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BrokerTec Americas also generates revenue from a matched principal business. This business serves as a fully matched counterparty to offsetting positions entered into by clients on our electronic trading platform to facilitate anonymity and access to clearing and settlement. Revenue is generated from this business generally on a transaction fee basis.</w:t>
      </w:r>
    </w:p>
    <w:p>
      <w:pPr>
        <w:spacing w:after="0" w:line="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Revenue is also derived from other sources, including market data and information services and other various services related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We receive market data and information services revenue from the dissemination of our market data to subscribers.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can obtain access to our market data services either directly or through third-party distributors.</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70"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 includes access and communication fees. Access and communication fees are connectivity fees charged to members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the contribution of the net assets of our optimization business to OSTTRA, other revenues included revenues from our optimization services, which included fees for risk management and information services for the OTC markets, including portfolio reconciliation and post-trade processing. Revenue earned from these services was typically generated through subscriptions or transaction fees.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 revenues also include fees for collateral management, equity subscription fees and fees for trade order routing through agreements from various strategic relationships as well as other services to members and clearing firms.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majority of our expenses do not vary directly with changes in our contract volume. However, licensing and other fee agreements can vary directly with certain equity, energy and swap volumes.</w:t>
      </w:r>
    </w:p>
    <w:p>
      <w:pPr>
        <w:spacing w:after="0" w:line="5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Compensation and benefits expense is our most significant expense and includes employee wages, bonuses,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benefits and employer taxes. Changes in this expense are driven by fluctuations in the number of employees, increases in wages as a result of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6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Professional fees and outside services. </w:t>
      </w:r>
      <w:r>
        <w:rPr>
          <w:rFonts w:ascii="Times New Roman" w:cs="Times New Roman" w:eastAsia="Times New Roman" w:hAnsi="Times New Roman"/>
          <w:sz w:val="18"/>
          <w:szCs w:val="18"/>
          <w:color w:val="auto"/>
        </w:rPr>
        <w:t>This expense includes fees for consulting services received on strategic and technology initiatives;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6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long-lived assets such as buildings,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furniture, fixtures and equipment. This expense also includes the amortization of purchased and internally developed software.</w:t>
      </w:r>
    </w:p>
    <w:p>
      <w:pPr>
        <w:spacing w:after="0" w:line="47"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amortization of intangible assets obtained in our acquisitions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6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w:t>
      </w:r>
      <w:r>
        <w:rPr>
          <w:rFonts w:ascii="Times New Roman" w:cs="Times New Roman" w:eastAsia="Times New Roman" w:hAnsi="Times New Roman"/>
          <w:sz w:val="18"/>
          <w:szCs w:val="18"/>
          <w:color w:val="auto"/>
        </w:rPr>
        <w:t>We incur additional ongoing expenses for communications, technology support services and various other activities necessary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w:t>
      </w:r>
    </w:p>
    <w:p>
      <w:pPr>
        <w:spacing w:after="0" w:line="51" w:lineRule="exact"/>
        <w:rPr>
          <w:sz w:val="20"/>
          <w:szCs w:val="20"/>
          <w:color w:val="auto"/>
        </w:rPr>
      </w:pPr>
    </w:p>
    <w:p>
      <w:pPr>
        <w:ind w:left="660" w:right="18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cloud consumption, functionality and redundancy requirements. It also may be impacted by growth in electronic contract volume and changes in the number of telecommunications hubs and connections which allow customers outside the U.S. to access our electronic platforms directly.</w:t>
      </w:r>
    </w:p>
    <w:p>
      <w:pPr>
        <w:spacing w:after="0" w:line="2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13"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occupancy and building operations expenses including rent, maintenance, real estate taxes, utilities and other related costs related to leased property in Chicago, New York, the U.K., and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Income and expenses incurred through activities outside of our core operations are considered non-operating. These activities include non-core investing and financing activities.</w:t>
      </w:r>
    </w:p>
    <w:p>
      <w:pPr>
        <w:spacing w:after="0" w:line="54" w:lineRule="exact"/>
        <w:rPr>
          <w:sz w:val="20"/>
          <w:szCs w:val="20"/>
          <w:color w:val="auto"/>
        </w:rPr>
      </w:pPr>
    </w:p>
    <w:p>
      <w:pPr>
        <w:ind w:left="660" w:right="4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and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21" w:lineRule="exact"/>
        <w:rPr>
          <w:rFonts w:ascii="Times New Roman" w:cs="Times New Roman" w:eastAsia="Times New Roman" w:hAnsi="Times New Roman"/>
          <w:sz w:val="18"/>
          <w:szCs w:val="18"/>
          <w:color w:val="auto"/>
        </w:rPr>
      </w:pPr>
    </w:p>
    <w:p>
      <w:pPr>
        <w:ind w:left="660" w:right="660" w:hanging="328"/>
        <w:spacing w:after="0" w:line="27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borrowing costs expense includes charges associated with various short-term and long-term funding facilities, including commitment fees on lines of credit agreements.</w:t>
      </w:r>
    </w:p>
    <w:p>
      <w:pPr>
        <w:spacing w:after="0" w:line="4"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in net earnings (losses) of unconsolidated subsidiaries includes income and losses from our investments in S&amp;P Dow Jones Indices LLC, OSTTRA, Shanghai CFETS-NEX International Money Broking Co., Ltd. and Dubai Mercantile Exchange.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includes expenses related to the distribution of a portion of interest earned on performance bond collateral reinvestment to the clearing firms, gains and losses on derivative contracts and other various income and expenses outside our core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to our consolidated financial statements include disclosure of our significant accounting policies. In establishing these policies within the framework of accounting principles generally accepted in the U.S.,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Valuation of financial instruments.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67" w:lineRule="exact"/>
        <w:rPr>
          <w:sz w:val="20"/>
          <w:szCs w:val="20"/>
          <w:color w:val="auto"/>
        </w:rPr>
      </w:pPr>
    </w:p>
    <w:p>
      <w:pPr>
        <w:ind w:left="660" w:right="4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the fair value of financial assets and liabilities, see note 2. Summary of Significant Accounting Policies and note 17. Fair Value Measurements to the consolidated financial statements.</w:t>
      </w:r>
    </w:p>
    <w:p>
      <w:pPr>
        <w:spacing w:after="0" w:line="5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We review goodwill for impairment on a quarterly basis and whenever events or circumstances indicate that its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 In addition, the carrying value of goodwill, as denominated in foreign currencies, is adjusted each reporting period as a result of movements in foreign currency exchange rates relative to the U.S. dollar. Such foreign currency translation adjustments are recorded in accumulated other comprehensive income (loss) within shareholders' equity.</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carrying value of the amortizing asset to its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A significant portion of our revenue is derived from the clearing and transaction fees we assess on each contract executed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trading venues and cleared through our clearing house. Clearing and transaction fees are recognized as revenue when a buy and sell order are matched, novated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 reserve is established for estimated fee adjustments to reflect corrections to customer exchange trading privileges. This reserve has historically been immaterial. The reserve is based on the historical pattern of adjustments processed as well as management's estimate of future adjustment activity.</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Calculation of the income tax provision includes an estimate of the income taxes that will be paid for the current year, as well as an estimate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third-party expertise where appropriate.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Internal use software costs. </w:t>
      </w:r>
      <w:r>
        <w:rPr>
          <w:rFonts w:ascii="Times New Roman" w:cs="Times New Roman" w:eastAsia="Times New Roman" w:hAnsi="Times New Roman"/>
          <w:sz w:val="18"/>
          <w:szCs w:val="18"/>
          <w:color w:val="auto"/>
        </w:rPr>
        <w:t>Certain internal and external costs that are incurred in connection with developing or obtaining software for internal use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We also enter into software hosting arrangements for software projects maintained or developed in the cloud. Software development costs incurred during the planning or maintenance stages of a software project are expensed as incurred, while certain costs incurred during the application development stage are capitalized and are amortized over the estimated useful life of the software, which is generally two to four years, but up to eight years for certain trading and clearing applications, depending upon expected useful lives. Amortization of capitalized costs begins only when the software becomes ready for its intended use. In addition, software assets are assessed for impairment when events or circumstances indicate that the carrying values may not be recoverable or that a reduction in the estimated useful lives is warranted.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years presented. For a comparison of our results of operations for the fiscal years ended December 31, 2022 to December 31, 2021, see "Part II, Item 7 - Management's Discussion and Analysis of Financial Condition and Results of Operations" of our Annual Report on Form 10-K for the fiscal year ended December 31, 2022, filed with the SEC on February 27,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260" w:type="dxa"/>
            <w:vAlign w:val="bottom"/>
          </w:tcPr>
          <w:p>
            <w:pPr>
              <w:spacing w:after="0"/>
              <w:rPr>
                <w:sz w:val="2"/>
                <w:szCs w:val="2"/>
                <w:color w:val="auto"/>
              </w:rPr>
            </w:pPr>
          </w:p>
        </w:tc>
        <w:tc>
          <w:tcPr>
            <w:tcW w:w="122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2"/>
                <w:szCs w:val="2"/>
                <w:color w:val="auto"/>
              </w:rPr>
            </w:pP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5,578.9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5,019.4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260" w:type="dxa"/>
            <w:vAlign w:val="bottom"/>
          </w:tcPr>
          <w:p>
            <w:pPr>
              <w:spacing w:after="0"/>
              <w:rPr>
                <w:sz w:val="19"/>
                <w:szCs w:val="19"/>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2,143.2</w:t>
            </w:r>
          </w:p>
        </w:tc>
        <w:tc>
          <w:tcPr>
            <w:tcW w:w="42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2,003.5</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60.1 %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717.9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474.4</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rate</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3,226.2</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2,691.0</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CME Group</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8.86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7.40</w:t>
            </w: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tcPr>
          <w:p>
            <w:pPr>
              <w:spacing w:after="0"/>
              <w:rPr>
                <w:sz w:val="20"/>
                <w:szCs w:val="20"/>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3,453.8</w:t>
            </w:r>
          </w:p>
        </w:tc>
        <w:tc>
          <w:tcPr>
            <w:tcW w:w="420" w:type="dxa"/>
            <w:vAlign w:val="bottom"/>
          </w:tcPr>
          <w:p>
            <w:pPr>
              <w:spacing w:after="0"/>
              <w:rPr>
                <w:sz w:val="20"/>
                <w:szCs w:val="20"/>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3,056.0</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2"/>
                <w:szCs w:val="2"/>
                <w:color w:val="auto"/>
              </w:rPr>
            </w:pPr>
          </w:p>
        </w:tc>
        <w:tc>
          <w:tcPr>
            <w:tcW w:w="10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w:t>
      </w:r>
    </w:p>
    <w:p>
      <w:pPr>
        <w:spacing w:after="0" w:line="10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interest rate swaps.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3"/>
        </w:trPr>
        <w:tc>
          <w:tcPr>
            <w:tcW w:w="4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9"/>
        </w:trPr>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2023-2022</w:t>
            </w:r>
          </w:p>
        </w:tc>
      </w:tr>
      <w:tr>
        <w:trPr>
          <w:trHeight w:val="23"/>
        </w:trPr>
        <w:tc>
          <w:tcPr>
            <w:tcW w:w="48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6,098.5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5,846.0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4,220.8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3,758.5</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0.692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0.643</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estimate the following net increase in clearing and transaction fees based on a change in total contract volume and a change in average rate per contract during 2023 compared with 2022.</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change in total contract volume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change in average rate per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Year-over-</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2023-2022</w:t>
      </w:r>
    </w:p>
    <w:p>
      <w:pPr>
        <w:spacing w:after="0" w:line="61" w:lineRule="exact"/>
        <w:rPr>
          <w:sz w:val="20"/>
          <w:szCs w:val="20"/>
          <w:color w:val="auto"/>
        </w:rPr>
      </w:pPr>
    </w:p>
    <w:p>
      <w:pPr>
        <w:ind w:left="940" w:hanging="940"/>
        <w:spacing w:after="0"/>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174.7</w:t>
      </w:r>
    </w:p>
    <w:p>
      <w:pPr>
        <w:spacing w:after="0" w:line="38"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287.6</w:t>
      </w:r>
    </w:p>
    <w:p>
      <w:pPr>
        <w:spacing w:after="0" w:line="43" w:lineRule="exact"/>
        <w:rPr>
          <w:sz w:val="20"/>
          <w:szCs w:val="20"/>
          <w:color w:val="auto"/>
        </w:rPr>
      </w:pPr>
    </w:p>
    <w:p>
      <w:pPr>
        <w:ind w:left="940" w:hanging="940"/>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9080" w:space="720"/>
            <w:col w:w="1420"/>
          </w:cols>
          <w:pgMar w:left="320" w:top="118" w:right="359" w:bottom="1440" w:gutter="0" w:footer="0" w:header="0"/>
          <w:type w:val="continuous"/>
        </w:sectPr>
      </w:pPr>
    </w:p>
    <w:p>
      <w:pPr>
        <w:spacing w:after="0" w:line="8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Volume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5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6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95"/>
        </w:trPr>
        <w:tc>
          <w:tcPr>
            <w:tcW w:w="6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21,712</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Market volatility within certain financial markets remained high throughout 2023. Interest rate volatility was higher as a result of higher inflation levels and market uncertainty following the collapse of two U.S. regional banks as well as uncertainty surrounding the Federal Reserve’s interest rate policy decision. The Federal Open Markets Committee (FOMC) has raised the federal funds rate multiple times throughout 2023 and there was uncertainty regarding additional rate changes in the future. In addition, the agricultural commodities and energy markets saw an increase in volatility as a result of more weather uncertainty in 2023 compared to 2022. However, overall equity index volatility leveled off following higher volatility in early 2022 caused by tensions and geopolitical uncertainty between Russia and Ukraine. We believe these factors contributed to the increase in total volume in 2023 compared with 2022.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We no longer offer Eurodollar contract trading as of June 2023.</w:t>
      </w: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340" w:type="dxa"/>
            <w:vAlign w:val="bottom"/>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3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33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833</w:t>
            </w:r>
          </w:p>
        </w:tc>
        <w:tc>
          <w:tcPr>
            <w:tcW w:w="1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3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2,545</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1,479</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33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850</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1,726</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3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2,701</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33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1,834</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1,543</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838</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682</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33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587</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503</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33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442</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2023 compared with 2022, overall interest rate contract volume increased as a result of higher overall volatility. We believe this was a result of fluctuating U.S. Treasury yields following interest rate hikes by the FOMC. We also believe the increase in interest rate volatility was due to market uncertainty regarding future FOMC rate changes in 2024 following improved market conditions the second half of 2023. In addition, market uncertainty following the collapse of two U.S. regional banks in the first half of 2023 also led to higher interest rate volatility. The increases in Secured Overnight Financing Rate contract (SOFR) volumes and the corresponding decreases in Eurodollar volumes were due to market participants transitioning to the new reference rate and away from Eurodollar contracts, which are based on LIBOR. The publication of the LIBOR rate concluded in the second quarter of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30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4,154</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4,535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33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1,829</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2,208</w:t>
            </w: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316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378</w:t>
            </w: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Equity index contract volume decreased due to lower overall volatility in 2023 when compared with 2022. Equity index volatility was high in 2022 as a result higher than expected inflation, as well as rising tensions and geopolitical uncertainty with Russia and Ukraine. We believe these factors led to lower overall equity contract volume in 2023 when compared with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vMerge w:val="restart"/>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252</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4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185</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40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40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106</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Overall foreign exchange contract volume decreased in 2023 when compared with 2022, which we believe is due to lower overall market volatility. Market volatility was higher in 2022 due to the global central banks' interest rate policy decisions as a result of higher than expected inflation.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agricultural commodity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vMerge w:val="restart"/>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444</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4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319</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268</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208</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175</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2023 when compared with 2022, overall commodity contract volume increased, due to higher overall market volatility. We believe this is a result of continued weather uncertainty due to a drier than average 2023 growing season. In addition, the first half of 2022 saw lower overall volatility within the commodities markets due to risk aversion by market participants following price increases and global trade uncertainty resulting from the conflict between Russia and Ukraine. We believe these factors contributed to higher overall commodity volume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energy products.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1,087</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492</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336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328</w:t>
            </w: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Overall energy contract volume increased in 2023 when compared with 2022. We believe this is due to the uncertainty in the global energy markets caused by the continuing war between Russia and Ukraine and unrest in the Middle East. In addition, uncertain weather conditions led to an increase in overall natural gas volume. We believe these factors contributed to higher overall energy volume in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356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318</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114</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83</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Overall metal contract volume increased in 2023 when compared with 2022, which we believe was attributable to higher overall market volatility within the gold and silver markets. Market uncertainty following the collapse of two U.S. regional banks and the Federal Reserve's interest rate policy decisions led to an overall increase in demand for gold and other precious metals as safe-haven investments. In addition, copper contract volume increased largely due to an increase in demand for copper in China following the lifting of restrictions from the COVID pandemic. We believe these factors led to the overall increase in metal contract volume.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Rate per Contract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average rate per contract was higher in 2023 when compared with 2022. The increase in the average rate per contract was primarily due an increase in our fee structure that went into effect on February 1,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clearing and transaction fees revenue in 2023 included $284.7 million of transaction fees attributable to the cash markets business, compared with $318.8 million in 2022. This revenue primarily includes BrokerTecs's fixed income volume and EBS foreign exchange volume.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160" w:type="dxa"/>
            <w:vAlign w:val="bottom"/>
          </w:tcPr>
          <w:p>
            <w:pPr>
              <w:spacing w:after="0"/>
              <w:rPr>
                <w:sz w:val="2"/>
                <w:szCs w:val="2"/>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2"/>
                <w:szCs w:val="2"/>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152.1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164.7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132.6</w:t>
            </w:r>
          </w:p>
        </w:tc>
        <w:tc>
          <w:tcPr>
            <w:tcW w:w="42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154.1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years ended 2023 and 2022 for key cash markets products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billions)</w:t>
            </w:r>
          </w:p>
        </w:tc>
        <w:tc>
          <w:tcPr>
            <w:tcW w:w="2700" w:type="dxa"/>
            <w:vAlign w:val="bottom"/>
          </w:tcPr>
          <w:p>
            <w:pPr>
              <w:spacing w:after="0"/>
              <w:rPr>
                <w:sz w:val="2"/>
                <w:szCs w:val="2"/>
                <w:color w:val="auto"/>
              </w:rPr>
            </w:pPr>
          </w:p>
        </w:tc>
        <w:tc>
          <w:tcPr>
            <w:tcW w:w="110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2"/>
                <w:szCs w:val="2"/>
                <w:color w:val="auto"/>
              </w:rPr>
            </w:pPr>
          </w:p>
        </w:tc>
        <w:tc>
          <w:tcPr>
            <w:tcW w:w="120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326.5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345.2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7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106.1</w:t>
            </w: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126.1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56.7</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65.7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Overall average daily notional values and transactions revenues for the cash markets business and spot FX business were lower in 2023 when compared with 2022. We believe the decrease in U.S. Treasury average daily notional value was due to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reduction in treasury issuances during the year. The decline in the spot FX average daily notional values was due to overall lower volatility in 2023 when compared with 2022. Volatility within the European Repo and spot FX markets were higher in 2022 as a result of the conflict between Russia and Ukraine and uncertainty surrounding the Federal Reserve's interest rate policy.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No clearing firms represented at least 10% of our clearing and transaction fees in 2023.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In 2023 when compared with 2022, the increase in market data and information services revenue was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price increases for certain products as well as an increase in usage for certain products.</w:t>
      </w:r>
    </w:p>
    <w:p>
      <w:pPr>
        <w:spacing w:after="0" w:line="5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in aggregate, approximately 32% of our market data and information services revenue in 2023. Despite this concentration, we consider exposure to significant risk of revenue loss to be minimal. In the event that one of these vendors no longer distributes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In 2023 when compared with 2022, the increase in other revenue was largely attributable to higher custody fees as well as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co-location and other connectivity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2"/>
                <w:szCs w:val="2"/>
                <w:color w:val="auto"/>
              </w:rPr>
            </w:pPr>
          </w:p>
        </w:tc>
        <w:tc>
          <w:tcPr>
            <w:tcW w:w="134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208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2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Compared With 2022</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$139.7 million in 2023 when compared with 2022. The following table shows the estimated impact of key factors resulting in the net increase in operating expenses.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Year-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6"/>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over-Year</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 Expenses</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fluctuation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separation and restructuring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operating expenses increased in 2023 when compared with 2022 due to the following reasons:</w:t>
      </w:r>
    </w:p>
    <w:p>
      <w:pPr>
        <w:spacing w:after="0" w:line="117" w:lineRule="exact"/>
        <w:rPr>
          <w:sz w:val="20"/>
          <w:szCs w:val="20"/>
          <w:color w:val="auto"/>
        </w:rPr>
      </w:pPr>
    </w:p>
    <w:p>
      <w:pPr>
        <w:ind w:left="660" w:right="12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non-qualified deferred compensation liability during 2023, the impact of which does not affect net income because of an equal and offsetting change in investment income, contributed to increases in compensation and benefits expenses.</w:t>
      </w:r>
    </w:p>
    <w:p>
      <w:pPr>
        <w:spacing w:after="0" w:line="1"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expenses related to technology support services were primarily driven by higher software license fees and third party services to support the ongoing Google Cloud transformation project.</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employer taxes expenses were higher during 2023 than 2022 due to increases in headcount during the year, which were primarily attributable to additional headcount in the company's international locations.</w:t>
      </w:r>
    </w:p>
    <w:p>
      <w:pPr>
        <w:spacing w:after="0" w:line="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recognized a net loss of $12.9 million, compared to a net gain of $13.2 million in 2022, as a result of currency exchange fluctuations and realized foreign currency translation from entity liquidations done to simplify the corporate structure. Gains and losses from exchange rate fluctuations are recognized in the consolidated statements of net income when subsidiaries with a U.S. dollar functional currency hold certain monetary assets and liabilities denominated in foreign currencies.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an increase in legal fees during 2023 related to our business activities and product offerings compared to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separation and restructuring costs increased year over year largely due to a reduction in force of 3% of employees during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2"/>
                <w:szCs w:val="2"/>
                <w:color w:val="auto"/>
              </w:rPr>
            </w:pPr>
          </w:p>
        </w:tc>
        <w:tc>
          <w:tcPr>
            <w:tcW w:w="12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2,198.4</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(162.7)</w:t>
            </w:r>
          </w:p>
        </w:tc>
        <w:tc>
          <w:tcPr>
            <w:tcW w:w="2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301.1</w:t>
            </w:r>
          </w:p>
        </w:tc>
        <w:tc>
          <w:tcPr>
            <w:tcW w:w="2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(1,862.4)</w:t>
            </w:r>
          </w:p>
        </w:tc>
        <w:tc>
          <w:tcPr>
            <w:tcW w:w="2300" w:type="dxa"/>
            <w:vAlign w:val="bottom"/>
            <w:tcBorders>
              <w:bottom w:val="single" w:sz="8" w:color="CCEEFF"/>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474.4</w:t>
            </w:r>
          </w:p>
        </w:tc>
        <w:tc>
          <w:tcPr>
            <w:tcW w:w="2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Investment income</w:t>
      </w:r>
      <w:r>
        <w:rPr>
          <w:rFonts w:ascii="Times New Roman" w:cs="Times New Roman" w:eastAsia="Times New Roman" w:hAnsi="Times New Roman"/>
          <w:sz w:val="18"/>
          <w:szCs w:val="18"/>
          <w:color w:val="auto"/>
        </w:rPr>
        <w:t>. In 2023 when compared with 2022, there was an increase in earnings from reinvested cash performance bond and guaranty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due to a higher rate of interest earned in the cash accounts at the Federal Reserve Bank of Chicago following interest rate hikes in 2022 and 2023. In 2023 and 2022, earnings from cash performance bond and guaranty fund contributions were $5,073.9 million and $2,169.5 million, respectively. In addition, there was an increase in net realized and unrealized gains on investments as well as an increase in earnings on our deferred compensation plan, the impact of which does not affect net income because of an equal and offsetting change in compensation and benefits expense.</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 2023 when compared with 2022, we recognized higher expense related to the distribution of interest earned on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 collateral reinvestments to the clearing firms in conjunction with higher interest income earned on our reinvestment during the period due to a higher interest rates in 2023. In 2023 and 2022, expenses related to the distribution of interest earned on collateral reinvestments were $4,717.5 million and $1,889.7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 for the periods presented: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7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2"/>
                <w:szCs w:val="2"/>
                <w:color w:val="auto"/>
              </w:rPr>
            </w:pPr>
          </w:p>
        </w:tc>
        <w:tc>
          <w:tcPr>
            <w:tcW w:w="13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jc w:val="right"/>
              <w:ind w:right="5419"/>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22.3 %</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22.9 %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effective tax rate decreased slightly in 2023 when compared with 2022. The decrease was largely due to a higher deferred income tax benefit recognized in 2023 resulting from a change in our state and local apportionment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historically met our funding requirements with cash generated by our ongoing operations. However, we have used our commercial paper program from time to time to fund large short-term funding needs. While our cost structure is generally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Cash will also be required for non-cancellable purchase obligations as at December 31, 2023. Commitments include material contractual purchase obligations that are non-cancellable. Purchase obligations relate to advertising, licensing, hardware, software and maintenance as well as telecommunication services. Aside from the table below, we have certain other arrangements that have a perpetual term for which we pay a minimum of $5.0 million per year. At December 31, 2023, future minimum payments due under purchase obligations were payable as follows (in millions):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Future capital expenditures for technology are anticipated as we continue to support our growth through increased system capacity, performance improvements, integration of acquired platforms and improvements to some of our office spaces. Each year, capital expenditures are incurred for improvements to and modification of our offices, remote data centers, telecommunications network and other operating equipment. In 2024, we expect capital expenditures to total approximately $85 million, net of any leasehold improvement allowances. We continue to monitor our capital needs and may revise our forecasted expenditures as necessary in the future.</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We are also required to comply with restrictions contained in the general corporation laws of our state of incorporation, which could limit our ability to declare and pay dividends. On February 8, 2024, the company declared a regular quarterly dividend of $1.15 per share for all outstanding common and preferred shares. The dividend will be payable on March 26, 2024 to shareholders of record on March 8, 2024. Assuming no changes in the number of shares outstanding, the first quarter dividend payment will total approximately $420 million. The board of directors also declared an additional, annual variable dividend of $5.25 per share on December 7, 2023 paid on January 18, 2024 to the shareholders of record on December 28, 2023. In general, the amount of the annual variable dividend will be determined by the end of each year, and the level will increase or decrease from year to year based on operating results, capital expenditures, potential merger and acquisition activity and other forms of capital return, including regular dividends and share buybacks during the prior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from operating, investing and financing activities.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20" w:type="dxa"/>
            <w:vAlign w:val="bottom"/>
          </w:tcPr>
          <w:p>
            <w:pPr>
              <w:spacing w:after="0"/>
              <w:rPr>
                <w:sz w:val="2"/>
                <w:szCs w:val="2"/>
                <w:color w:val="auto"/>
              </w:rPr>
            </w:pPr>
          </w:p>
        </w:tc>
        <w:tc>
          <w:tcPr>
            <w:tcW w:w="112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
                <w:szCs w:val="2"/>
                <w:color w:val="auto"/>
              </w:rPr>
            </w:pPr>
          </w:p>
        </w:tc>
        <w:tc>
          <w:tcPr>
            <w:tcW w:w="11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3,453.8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3,056.0</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(489.8)</w:t>
            </w: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(48,339.3)</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(25,381.7)</w:t>
            </w:r>
          </w:p>
        </w:tc>
        <w:tc>
          <w:tcPr>
            <w:tcW w:w="15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higher in 2023 compared with 2022, largely due to an increase in revenue resulting from fee increases and an increase in investment income on collateral reinvestment net of expense related to the distribution of interest earned. This was partially offset by income tax payments which were higher in 2023 compared with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 in cash provided by investing activities in 2023 compared with 2022 was due to higher proceeds on sales of investments in 2023. Also contributing to the increase was the additional investment in S&amp;P Dow Jones Indices LLC of $410.0 million in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higher in 2023 when compared with 2022 mainly due to a decrease in cash performance bonds and guaranty fund contributions. In addition, there was an increase in dividends paid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outstanding as of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(2)</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60" w:hanging="328"/>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on the notes effectively became fixed at a rate of 3.11%.</w:t>
      </w:r>
    </w:p>
    <w:p>
      <w:pPr>
        <w:spacing w:after="0" w:line="70" w:lineRule="exact"/>
        <w:rPr>
          <w:rFonts w:ascii="Times New Roman" w:cs="Times New Roman" w:eastAsia="Times New Roman" w:hAnsi="Times New Roman"/>
          <w:sz w:val="16"/>
          <w:szCs w:val="16"/>
          <w:color w:val="auto"/>
        </w:rPr>
      </w:pPr>
    </w:p>
    <w:p>
      <w:pPr>
        <w:ind w:left="660" w:right="600" w:hanging="328"/>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December 31, 2023, guaranty fund contributions available to collateralize the facility totaled $8.6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December 31, 2023, we have excess borrowing capacity for general corporate purposes of approximately $2.3 billion under our multi-currency revolving senior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that it uses to pay dividends to its shareholders.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December 31, 2023, the letters of credit totaled $285.0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December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68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w:t>
            </w:r>
          </w:p>
        </w:tc>
        <w:tc>
          <w:tcPr>
            <w:tcW w:w="3680" w:type="dxa"/>
            <w:vAlign w:val="bottom"/>
            <w:shd w:val="clear" w:color="auto" w:fill="CCEEFF"/>
          </w:tcPr>
          <w:p>
            <w:pPr>
              <w:jc w:val="center"/>
              <w:ind w:left="2079"/>
              <w:spacing w:after="0"/>
              <w:rPr>
                <w:sz w:val="20"/>
                <w:szCs w:val="20"/>
                <w:color w:val="auto"/>
              </w:rPr>
            </w:pPr>
            <w:r>
              <w:rPr>
                <w:rFonts w:ascii="Times New Roman" w:cs="Times New Roman" w:eastAsia="Times New Roman" w:hAnsi="Times New Roman"/>
                <w:sz w:val="18"/>
                <w:szCs w:val="18"/>
                <w:color w:val="auto"/>
                <w:w w:val="99"/>
              </w:rPr>
              <w:t>A1+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680" w:type="dxa"/>
            <w:vAlign w:val="bottom"/>
          </w:tcPr>
          <w:p>
            <w:pPr>
              <w:jc w:val="center"/>
              <w:ind w:left="2079"/>
              <w:spacing w:after="0"/>
              <w:rPr>
                <w:sz w:val="20"/>
                <w:szCs w:val="20"/>
                <w:color w:val="auto"/>
              </w:rPr>
            </w:pPr>
            <w:r>
              <w:rPr>
                <w:rFonts w:ascii="Times New Roman" w:cs="Times New Roman" w:eastAsia="Times New Roman" w:hAnsi="Times New Roman"/>
                <w:sz w:val="18"/>
                <w:szCs w:val="18"/>
                <w:color w:val="auto"/>
              </w:rPr>
              <w:t>P1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Management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Cash and cash equivalents, excluding restricted cash, totaled $2.9 billion and $2.7 billion at December 31, 2023 and December 31, 2022,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$16.9 million additional contribution will be necessary in 2024 to meet our funding goal. However, the amount of the actual contribution is contingent on various factors, including the actual rate of return on our plan assets during 2024 and the December 31, 2024 discount 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Requirements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CME is regulated by the CFTC as a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broker-dealer in November 2017 following notification to the Financial Industry Regulatory Authority and the SEC. A company operating under the (k)(2)</w:t>
      </w:r>
    </w:p>
    <w:p>
      <w:pPr>
        <w:spacing w:after="0" w:line="5"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is not required to lock up customer funds as would otherwise be required under Exchange Act Rule 15c3-3.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and foreign currency exchange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Debt outstanding at December 31, 2023 consisted of fixed-rate borrowings of $3.4 billion (in U.S. dollar equivalent). Changes in interest rates impact the fair values of fixed-rate debt, but do not impact earnings or cash flows. We did not have any variable-rate borrowings at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CME Clearing House</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clearing house acts as the counterparty to all trades consummated on our exchange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8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Despite our safeguards, we cannot guarantee that these measures will be sufficient to protect us from a default or that we will not be materially and adversely affected in the event of a significant default.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two separate financial safeguard packages:</w:t>
      </w:r>
    </w:p>
    <w:p>
      <w:pPr>
        <w:spacing w:after="0" w:line="1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all futures, options and OTC swap contracts other than cleared interest rate swap contracts (base package);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cleared interest rate swap contracts.</w:t>
      </w:r>
    </w:p>
    <w:p>
      <w:pPr>
        <w:spacing w:after="0" w:line="11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non-defaulting clearing firms within the respective financial safeguard package to satisfy the deficit.</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 in the unlikely event of default.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At December 31, 2023, aggregate performance bond deposits for clearing firms for both financial safeguard packages was $272.1 billion, including cash performance bond deposits, non-cash deposits, Interest Earnings Facility funds and letters of credit. A defaulting firm's performance bond deposits can be used in the event of default of that clearing firm.</w:t>
      </w:r>
    </w:p>
    <w:p>
      <w:pPr>
        <w:spacing w:after="0" w:line="68"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8"/>
          <w:szCs w:val="18"/>
          <w:color w:val="auto"/>
        </w:rPr>
        <w:t>The following shows the available assets at December 31, 2023 in the event of a payment default by a clearing firm for the base financial safeguard package after first utilizing the defaulting firm's available assets:</w:t>
      </w:r>
    </w:p>
    <w:tbl>
      <w:tblPr>
        <w:tblLayout w:type="fixed"/>
        <w:tblInd w:w="0" w:type="dxa"/>
        <w:tblCellMar>
          <w:top w:w="0" w:type="dxa"/>
          <w:left w:w="0" w:type="dxa"/>
          <w:bottom w:w="0" w:type="dxa"/>
          <w:right w:w="0" w:type="dxa"/>
        </w:tblCellMar>
      </w:tblPr>
      <w:tr>
        <w:trPr>
          <w:trHeight w:val="149"/>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80" w:type="dxa"/>
            <w:vAlign w:val="bottom"/>
          </w:tcPr>
          <w:p>
            <w:pPr>
              <w:spacing w:after="0"/>
              <w:rPr>
                <w:sz w:val="12"/>
                <w:szCs w:val="12"/>
                <w:color w:val="auto"/>
              </w:rPr>
            </w:pPr>
          </w:p>
        </w:tc>
        <w:tc>
          <w:tcPr>
            <w:tcW w:w="152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95"/>
        </w:trPr>
        <w:tc>
          <w:tcPr>
            <w:tcW w:w="692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8"/>
        </w:trPr>
        <w:tc>
          <w:tcPr>
            <w:tcW w:w="6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Designated corporate contributions for futures and options</w:t>
            </w:r>
            <w:r>
              <w:rPr>
                <w:rFonts w:ascii="Times New Roman" w:cs="Times New Roman" w:eastAsia="Times New Roman" w:hAnsi="Times New Roman"/>
                <w:sz w:val="23"/>
                <w:szCs w:val="23"/>
                <w:color w:val="auto"/>
                <w:vertAlign w:val="superscript"/>
              </w:rPr>
              <w:t>(1)</w:t>
            </w:r>
          </w:p>
        </w:tc>
        <w:tc>
          <w:tcPr>
            <w:tcW w:w="2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6,653.4</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660" w:right="18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spacing w:after="0" w:line="16"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16" w:lineRule="exact"/>
        <w:rPr>
          <w:rFonts w:ascii="Times New Roman" w:cs="Times New Roman" w:eastAsia="Times New Roman" w:hAnsi="Times New Roman"/>
          <w:sz w:val="16"/>
          <w:szCs w:val="16"/>
          <w:color w:val="auto"/>
        </w:rPr>
      </w:pPr>
    </w:p>
    <w:p>
      <w:pPr>
        <w:ind w:left="660" w:right="80" w:hanging="652"/>
        <w:spacing w:after="0" w:line="26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3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for the interest rate swap financial safeguard package at December 31, 2023 in the event of a payment default by a clearing firm that clears interest rate swap contracts, after first utilizing the defaulting firm's available assets: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tcPr>
          <w:p>
            <w:pPr>
              <w:spacing w:after="0"/>
              <w:rPr>
                <w:sz w:val="13"/>
                <w:szCs w:val="13"/>
                <w:color w:val="auto"/>
              </w:rPr>
            </w:pPr>
          </w:p>
        </w:tc>
        <w:tc>
          <w:tcPr>
            <w:tcW w:w="15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Designated corporate contributions for interest rate swap contracts</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80" w:hanging="652"/>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spacing w:after="0" w:line="16"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2" w:lineRule="exact"/>
        <w:rPr>
          <w:rFonts w:ascii="Times New Roman" w:cs="Times New Roman" w:eastAsia="Times New Roman" w:hAnsi="Times New Roman"/>
          <w:sz w:val="16"/>
          <w:szCs w:val="16"/>
          <w:color w:val="auto"/>
        </w:rPr>
      </w:pPr>
    </w:p>
    <w:p>
      <w:pPr>
        <w:ind w:left="660" w:hanging="652"/>
        <w:spacing w:after="0" w:line="263"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 Assessment powers are calculated to reflect the potential obligation that each clearing member could be called for based on potential failure of the third and fourth largest clearing member; however, the total amount available would be reduced by the defaulted clearing members' assessment obligations since they would no longer be able to satisfy their obligations.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BrokerTec Americas Matched Principal Business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day that can vary based on the size of unsettled transactions and any adverse market changes. At December 31, 2023, the balance of the collateral at FICC was $175.0 million, which was included in other current assets on the consolidated balance sheet.</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day following execution and, prior to settlement, BrokerTec Americas is exposed to the risk of loss in the event a</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counterparty fails to meet its obligations. If that were to occur, BrokerTec Americas would have the right to cover or liquidate the open position but could incur a loss as a result of market movements. At December 31, 2023, we had a receivable from counterparties and payable to counterparties of $714.9 million and $708.9 million, respectively. These receivables and payables were settled within two business days following December 31, 2023. The counterparty receivables and payables are recognized within other current assets and other current liabilities,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Risk</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72"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Aggregate transaction gains (losses) for 2023, 2022 and 2021 were $(12.9) million, $13.2 million and $0.4 million, respectively. We expect the foreign currency gain/loss to continue to fluctuate as long as we continue to hold monetary assets and liabilities at those subsidiaries. Market uncertainty could potentially lead to significant volatility with foreign currency exchange rates, which could result in additional foreign currency gain/loss.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Risk</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foreign currency translation risk related to the translation of our foreign consolidated and unconsolidated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2023, 2022 and 2021 were $70.8 million, $(195.4) million and $(62.0) million,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 Related to Customer Collateral</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$7.1 and $8.1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(includes $5.2 and $4.9 in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139,078.3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(includes $0.0 and $0.1 in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174,175.7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8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2,300.9</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137,687.5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147,297.0</w:t>
            </w:r>
          </w:p>
        </w:tc>
      </w:tr>
      <w:tr>
        <w:trPr>
          <w:trHeight w:val="129"/>
        </w:trPr>
        <w:tc>
          <w:tcPr>
            <w:tcW w:w="8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December 31, 2023 and 2022; 4,584 issued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2023 and 2022, respectively</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as of December 31, 2023 and 2022,</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359,231 and 358,929 shares issued and outstanding as of December 31, 2023 and 2022,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December 31,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 and 2022</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22,261.6</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26,878.7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174,175.7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4,689.7</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w:t>
            </w:r>
          </w:p>
        </w:tc>
      </w:tr>
      <w:tr>
        <w:trPr>
          <w:trHeight w:val="108"/>
        </w:trPr>
        <w:tc>
          <w:tcPr>
            <w:tcW w:w="6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CME Group</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358,340</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358,929</w:t>
            </w: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gains (losses) on sale included in investment income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175"/>
        </w:trPr>
        <w:tc>
          <w:tcPr>
            <w:tcW w:w="72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and prior service costs included in compensation</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benefits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6"/>
        </w:trPr>
        <w:tc>
          <w:tcPr>
            <w:tcW w:w="72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effective portion of net (gains) losses on cash flow hedges included in</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(gain) loss included in other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w:t>
            </w:r>
          </w:p>
        </w:tc>
      </w:tr>
      <w:tr>
        <w:trPr>
          <w:trHeight w:val="23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2,555.0</w:t>
            </w:r>
          </w:p>
        </w:tc>
      </w:tr>
      <w:tr>
        <w:trPr>
          <w:trHeight w:val="21"/>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7"/>
          <w:szCs w:val="17"/>
          <w:color w:val="auto"/>
        </w:rPr>
        <w:t>Dividends of $6.85 per common share and $4.15 per</w:t>
      </w:r>
    </w:p>
    <w:p>
      <w:pPr>
        <w:spacing w:after="0"/>
        <w:rPr>
          <w:sz w:val="20"/>
          <w:szCs w:val="20"/>
          <w:color w:val="auto"/>
        </w:rPr>
      </w:pPr>
      <w:r>
        <w:rPr>
          <w:rFonts w:ascii="Times New Roman" w:cs="Times New Roman" w:eastAsia="Times New Roman" w:hAnsi="Times New Roman"/>
          <w:sz w:val="18"/>
          <w:szCs w:val="18"/>
          <w:color w:val="auto"/>
        </w:rPr>
        <w:t>preferred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preferred stock</w:t>
      </w:r>
    </w:p>
    <w:p>
      <w:pPr>
        <w:spacing w:after="0" w:line="23"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8"/>
          <w:szCs w:val="18"/>
          <w:color w:val="auto"/>
        </w:rPr>
        <w:t>Purchase of non-controlling interest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7"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7"/>
          <w:szCs w:val="17"/>
          <w:color w:val="auto"/>
        </w:rPr>
        <w:t>Vesting of issued restricted Class A common stock</w:t>
      </w:r>
    </w:p>
    <w:p>
      <w:pPr>
        <w:spacing w:after="0" w:line="2"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Shares issued under Employee Stock Purchase Plan</w:t>
      </w:r>
    </w:p>
    <w:p>
      <w:pPr>
        <w:spacing w:after="0" w:line="1" w:lineRule="exact"/>
        <w:rPr>
          <w:sz w:val="20"/>
          <w:szCs w:val="20"/>
          <w:color w:val="auto"/>
        </w:rPr>
      </w:pPr>
    </w:p>
    <w:p>
      <w:pPr>
        <w:spacing w:after="0" w:line="37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December 31, 2021</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8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3"/>
                <w:szCs w:val="13"/>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84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2"/>
                <w:szCs w:val="12"/>
                <w:color w:val="auto"/>
              </w:rPr>
            </w:pPr>
          </w:p>
        </w:tc>
        <w:tc>
          <w:tcPr>
            <w:tcW w:w="9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26,351.5</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2,636.4</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140" w:type="dxa"/>
            <w:vAlign w:val="bottom"/>
          </w:tcPr>
          <w:p>
            <w:pPr>
              <w:spacing w:after="0"/>
              <w:rPr>
                <w:sz w:val="19"/>
                <w:szCs w:val="19"/>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589"/>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(2,480.4)</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(2,480.4)</w:t>
            </w:r>
          </w:p>
        </w:tc>
        <w:tc>
          <w:tcPr>
            <w:tcW w:w="0" w:type="dxa"/>
            <w:vAlign w:val="bottom"/>
          </w:tcPr>
          <w:p>
            <w:pPr>
              <w:spacing w:after="0"/>
              <w:rPr>
                <w:sz w:val="1"/>
                <w:szCs w:val="1"/>
                <w:color w:val="auto"/>
              </w:rPr>
            </w:pPr>
          </w:p>
        </w:tc>
      </w:tr>
      <w:tr>
        <w:trPr>
          <w:trHeight w:val="23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4"/>
                <w:szCs w:val="24"/>
                <w:color w:val="auto"/>
              </w:rPr>
            </w:pP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358,599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5,151.9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27,399.3</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-2511425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-2211070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-1688465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-1276985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-865505</wp:posOffset>
            </wp:positionV>
            <wp:extent cx="7132320" cy="266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-334010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300" w:space="40"/>
            <w:col w:w="8880"/>
          </w:cols>
          <w:pgMar w:left="340" w:top="887" w:right="339" w:bottom="1440" w:gutter="0" w:footer="0" w:header="0"/>
        </w:sect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 xml:space="preserve">CONSOLIDATED STATEMENTS OF EQUITY </w:t>
      </w:r>
      <w:r>
        <w:rPr>
          <w:rFonts w:ascii="Times New Roman" w:cs="Times New Roman" w:eastAsia="Times New Roman" w:hAnsi="Times New Roman"/>
          <w:sz w:val="17"/>
          <w:szCs w:val="17"/>
          <w:color w:val="auto"/>
        </w:rPr>
        <w:t>(continued)</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980"/>
        <w:spacing w:after="0" w:line="268" w:lineRule="auto"/>
        <w:rPr>
          <w:sz w:val="20"/>
          <w:szCs w:val="20"/>
          <w:color w:val="auto"/>
        </w:rPr>
      </w:pPr>
      <w:r>
        <w:rPr>
          <w:rFonts w:ascii="Times New Roman" w:cs="Times New Roman" w:eastAsia="Times New Roman" w:hAnsi="Times New Roman"/>
          <w:sz w:val="18"/>
          <w:szCs w:val="18"/>
          <w:color w:val="auto"/>
        </w:rPr>
        <w:t>Balance at December 31, 2021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Dividends of $8.50 per common share and preferred share Exercise of stock options</w:t>
      </w:r>
    </w:p>
    <w:p>
      <w:pPr>
        <w:ind w:right="540"/>
        <w:spacing w:after="0" w:line="266" w:lineRule="auto"/>
        <w:rPr>
          <w:sz w:val="20"/>
          <w:szCs w:val="20"/>
          <w:color w:val="auto"/>
        </w:rPr>
      </w:pPr>
      <w:r>
        <w:rPr>
          <w:rFonts w:ascii="Times New Roman" w:cs="Times New Roman" w:eastAsia="Times New Roman" w:hAnsi="Times New Roman"/>
          <w:sz w:val="18"/>
          <w:szCs w:val="18"/>
          <w:color w:val="auto"/>
        </w:rPr>
        <w:t>Vesting of issued restricted Class A common stock Shares issued to Board of Directors</w:t>
      </w:r>
    </w:p>
    <w:p>
      <w:pPr>
        <w:ind w:right="480"/>
        <w:spacing w:after="0" w:line="284" w:lineRule="auto"/>
        <w:rPr>
          <w:sz w:val="20"/>
          <w:szCs w:val="20"/>
          <w:color w:val="auto"/>
        </w:rPr>
      </w:pPr>
      <w:r>
        <w:rPr>
          <w:rFonts w:ascii="Times New Roman" w:cs="Times New Roman" w:eastAsia="Times New Roman" w:hAnsi="Times New Roman"/>
          <w:sz w:val="18"/>
          <w:szCs w:val="18"/>
          <w:color w:val="auto"/>
        </w:rPr>
        <w:t>Shares issued under Employee Stock Purchase Plan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0" w:type="dxa"/>
            <w:vAlign w:val="bottom"/>
            <w:vMerge w:val="continue"/>
          </w:tcPr>
          <w:p>
            <w:pPr>
              <w:spacing w:after="0"/>
              <w:rPr>
                <w:sz w:val="11"/>
                <w:szCs w:val="11"/>
                <w:color w:val="auto"/>
              </w:rPr>
            </w:pPr>
          </w:p>
        </w:tc>
        <w:tc>
          <w:tcPr>
            <w:tcW w:w="80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0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6"/>
        </w:trPr>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0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5,151.9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27,399.3</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2,691.0</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(3,096.1)</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4,746.8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-1508125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-1207770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-916305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-624840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-334010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140"/>
            <w:col w:w="6880"/>
          </w:cols>
          <w:pgMar w:left="340" w:top="887" w:right="339" w:bottom="1440" w:gutter="0" w:footer="0" w:header="0"/>
          <w:type w:val="continuous"/>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 xml:space="preserve">CONSOLIDATED STATEMENTS OF EQUITY </w:t>
      </w:r>
      <w:r>
        <w:rPr>
          <w:rFonts w:ascii="Times New Roman" w:cs="Times New Roman" w:eastAsia="Times New Roman" w:hAnsi="Times New Roman"/>
          <w:sz w:val="17"/>
          <w:szCs w:val="17"/>
          <w:color w:val="auto"/>
        </w:rPr>
        <w:t>(continued)</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980"/>
        <w:spacing w:after="0" w:line="268" w:lineRule="auto"/>
        <w:rPr>
          <w:sz w:val="20"/>
          <w:szCs w:val="20"/>
          <w:color w:val="auto"/>
        </w:rPr>
      </w:pPr>
      <w:r>
        <w:rPr>
          <w:rFonts w:ascii="Times New Roman" w:cs="Times New Roman" w:eastAsia="Times New Roman" w:hAnsi="Times New Roman"/>
          <w:sz w:val="18"/>
          <w:szCs w:val="18"/>
          <w:color w:val="auto"/>
        </w:rPr>
        <w:t>Balance at December 31, 2022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Dividends of $9.65 per common share and preferred share Vesting of issued restricted Class A common stock Shares issued to Board of Directors</w:t>
      </w:r>
    </w:p>
    <w:p>
      <w:pPr>
        <w:ind w:right="480"/>
        <w:spacing w:after="0" w:line="284" w:lineRule="auto"/>
        <w:rPr>
          <w:sz w:val="20"/>
          <w:szCs w:val="20"/>
          <w:color w:val="auto"/>
        </w:rPr>
      </w:pPr>
      <w:r>
        <w:rPr>
          <w:rFonts w:ascii="Times New Roman" w:cs="Times New Roman" w:eastAsia="Times New Roman" w:hAnsi="Times New Roman"/>
          <w:sz w:val="18"/>
          <w:szCs w:val="18"/>
          <w:color w:val="auto"/>
        </w:rPr>
        <w:t>Shares issued under Employee Stock Purchase Plan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60" w:type="dxa"/>
            <w:vAlign w:val="bottom"/>
            <w:vMerge w:val="continue"/>
          </w:tcPr>
          <w:p>
            <w:pPr>
              <w:spacing w:after="0"/>
              <w:rPr>
                <w:sz w:val="11"/>
                <w:szCs w:val="11"/>
                <w:color w:val="auto"/>
              </w:rPr>
            </w:pPr>
          </w:p>
        </w:tc>
        <w:tc>
          <w:tcPr>
            <w:tcW w:w="800" w:type="dxa"/>
            <w:vAlign w:val="bottom"/>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4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6"/>
        </w:trPr>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4,746.8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3,226.2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(3,517.8)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4,455.2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-1362710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-1062355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-770890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-479425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-187960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60"/>
            <w:col w:w="6960"/>
          </w:cols>
          <w:pgMar w:left="340" w:top="887" w:right="339" w:bottom="1440" w:gutter="0" w:footer="0" w:header="0"/>
          <w:type w:val="continuous"/>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building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joint venture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and unrealized (gains)/losses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2,402.4</w:t>
            </w:r>
          </w:p>
        </w:tc>
      </w:tr>
      <w:tr>
        <w:trPr>
          <w:trHeight w:val="88"/>
        </w:trPr>
        <w:tc>
          <w:tcPr>
            <w:tcW w:w="67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sales of available-for-sale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business ventures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 ventures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for acquisition of subsidiary's interests from the non-controlling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building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proceeds from OSTTRA joint venture transaction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S&amp;P Dow Jones Indices LLC</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 including call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preferred stock offering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71,167.8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69,908.7</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72,369.5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88,420.3</w:t>
            </w:r>
          </w:p>
        </w:tc>
        <w:tc>
          <w:tcPr>
            <w:tcW w:w="0" w:type="dxa"/>
            <w:vAlign w:val="bottom"/>
          </w:tcPr>
          <w:p>
            <w:pPr>
              <w:spacing w:after="0"/>
              <w:rPr>
                <w:sz w:val="1"/>
                <w:szCs w:val="1"/>
                <w:color w:val="auto"/>
              </w:rPr>
            </w:pPr>
          </w:p>
        </w:tc>
      </w:tr>
      <w:tr>
        <w:trPr>
          <w:trHeight w:val="160"/>
        </w:trPr>
        <w:tc>
          <w:tcPr>
            <w:tcW w:w="67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44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160,789.8</w:t>
            </w: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 (within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 (within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157,949.6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160,789.8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Declaration of annual variable dividend, payable in January 2024, January 2023 and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January 2022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CME Group Inc. (CME Group) exchanges offer the widest range of global benchmark products across all major asset classes based on interest rates, equity indexes, foreign exchange (FX), agricultural, energy and metal commodities. We offer futures and options across asset classes as well as cash, repo fixed income and OTC FX trading through the CME Globex platform. In addition, it operates one of the world’s leading central counterparty clearing houses. CME Group offers clearing, settlement and guarantees for all products cleared through the clearing house.</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2021, the company and IHS Markit launched a new joint venture, OSTTRA, to combine their post-trade services. OSTTRA performs trade processing and risk mitigation services. The company contributed the net assets of its optimization business, which included Traiana, TriOptima and Reset, to the joint venture and deconsolidated the net assets of the optimization business. The financial statements and accompanying notes presented in this report exclude the assets, liabilities, revenues and expenses from the optimization business and include an investment in the joint venture and equity in net earnings from the joint venture after September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consolidated financial statements are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and include the accounts of the company and its subsidiaries. All intercompany transactions and balances have been eliminated.</w:t>
      </w:r>
    </w:p>
    <w:p>
      <w:pPr>
        <w:spacing w:after="0" w:line="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and highly liquid investments with a maturity of three months or less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w:t>
      </w:r>
    </w:p>
    <w:p>
      <w:pPr>
        <w:spacing w:after="0" w:line="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Investments. </w:t>
      </w:r>
      <w:r>
        <w:rPr>
          <w:rFonts w:ascii="Times New Roman" w:cs="Times New Roman" w:eastAsia="Times New Roman" w:hAnsi="Times New Roman"/>
          <w:sz w:val="18"/>
          <w:szCs w:val="18"/>
          <w:color w:val="auto"/>
        </w:rPr>
        <w:t>The company maintains short-term and long-term investments, classified as equity method investments, available-for-sale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equity investments in privately-held entities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Additionally, the company maintains long-term investments accounted for under the equity method, which requires that the company recognize its share of net income (loss) and other comprehensive income (loss) in the investee as an adjustment to the carrying amount of the investment each reporting period.</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at least quarterly, as well as whenever facts or circumstances exist which indicate that the carrying value of an investment is greater than its fair value. For investments not carried at fair value, the carrying value of the investment is reduced to its fair value and a corresponding impairment expense is charged to earnings, if events and circumstances indicate that a markdown to fair value is warranted. Declines in the fair value of available-for-sale debt securities that are deemed to represent indicators of impairment are charged to earnings as a realized loss.</w:t>
      </w:r>
    </w:p>
    <w:p>
      <w:pPr>
        <w:spacing w:after="0" w:line="6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company uses a three-level classification hierarchy of fair value measurements that establishes the quality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Derivative Investments. </w:t>
      </w:r>
      <w:r>
        <w:rPr>
          <w:rFonts w:ascii="Times New Roman" w:cs="Times New Roman" w:eastAsia="Times New Roman" w:hAnsi="Times New Roman"/>
          <w:sz w:val="18"/>
          <w:szCs w:val="18"/>
          <w:color w:val="auto"/>
        </w:rPr>
        <w:t>The company occasionally uses derivative instruments to limit exposure to changes in interest rates and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Derivatives are recorded at fair value on the consolidated balance sheets. For those derivatives that meet the criteria for hedge accounting and are classified as effective cash flow hedges, changes in the fair value of derivative financial instruments are initially recorded in other comprehensive income and subsequently reclassified into earnings when the hedged item affects income. The company assesses, both at the inception of each hedge and on an ongoing basis, whether the derivative financial instruments that are designated as cash flow hedging transactions are highly effective in offsetting changes in cash flows of the hedged items. For any hedges no longer deemed effective or for which hedge accounting is not applied, changes in fair value of the derivative instruments are recognized in earnings within other non-operating income (expense). There were no outstanding derivative instruments at December 31, 2023.</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comprised of trade receivables and unbilled revenue. All accounts receivable are stated at net realizable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Exposure to 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management's assessment of future expected losses over the life of the receivable, historical trends and the current economic environment within which we operate.</w:t>
      </w:r>
    </w:p>
    <w:p>
      <w:pPr>
        <w:spacing w:after="0" w:line="7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Bonds and Guaranty Fund Contributions. </w:t>
      </w:r>
      <w:r>
        <w:rPr>
          <w:rFonts w:ascii="Times New Roman" w:cs="Times New Roman" w:eastAsia="Times New Roman" w:hAnsi="Times New Roman"/>
          <w:sz w:val="18"/>
          <w:szCs w:val="18"/>
          <w:color w:val="auto"/>
        </w:rPr>
        <w:t>Performance bonds and guaranty fund contributions held for clearing firms may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securities or other non-cash deposits.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investments in highly rated government securities, money market funds or through CME's Interest Earning Facility (IEF) program. Any interest earned on these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 The cash performance bonds and guaranty fund contributions are considered restricted cash as the cash deposits cannot be used for the company's operations or to satisfy any operational liabilities.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on the consolidated balance sheets.</w:t>
      </w:r>
    </w:p>
    <w:p>
      <w:pPr>
        <w:spacing w:after="0" w:line="6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Property is stated at cost, less accumulated depreciation and amortization. Depreciation and amortization are calculated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generally over two to nineteen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obtaining, or implementing computer software for internal use which meet the requirements for capitalization are amortized on a straight-line basis over the estimated useful life of the software, generally two to four years, but up to eight years for certain trading and clearing applications, depending upon expected useful lives.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accounts for our leases of office space as operating leases. Landlord allowances are recorded as a direct reduction to the capitalized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asset, which is reported in other assets and amortized to rent expense over the term of the lease. Both lease and direct non-lease costs are accounted for as a single lease component for purposes of capitalization on the consolidated balance sheets.The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8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over the fair value of the net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reviews goodwill for impairment at least quarterly and whenever events or circumstances indicate that the carrying value may not be recoverable. The company may test goodwill quantitatively for impairment by comparing the carrying value of a reporting unit to its estimated fair value. Estimating the fair value of 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performs an impairment assessment of indefinite-lived intangible assets at least quarterly or whenever events or circumstances indicate that their carrying values may not be recoverable.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carrying value of the amortizing asset to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amortizing intangible assets.</w:t>
      </w:r>
    </w:p>
    <w:p>
      <w:pPr>
        <w:spacing w:after="0" w:line="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accounts for business combinations using the acquisition method. The method requires the acquirer to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The company recognizes the funded status of defined benefit postretirement plans on its consolidated balance sheets.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6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Foreign Currency Translation and Re-measurement</w:t>
      </w:r>
      <w:r>
        <w:rPr>
          <w:rFonts w:ascii="Times New Roman" w:cs="Times New Roman" w:eastAsia="Times New Roman" w:hAnsi="Times New Roman"/>
          <w:sz w:val="18"/>
          <w:szCs w:val="18"/>
          <w:color w:val="auto"/>
        </w:rPr>
        <w:t>. Foreign currency denominated monetary assets and liabilities are re-measured into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using period-end exchange rates. Gains and losses from foreign currency transactions and re-measurement of monetary assets and liabilities into the functional currency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recognition policies for specific sources of revenue are discussed below.</w:t>
      </w:r>
    </w:p>
    <w:p>
      <w:pPr>
        <w:spacing w:after="0" w:line="119"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execution, clearing, trading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upon successful execution of the trade.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company, a fee adjustment is provided to the clearing firm. A reserve is established for estimated fee adjustments to reflect corrections to customer exchange trading privileges. The reserve is based on the historical pattern of adjustments processed as well as management's estimate of future adjustment activity. The company believes the reserve is adequate to cover estimated adjustments as of December 31, 2023 and 2022.</w:t>
      </w:r>
    </w:p>
    <w:p>
      <w:pPr>
        <w:spacing w:after="0" w:line="80"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earned for the dissemination of market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6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include access and communication fees, fees for collateral management, equity membership subscription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trade order routing through agreements from various strategic relationships as well as other services to customers. Revenue is recognized as services are provided.</w:t>
      </w:r>
    </w:p>
    <w:p>
      <w:pPr>
        <w:spacing w:after="0" w:line="65"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Revenue. </w:t>
      </w:r>
      <w:r>
        <w:rPr>
          <w:rFonts w:ascii="Times New Roman" w:cs="Times New Roman" w:eastAsia="Times New Roman" w:hAnsi="Times New Roman"/>
          <w:sz w:val="18"/>
          <w:szCs w:val="18"/>
          <w:color w:val="auto"/>
        </w:rPr>
        <w:t>No clearing firms represented at least approximately 10% of the company's clearing and transaction fee revenue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clearing firm represented at least approximately 10% of the company's clearing and transaction fee revenue in 2022 and 2021. Should a clearing firm 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77"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color w:val="auto"/>
        </w:rPr>
        <w:t>The two largest resellers of market data represented approximately 32% of market data and information services revenue in 2023, 33% in 2022, and 34% in 2021.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6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The company accounts for share-based payments at fair value, which is based on the grant date price of the equity awards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Forfeitures are recognized in the period in which they occur.</w:t>
      </w:r>
    </w:p>
    <w:p>
      <w:pPr>
        <w:spacing w:after="0" w:line="6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Marketing Costs. </w:t>
      </w:r>
      <w:r>
        <w:rPr>
          <w:rFonts w:ascii="Times New Roman" w:cs="Times New Roman" w:eastAsia="Times New Roman" w:hAnsi="Times New Roman"/>
          <w:sz w:val="18"/>
          <w:szCs w:val="18"/>
          <w:color w:val="auto"/>
        </w:rPr>
        <w:t>Marketing costs are incurred for the production and communication of advertising as well as other marketing activities. These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expensed when incurred, except for costs related to the production of broadcast advertising, which are expensed when the first broadcast occurs.</w:t>
      </w:r>
    </w:p>
    <w:p>
      <w:pPr>
        <w:spacing w:after="0" w:line="4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arise from temporary differences between the tax basis and book basis of assets and liabilities. A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recognizes interest and penalties related to uncertain tax positions in income tax expense.</w:t>
      </w:r>
    </w:p>
    <w:p>
      <w:pPr>
        <w:spacing w:after="0" w:line="68"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The company reports the results of its operations as one operating segment primarily comprised of the businesses of CME, CBOT,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NYMEX, COMEX and our cash markets business. The individual operations of the company do not meet the thresholds for reporting separate segment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following accounting pronouncements were issued during 2023:</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an accounting update that requires public entities to provide in interim periods all disclosures about a reportable segment's profit or loss and assets that are currently required annually. Entities are permitted to disclose more than one measure of a segment's profit or loss if such measures are used by the chief operating decision-maker to allocate resources and assess performance, as long as at least one of those measures is determined in a way that is most consistent with the measurement principles used to measure the corresponding amounts in the consolidated financial statements. The guidance is effective beginning with our annual report on Form 10-K for the fiscal year ended December 31, 2024 and for interim periods thereafter. The disclosures must be applied retrospectively to all periods presented in the financial statements and early adoption is permitted. The company does not believe that adoption of this guidance will have a material impact on the consolidated financial statements.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an accounting update that requires public business entities to disclose in their rate reconciliation table additional categories of information about federal, state and foreign income taxes and to provide more details about the reconciling items in certain categories if they meet a quantitative threshold. It is also noted that this guidance requires all entities to disclose annually income taxes paid (net of refunds received) disaggregated by federal, state and foreign taxes and to disaggregate the information by jurisdiction based on a quantitative threshold. The guidance is effective for annual periods beginning in 2025 and may be applied prospectively or retrospectively. The company is in the process of evaluating the impact of this update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electronic trading fees and brokerage commissions, surcharges for privately-negotiated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2023, 2022 and 2021:</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Optimization</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3,765.1</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4,689.7</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4,689.7</w:t>
            </w:r>
          </w:p>
        </w:tc>
      </w:tr>
      <w:tr>
        <w:trPr>
          <w:trHeight w:val="21"/>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2023 were not materially impacted by any other factors. The balance of contract liabilities was $13.2 million and $12.7 million as of December 31, 2023 and 2022,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PERFORMANCE BONDS AND GUARANTY FUND CONTRIBUTIONS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funds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clearing firm is required to deposit and maintain balances in the form of cash, U.S. government securities, certain foreign government securities, bank letters of credit or other approved collateral to satisfy performance bond and guaranty fund requirements. All non-cash deposits and certain cash deposits with foreign currency exposure are marked-to-market and haircut on a daily basis. Securities deposited by the clearing firms are not reflected on the consolidated financial statements and the clearing house does not earn any interest on these deposits. These balances may fluctuate significantly over time due to investment choices available to clearing firms and changes in the amount of contributions required.</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clearing house marks-to-market open positions at least once a day (twice a day for futures and options contracts), and requires payment from clearing firms whose positions have lost value and makes payments to clearing firms whose positions have gained value. The clearing house has the capability to mark-to-market more frequently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extremely unlikely scenario of simultaneous default by every clearing firm who has open positions with unrealized losses, the maximum exposure at the time of default related to positions other than interest rate swap contracts would be one half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During 2023, the clearing house transferred an average of approximately $5.9 billion a day through the clearing system for settlement from clearing firms whose positions had lost value to clearing firms whose positions had gained value. The clearing house reduces its exposure through maintenance performance bond requirements and guaranty fund contributions. For futures and options products, the clearing firms' collateral requirements are sized to cover at least one day of anticipated price movements. For cleared swap products, the clearing firms' collateral requirements are sized to cover at least five days of anticipated price movements.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2023.</w:t>
      </w:r>
    </w:p>
    <w:p>
      <w:pPr>
        <w:spacing w:after="0" w:line="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by the Financial Stability Oversight Council and is authorized to maintain cash accounts at the Federal Reserve Bank of Chicago. At December 31, 2023 and 2022, the clearing house maintained $79.3 billion and $124.9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 margin account would be allocated equally between CME and OCC.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CME has a cross-margin arrangement with Fixed Income Clearing Corporation (FICC) whereby certain of the clearing firms' offsetting positions with CME and FICC are subject to reduced performance bond requirements. Clearing firms maintain separate performance bond deposits with each clearing house, but based on the net offsetting positions between CME and FICC, each clearing house may reduce that firm's performance bond requirements. If a participating firm defaults, the gain or loss on the liquidation of the firm’s open positions and the proceeds from the liquidation of the cross margin account would be allocated between CME and FICC pursuant to a publicly-available cross-margining agreement.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clearing firm for futures and options is required to deposit and maintain specified guaranty fund contributions in the form of cash or U.S. Treasury securities (base guaranty fund).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 potential losses after first utilizing $100.0 million of corporate contributions designated by CME to be used in the event of a default of a clearing firm for the base guaranty fund.</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clearing house maintains a separate guaranty fund to support the clearing firms that clear interest rate swap products (cleared interest rate swaps contract guaranty fund).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2023, guaranty fund contributions available to collateralize the facility were $8.6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clearing house is required under the Commodity Exchange Act in the U.S. to segregate cash and securities deposited by clearing firms from its clearing member customers. In addition, the clearing house requires segregation of all funds deposited by its clearing firms from operating funds.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non-cash deposits held as performance bonds and guaranty fund contributions at fair value at December 31, 2023 and 2022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Non-Cash</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Non-Cash</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94,127.2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Guaranty fund contributions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Cross-margin arrangements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99,716.4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IEF funds include customer-directed investments in IEF funds that are not included on the consolidated balance sheets.</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collateral for delivery and accrued interest earned on collateral reinvestment due to the clearing firms.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Cross-margin arrangements include collateral for the cross-margin accounts with OCC and FICC.</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Cash performance bonds may include intraday settlement, if any, that is owed to the clearing firms and paid the following business day. The balance of intraday settlements was $237.5 million and $436.7 million at December 31, 2023 and 2022, respectively. Intraday settlements may be invested on an overnight basis and are offset by an equal liability owed to clearing firms.</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cash, securities and other non-cash deposits, irrevocable letters of credit may be used as performance bond deposits for clearing firms. At December 31, 2023 and 2022, these letters of credit, which are not included in the accompanying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Letters of Credit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All cash, securities and letters of credit posted as performance bonds are only available to meet the financial obligations of that clearing firm to the clearing house.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property accounts at December 31, 2023 and 2022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66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4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w w:val="99"/>
              </w:rPr>
              <w:t>1 - 10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400" w:type="dxa"/>
            <w:vAlign w:val="bottom"/>
          </w:tcPr>
          <w:p>
            <w:pPr>
              <w:spacing w:after="0"/>
              <w:rPr>
                <w:sz w:val="19"/>
                <w:szCs w:val="19"/>
                <w:color w:val="auto"/>
              </w:rPr>
            </w:pPr>
          </w:p>
        </w:tc>
        <w:tc>
          <w:tcPr>
            <w:tcW w:w="1260" w:type="dxa"/>
            <w:vAlign w:val="bottom"/>
            <w:gridSpan w:val="3"/>
          </w:tcPr>
          <w:p>
            <w:pPr>
              <w:jc w:val="center"/>
              <w:ind w:right="214"/>
              <w:spacing w:after="0"/>
              <w:rPr>
                <w:sz w:val="20"/>
                <w:szCs w:val="20"/>
                <w:color w:val="auto"/>
              </w:rPr>
            </w:pPr>
            <w:r>
              <w:rPr>
                <w:rFonts w:ascii="Times New Roman" w:cs="Times New Roman" w:eastAsia="Times New Roman" w:hAnsi="Times New Roman"/>
                <w:sz w:val="18"/>
                <w:szCs w:val="18"/>
                <w:color w:val="auto"/>
                <w:w w:val="99"/>
              </w:rPr>
              <w:t>3 - 19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4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rPr>
              <w:t>2 - 7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3"/>
          </w:tcPr>
          <w:p>
            <w:pPr>
              <w:jc w:val="center"/>
              <w:ind w:right="214"/>
              <w:spacing w:after="0"/>
              <w:rPr>
                <w:sz w:val="20"/>
                <w:szCs w:val="20"/>
                <w:color w:val="auto"/>
              </w:rPr>
            </w:pPr>
            <w:r>
              <w:rPr>
                <w:rFonts w:ascii="Times New Roman" w:cs="Times New Roman" w:eastAsia="Times New Roman" w:hAnsi="Times New Roman"/>
                <w:sz w:val="18"/>
                <w:szCs w:val="18"/>
                <w:color w:val="auto"/>
              </w:rPr>
              <w:t>2 - 4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2023 and 2022: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gridSpan w:val="2"/>
          </w:tcPr>
          <w:p>
            <w:pPr>
              <w:jc w:val="right"/>
              <w:ind w:right="170"/>
              <w:spacing w:after="0" w:line="12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200" w:type="dxa"/>
            <w:vAlign w:val="bottom"/>
            <w:gridSpan w:val="3"/>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vMerge w:val="continue"/>
          </w:tcPr>
          <w:p>
            <w:pPr>
              <w:spacing w:after="0"/>
              <w:rPr>
                <w:sz w:val="17"/>
                <w:szCs w:val="17"/>
                <w:color w:val="auto"/>
              </w:rPr>
            </w:pPr>
          </w:p>
        </w:tc>
        <w:tc>
          <w:tcPr>
            <w:tcW w:w="12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69.5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Assets—Other, Net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40" w:type="dxa"/>
            <w:vAlign w:val="bottom"/>
            <w:tcBorders>
              <w:top w:val="single" w:sz="8" w:color="CCEEFF"/>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63"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originally assigned useful lives for the amortizable intangible assets as of December 31, 2023 are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3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5 - 30 years</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5 - 9 years</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3 - 24.5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$226.6 million, $227.7 million and $237.6 million for the years ended December 31, 2023, 2022 and 2021, respectively. As of December 31, 2023, the future estimated amortization expense related to amortizable intangible assets is expected to be as follows: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years ended December 31, 2023 and 2022</w:t>
            </w:r>
            <w:r>
              <w:rPr>
                <w:rFonts w:ascii="Times New Roman" w:cs="Times New Roman" w:eastAsia="Times New Roman" w:hAnsi="Times New Roman"/>
                <w:sz w:val="16"/>
                <w:szCs w:val="16"/>
                <w:color w:val="auto"/>
              </w:rPr>
              <w:t>:</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3"/>
                <w:szCs w:val="2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23"/>
                <w:szCs w:val="23"/>
                <w:color w:val="auto"/>
              </w:rPr>
            </w:pPr>
          </w:p>
        </w:tc>
        <w:tc>
          <w:tcPr>
            <w:tcW w:w="118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 xml:space="preserve">Activity </w:t>
            </w: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 Holdings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56"/>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center"/>
              <w:ind w:right="176"/>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center"/>
              <w:ind w:right="34"/>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 xml:space="preserve">Activity </w:t>
            </w: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 Holdings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activity includes currency translation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various long-term investments as described below. The investments are recorded in other assets on the consolidated balance sheets.</w:t>
      </w:r>
    </w:p>
    <w:p>
      <w:pPr>
        <w:spacing w:after="0" w:line="1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DME Holdings Limited. </w:t>
      </w:r>
      <w:r>
        <w:rPr>
          <w:rFonts w:ascii="Times New Roman" w:cs="Times New Roman" w:eastAsia="Times New Roman" w:hAnsi="Times New Roman"/>
          <w:sz w:val="18"/>
          <w:szCs w:val="18"/>
          <w:color w:val="auto"/>
        </w:rPr>
        <w:t>The company owns a 50% interest in DME Holdings Limited (DME Holdings), and accounts for its investment in DME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using the equity method of accounting. The carrying amount of the company's investment in DME Holdings was $13.8 million at December 31, 2023. The company and DME Holdings maintain an agreement for Dubai Mercantile Exchange futures contracts to be exclusively traded on the CME Globex platform.</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OSTTRA. </w:t>
      </w:r>
      <w:r>
        <w:rPr>
          <w:rFonts w:ascii="Times New Roman" w:cs="Times New Roman" w:eastAsia="Times New Roman" w:hAnsi="Times New Roman"/>
          <w:sz w:val="18"/>
          <w:szCs w:val="18"/>
          <w:color w:val="auto"/>
        </w:rPr>
        <w:t>In January 2021, the company announced that it agreed with IHS Markit to combine their post-trade services into a new joint venture.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OSTTRA, was launched in September 2021. OSTTRA performs trade processing and risk mitigation services. The company contributed the net assets of its optimization business, which included Traiana, TriOptima and Reset, to the new joint venture in exchange for $112.5 million in cash and a 50% equity interest in OSTTRA. In September 2021, the company deconsolidated its optimization business. The company recognized a net gain of</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$400.7 million on the transaction in other non-operating income on the consolidated statements of net income during 2021. The company accounts for its investment using the equity method of accounting. The carrying amount of the company's investment in OSTTRA was $1.3 billion at December 31, 2023.</w:t>
      </w:r>
    </w:p>
    <w:p>
      <w:pPr>
        <w:spacing w:after="0" w:line="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S&amp;P Dow Jones Indices LLC. </w:t>
      </w:r>
      <w:r>
        <w:rPr>
          <w:rFonts w:ascii="Times New Roman" w:cs="Times New Roman" w:eastAsia="Times New Roman" w:hAnsi="Times New Roman"/>
          <w:sz w:val="18"/>
          <w:szCs w:val="18"/>
          <w:color w:val="auto"/>
        </w:rPr>
        <w:t>In June 2022, the company invested $410.0 million in S&amp;P Dow Jones Indices LLC, which S&amp;P Dow Jones Indices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as part of the consideration for its acquisition of the IHS Markit index business. The company continues to own a 27% interest in S&amp;P Dow Jones Indices LLC and accounts for its investment in S&amp;P Dow Jones Indices LLC using the equity method of accounting. The carrying amount of the company's investment in S&amp;P Dow Jones Indices LLC was $1.4 billion at December 31, 2023. The company has long-term exclusive licensing agreements with S&amp;P Dow Jones Indices LLC to list products based on the Standard &amp; Poor's Indices and Dow Jones Indices.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Shanghai CFETS-NEX International Money Broking Co., Ltd. </w:t>
      </w:r>
      <w:r>
        <w:rPr>
          <w:rFonts w:ascii="Times New Roman" w:cs="Times New Roman" w:eastAsia="Times New Roman" w:hAnsi="Times New Roman"/>
          <w:sz w:val="18"/>
          <w:szCs w:val="18"/>
          <w:color w:val="auto"/>
        </w:rPr>
        <w:t>The company owns a 33% interest in Shanghai CFETS-NEX International Money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Broking Co., Ltd. (CFETS) and accounts for its investment in CFETS using the equity method of accounting. The carrying amount of the company's investment in CFETS was $51.3 million at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company repaid the €15.0 million fixed rate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December 31, 2023 and 2022 (in U.S. dollar equivalents):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 million fixed rate notes due May 2023, stated rate of 4.30%</w:t>
            </w:r>
          </w:p>
        </w:tc>
        <w:tc>
          <w:tcPr>
            <w:tcW w:w="35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Long-term debt outstanding consisted of the following at December 31, 2023 and 2022 (in U.S. dollar equivalents):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 stated rate of 3.00%</w:t>
            </w:r>
          </w:p>
        </w:tc>
        <w:tc>
          <w:tcPr>
            <w:tcW w:w="3220" w:type="dxa"/>
            <w:vAlign w:val="bottom"/>
            <w:shd w:val="clear" w:color="auto" w:fill="CCEEFF"/>
          </w:tcPr>
          <w:p>
            <w:pPr>
              <w:jc w:val="right"/>
              <w:ind w:right="2981"/>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20" w:type="dxa"/>
            <w:vAlign w:val="bottom"/>
            <w:shd w:val="clear" w:color="auto" w:fill="CCEEFF"/>
          </w:tcPr>
          <w:p>
            <w:pPr>
              <w:spacing w:after="0"/>
              <w:rPr>
                <w:sz w:val="21"/>
                <w:szCs w:val="21"/>
                <w:color w:val="auto"/>
              </w:rPr>
            </w:pPr>
          </w:p>
        </w:tc>
        <w:tc>
          <w:tcPr>
            <w:tcW w:w="440" w:type="dxa"/>
            <w:vAlign w:val="bottom"/>
            <w:gridSpan w:val="3"/>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spacing w:after="0"/>
              <w:rPr>
                <w:sz w:val="14"/>
                <w:szCs w:val="14"/>
                <w:color w:val="auto"/>
              </w:rPr>
            </w:pPr>
          </w:p>
        </w:tc>
        <w:tc>
          <w:tcPr>
            <w:tcW w:w="3580" w:type="dxa"/>
            <w:vAlign w:val="bottom"/>
            <w:gridSpan w:val="3"/>
            <w:shd w:val="clear" w:color="auto" w:fill="CCEEFF"/>
          </w:tcPr>
          <w:p>
            <w:pPr>
              <w:jc w:val="right"/>
              <w:ind w:right="15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3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8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(2)</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3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20" w:type="dxa"/>
            <w:vAlign w:val="bottom"/>
            <w:shd w:val="clear" w:color="auto" w:fill="CCEEFF"/>
          </w:tcPr>
          <w:p>
            <w:pPr>
              <w:spacing w:after="0"/>
              <w:rPr>
                <w:sz w:val="9"/>
                <w:szCs w:val="9"/>
                <w:color w:val="auto"/>
              </w:rPr>
            </w:pPr>
          </w:p>
        </w:tc>
        <w:tc>
          <w:tcPr>
            <w:tcW w:w="322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2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460" w:hanging="652"/>
        <w:spacing w:after="0" w:line="280"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6" w:lineRule="exact"/>
        <w:rPr>
          <w:rFonts w:ascii="Times New Roman" w:cs="Times New Roman" w:eastAsia="Times New Roman" w:hAnsi="Times New Roman"/>
          <w:sz w:val="16"/>
          <w:szCs w:val="16"/>
          <w:color w:val="auto"/>
        </w:rPr>
      </w:pPr>
    </w:p>
    <w:p>
      <w:pPr>
        <w:ind w:left="660" w:right="460" w:hanging="652"/>
        <w:spacing w:after="0" w:line="298"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and long-term debt maturities, at par value (in U.S. dollar equivalents), were as follows as of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31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 w:type="dxa"/>
            <w:vAlign w:val="bottom"/>
          </w:tcPr>
          <w:p>
            <w:pPr>
              <w:spacing w:after="0"/>
              <w:rPr>
                <w:sz w:val="20"/>
                <w:szCs w:val="20"/>
                <w:color w:val="auto"/>
              </w:rPr>
            </w:pPr>
          </w:p>
        </w:tc>
      </w:tr>
      <w:tr>
        <w:trPr>
          <w:trHeight w:val="873"/>
        </w:trPr>
        <w:tc>
          <w:tcPr>
            <w:tcW w:w="3160" w:type="dxa"/>
            <w:vAlign w:val="bottom"/>
          </w:tcPr>
          <w:p>
            <w:pPr>
              <w:spacing w:after="0"/>
              <w:rPr>
                <w:sz w:val="24"/>
                <w:szCs w:val="24"/>
                <w:color w:val="auto"/>
              </w:rPr>
            </w:pPr>
          </w:p>
        </w:tc>
        <w:tc>
          <w:tcPr>
            <w:tcW w:w="688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subject to regulation under a wide variety of U.S., federal, state and foreign tax laws and regulations. Income before income taxes and the income tax provision consisted of the following for the years ended December 31, 2023 and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3,900.5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4,153.6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Reconciliation of the U.S. federal income tax rate (statutory tax rate) to the effective tax rate is as follows: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formation of OSTTRA</w:t>
            </w: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rate change</w:t>
            </w:r>
          </w:p>
        </w:tc>
        <w:tc>
          <w:tcPr>
            <w:tcW w:w="22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94"/>
        </w:trPr>
        <w:tc>
          <w:tcPr>
            <w:tcW w:w="6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Benefit Rate</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2023 and 2022, the effective tax rates were higher than the statutory tax rate. The increases to the effective tax rate for the state taxes were partially offset by the foreign-derived intangible income (FDII) deduction.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2021, the effective tax rate was higher than the statutory tax rate. The increase to the effective tax rate for the state taxes and the impact of the statutory rate change in the United Kingdom was partially offset by the non-taxable gain on the formation of OSTTRA and the FDII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deferred income tax assets (liabilities)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compensation, 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Reported as: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company had domestic and foreign income tax loss carry forwards of $16.0 million and $17.6 million, respectively. These amounts primarily related to losses from the acquisition of NEX Group plc, the acquisition of Pivot, Inc., and losses incurred in the operation of various foreign entities. At December 31, 2023 and 2022, the company determined that it was not more-likely-than-not that certain foreign deferred income tax assets will be fully realized.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valuation allowances of $0.4 million was recorded at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unrecognized tax benefits at December 31, 2023,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264.1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tax impacts in other jurisdictions</w:t>
            </w:r>
          </w:p>
        </w:tc>
        <w:tc>
          <w:tcPr>
            <w:tcW w:w="9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251.9</w:t>
            </w:r>
          </w:p>
        </w:tc>
        <w:tc>
          <w:tcPr>
            <w:tcW w:w="4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264.4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penalties related to uncertain tax positions</w:t>
            </w: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penalties recognized on the consolidated statements of income</w:t>
            </w:r>
          </w:p>
        </w:tc>
        <w:tc>
          <w:tcPr>
            <w:tcW w:w="9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it is reasonably possible that within the next twelve months, unrecognized tax benefits will change by a significant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resulting from the lapse of statutes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taxes in Illinois and multiple other state, local and foreign jurisdictions. As of December 31, 2023, substantially all federal and United Kingdom income tax matters had been concluded through 2013 and state income tax matters have been concluded through 2018.</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Plans. </w:t>
      </w:r>
      <w:r>
        <w:rPr>
          <w:rFonts w:ascii="Times New Roman" w:cs="Times New Roman" w:eastAsia="Times New Roman" w:hAnsi="Times New Roman"/>
          <w:sz w:val="18"/>
          <w:szCs w:val="18"/>
          <w:color w:val="auto"/>
        </w:rPr>
        <w:t>CME maintains a non-contributory defined benefit cash balance pension plan for eligible employees. CME's plan provides for a pay-based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projected benefit obligation: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r>
      <w:tr>
        <w:trPr>
          <w:trHeight w:val="229"/>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accumulated benefit obligation was $323.2 million and $294.4 million at December 31,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fair value of plan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major category of plan assets as of December 31, 2023 and 2022 is indicated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30"/>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Foreign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fair value of pension plan assets had a shortfall of the projected benefit obligation by $0.7 million and the shortfall was recorded as a non-current pension liability in other liabilities. At December 31, 2022, the fair value of pension plan assets exceeded the pension benefit obligation by $15.3 million and the excess was recorded as a non-current pension asset in other assets.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CME's funding goal is to have its pension plan 100% funded at each year-end on a projected benefit obligation basis, while also satisfying any minimum required contribution and obtaining the maximum tax deduction. Year-end 2023 assumptions have been used to project the assets and liabilities from December 31, 2023 to December 31, 2024. The company anticipates based on this projection that an additional contribution of $16.9 million in 2024 will be necessary for it to meet its funding goal. However, the amount of the actual contribution is contingent on various factors, including the actual rate of return on the plan assets during 2024 and the December 31, 2024 discount 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components of net pension expense and the assumptions used to determine the end-of-year projected benefit obligation and net pension expense in aggregate at December 31, 2023 and 2022 and 2021 are indicated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(21.6)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Pension Expense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Assumptions Used to Determine End-of-Year Benefit Obligation: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crediting rate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2023 and 2022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60" w:type="dxa"/>
            <w:vAlign w:val="bottom"/>
          </w:tcPr>
          <w:p>
            <w:pPr>
              <w:ind w:left="8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spacing w:after="0"/>
              <w:rPr>
                <w:sz w:val="16"/>
                <w:szCs w:val="16"/>
                <w:color w:val="auto"/>
              </w:rPr>
            </w:pPr>
          </w:p>
        </w:tc>
        <w:tc>
          <w:tcPr>
            <w:tcW w:w="13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47.1 %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9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equity</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13.6</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2024, management expects the fixed income asset class to be approximately 50% of the portfolio. The target allocation for the equity asset classes is expected to be approximately 50% of the portfolio.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times, the company may determine that it is necessary to place some assets in cash equivalent investments in order to pay expected plan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this, the actual asset allocation for the plan may not fall within the target allocation ranges from time to time.</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balance and activity of actuarial losses for the pension plan, which are included in other comprehensive income (loss), for 2023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0" w:type="dxa"/>
            <w:vAlign w:val="bottom"/>
          </w:tcPr>
          <w:p>
            <w:pPr>
              <w:spacing w:after="0"/>
              <w:rPr>
                <w:sz w:val="1"/>
                <w:szCs w:val="1"/>
                <w:color w:val="auto"/>
              </w:rPr>
            </w:pPr>
          </w:p>
        </w:tc>
      </w:tr>
      <w:tr>
        <w:trPr>
          <w:trHeight w:val="195"/>
        </w:trPr>
        <w:tc>
          <w:tcPr>
            <w:tcW w:w="9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9"/>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as a component of net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2023, anticipated benefit payments from the plan in future years are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Savings Plans. </w:t>
      </w:r>
      <w:r>
        <w:rPr>
          <w:rFonts w:ascii="Times New Roman" w:cs="Times New Roman" w:eastAsia="Times New Roman" w:hAnsi="Times New Roman"/>
          <w:sz w:val="18"/>
          <w:szCs w:val="18"/>
          <w:color w:val="auto"/>
        </w:rPr>
        <w:t>CME maintains a defined contribution savings plan pursuant to Section 401(k) of the Internal Revenue Code, whereby all U.S.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participants and have the option to contribute to this plan. CME matches employee contributions up to 3% of the employee's base salary and may make additional discretionary contributions.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plan for U.S. employees, the company maintains defined contribution savings plans for employees in international locations.</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Aggregate expense for all of the defined contribution savings plans amounted to $19.7 million, $18.3 million and $24.7 million in 2023, 2022 and 2021, respectively.</w:t>
      </w:r>
    </w:p>
    <w:p>
      <w:pPr>
        <w:spacing w:after="0" w:line="5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CME Non-Qualified Plans. </w:t>
      </w:r>
      <w:r>
        <w:rPr>
          <w:rFonts w:ascii="Times New Roman" w:cs="Times New Roman" w:eastAsia="Times New Roman" w:hAnsi="Times New Roman"/>
          <w:sz w:val="18"/>
          <w:szCs w:val="18"/>
          <w:color w:val="auto"/>
        </w:rPr>
        <w:t>CME maintains non-qualified plans, under which participants may make assumed investment choices with respect to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their behalf. Although not required to do so, CME invests such contributions in assets that mirror the assumed investment choices. The balances in these plans are subject to the claims of general creditors of the company and totaled $101.3 million and $84.5 million at December 31, 2023 and 2022, respectively. Although the value of the plans is recorded as an asset in marketable securities on the consolidated balance sheets, there is an equal and offsetting 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7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Savings Plan. </w:t>
      </w:r>
      <w:r>
        <w:rPr>
          <w:rFonts w:ascii="Times New Roman" w:cs="Times New Roman" w:eastAsia="Times New Roman" w:hAnsi="Times New Roman"/>
          <w:sz w:val="18"/>
          <w:szCs w:val="18"/>
          <w:color w:val="auto"/>
        </w:rPr>
        <w:t>CME maintains a supplemental plan to provide benefits for employees who have been impacted by statutory limits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qualified pension and savings plan. Employees in this plan are subject to the vesting requirements of the underlying qualified plans.</w:t>
      </w:r>
    </w:p>
    <w:p>
      <w:pPr>
        <w:spacing w:after="0" w:line="5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A deferred compensation plan is maintained by CME, under which eligible employees and members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contribute a percentage of their compensation and defer income taxes thereon until the time of distribution.</w:t>
      </w:r>
    </w:p>
    <w:p>
      <w:pPr>
        <w:spacing w:after="0" w:line="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COMEX Members' Retirement Plan and Benefits. </w:t>
      </w:r>
      <w:r>
        <w:rPr>
          <w:rFonts w:ascii="Times New Roman" w:cs="Times New Roman" w:eastAsia="Times New Roman" w:hAnsi="Times New Roman"/>
          <w:sz w:val="18"/>
          <w:szCs w:val="18"/>
          <w:color w:val="auto"/>
        </w:rPr>
        <w:t>COMEX maintains a non-qualified retirement and benefit plan under the COMEX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 and Benefits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2023, 2022 and 2021. At December 31, 2023 and 2022, the obligation for the MRRP totaled $8.7 million and $10.3 million, respectively. Assets with a fair value of $10.8 million and $12.0 million have been allocated to this plan at December 31, 2023 and 2022, respectively, and are included in marketable securities and cash and cash equivalents on the consolidated balance sheets. The balances in this plan are subject to the claims of general creditors of COMEX.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leases for datacenters and corporate offices. The operating leases have remaining lease terms of up to 14 years, 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include options to extend or renew the leases for up to an additional five years, and some of which include options to early terminate the leases in less than 12 months. Management evaluates the exercisability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w:t>
      </w:r>
    </w:p>
    <w:p>
      <w:pPr>
        <w:spacing w:after="0" w:line="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short-term and long-term) on the consolidated balance sheets. The discount rate applied to the lease payments represents the company's incremental borrowing rate. The company has elected to utilize the short-term lease exception as prescribed in the leasing standard, such that the company has not capitalized on the balance sheet a lease asset or lease liability for leasing arrangements with a contractual term of 12 months or less from the lease commencement date.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for the years ended December 31, 2023 and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2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years ended December 31, 2023 and 2022: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2"/>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as of December 31, 2023 and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146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272.0</w:t>
            </w:r>
          </w:p>
        </w:tc>
        <w:tc>
          <w:tcPr>
            <w:tcW w:w="1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310.6</w:t>
            </w:r>
          </w:p>
        </w:tc>
      </w:tr>
      <w:tr>
        <w:trPr>
          <w:trHeight w:val="270"/>
        </w:trPr>
        <w:tc>
          <w:tcPr>
            <w:tcW w:w="7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344.0</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383.5</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433.4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c>
          <w:tcPr>
            <w:tcW w:w="12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shd w:val="clear" w:color="auto" w:fill="CCEEFF"/>
          </w:tcPr>
          <w:p>
            <w:pPr>
              <w:spacing w:after="0"/>
              <w:rPr>
                <w:sz w:val="19"/>
                <w:szCs w:val="19"/>
                <w:color w:val="auto"/>
              </w:rPr>
            </w:pPr>
          </w:p>
        </w:tc>
      </w:tr>
      <w:tr>
        <w:trPr>
          <w:trHeight w:val="432"/>
        </w:trPr>
        <w:tc>
          <w:tcPr>
            <w:tcW w:w="7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Future minimum lease payments were as follows as of December 31, 2023 for operating and finance leases: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6"/>
        </w:trPr>
        <w:tc>
          <w:tcPr>
            <w:tcW w:w="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3"/>
        </w:trPr>
        <w:tc>
          <w:tcPr>
            <w:tcW w:w="72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reasonably possible loss or range of reasonably possible losses in the unlikely event it were found to be liable at trial. Based on its investigation to date, the company believes that it has strong factual and legal defenses to the claims.</w:t>
      </w:r>
    </w:p>
    <w:p>
      <w:pPr>
        <w:spacing w:after="0" w:line="2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December 31, 2023 and 2022.</w:t>
      </w:r>
    </w:p>
    <w:p>
      <w:pPr>
        <w:spacing w:after="0" w:line="1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GUARANTEES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May 2024.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one-year period after May 2024 unless either party provides advance notice of its intent to terminate. CME can maintain collateral in the form of irrevocable standby letters of credit. At December 31, 2023, CME was contingently liable to SGX on irrevocable letters of credit totaling $285.0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agricultural products and who suffer losses to their segregated account balances due to their CME clearing member becoming insolvent.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Fund, farmers and ranchers are eligible for up to $25,000 per participant. Farming and ranching cooperatives are eligible for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per cooperative. The Fund has an aggregate maximum payment amount of $100.0 million. Since its establishment, the Fund has made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$2.0 million, which leaves $98.0 million available for future claims. If payments to participants were to exceed this amount,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be pro-rated. Clearing members and customers must register in advance with the company and provide certain documentation in order to substantiate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eligibility. The company believes that its guarantee liability is nominal and therefore has not recorded any liability at December 31,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The following table presents information regarding capital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4,584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authorized</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359,231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B-1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B-2 common stock authorized,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B-3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B-4 common stock authorized,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CME Group has approximately 4.6 million shares of Series G Non-Voting Convertible Preferred Stock (Series G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The Series G preferred stock is non-voting and is convertible into Class A common stock at a specified conversion rate, which is initially 1:1. The Series G preferred stock ranks on a parity basis with the Class 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common stock with respect to dividend and liquidation rights and therefore participates in the earnings and losses of CME Group on the same basis as Class A common stock.</w:t>
      </w:r>
    </w:p>
    <w:p>
      <w:pPr>
        <w:spacing w:after="0" w:line="6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Associated Trading Rights. </w:t>
      </w:r>
      <w:r>
        <w:rPr>
          <w:rFonts w:ascii="Times New Roman" w:cs="Times New Roman" w:eastAsia="Times New Roman" w:hAnsi="Times New Roman"/>
          <w:sz w:val="18"/>
          <w:szCs w:val="18"/>
          <w:color w:val="auto"/>
        </w:rPr>
        <w:t>Members of CME, CBOT, NYMEX and COMEX own or lease trading rights which entitle them access to open outcry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Core Rights. </w:t>
      </w:r>
      <w:r>
        <w:rPr>
          <w:rFonts w:ascii="Times New Roman" w:cs="Times New Roman" w:eastAsia="Times New Roman" w:hAnsi="Times New Roman"/>
          <w:sz w:val="18"/>
          <w:szCs w:val="18"/>
          <w:color w:val="auto"/>
        </w:rPr>
        <w:t>Holders of CME Group Class B common shares have the right to approve changes in specified rights relating to the trading privileges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7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With the exception of the matters reserved to holders of CME Group Class B common stock, holders of CME Group common stock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on all matters for which a vote of common shareholders is required. In these votes, each holder of shares of Class A or Class B common stock of CME Group has one vote per share. The holder of Series G preferred stock does not have any voting rights.</w:t>
      </w:r>
    </w:p>
    <w:p>
      <w:pPr>
        <w:spacing w:after="0" w:line="6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Each class of CME Group Class B common stock is subject to transfer restrictions contained in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Group. These transfer restrictions prohibit the sale or transfer of any shares of Class B common stock separate from the sale of the associated trading rights.</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CME Group board of directors is currently comprised of 23 members. Holders of Class B-1, Class B-2 and Class B-3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6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Holders of Class A and Class B common stock and Series G preferred stock of CME Group are entitled to receive proportionately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if any, as may be declared by the CME Group board of directors.</w:t>
      </w:r>
    </w:p>
    <w:p>
      <w:pPr>
        <w:spacing w:after="0" w:line="4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CME Group Omnibus Stock Plan. </w:t>
      </w:r>
      <w:r>
        <w:rPr>
          <w:rFonts w:ascii="Times New Roman" w:cs="Times New Roman" w:eastAsia="Times New Roman" w:hAnsi="Times New Roman"/>
          <w:sz w:val="18"/>
          <w:szCs w:val="18"/>
          <w:color w:val="auto"/>
        </w:rPr>
        <w:t>CME Group has adopted an Omnibus Stock Plan under which stock-based awards may be made to employees. A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40.2 million Class A common stock shares have been reserved for awards under the plan. Awards totaling 25.6 million shares have been granted and are outstanding or have been exercised under this plan at December 31, 2023 (See note 15 for further discussion).</w:t>
      </w:r>
    </w:p>
    <w:p>
      <w:pPr>
        <w:spacing w:after="0" w:line="63"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Director Stock Plan. </w:t>
      </w:r>
      <w:r>
        <w:rPr>
          <w:rFonts w:ascii="Times New Roman" w:cs="Times New Roman" w:eastAsia="Times New Roman" w:hAnsi="Times New Roman"/>
          <w:sz w:val="18"/>
          <w:szCs w:val="18"/>
          <w:color w:val="auto"/>
        </w:rPr>
        <w:t>CME Group has adopted a Director Stock Plan under which awards are made to non-executive directors as part of their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Effective May 4, 2022, the number of Class A available shares reserved under the plan was increased from 625,000 to 725,000, and approximately 469,322 shares have been awarded through December 31, 2023.</w:t>
      </w:r>
    </w:p>
    <w:p>
      <w:pPr>
        <w:spacing w:after="0" w:line="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CME Group has adopted an Employee Stock Purchase Plan (ESPP) under which employees may purchase Class A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90% of the market value of the shares using after-tax payroll deductions. Effective May 4, 2022, the number of Class A shares reserved under the plan was increased from 500,000 to 800,000, of which approximately 473,101 shares have been purchased through December 31, 2023 (See note 15 for further discussion).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PAYMENTS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adopted an Omnibus Stock Plan under which stock-based awards may be made to employees. A total of 40.2 million Class A shares have been reserved for awards under the plan. Awards totaling 25.6 million shares have been granted and are outstanding or have been exercised under the plan as of December 31, 2023. Awards granted generally vest over a four-year period, with 25% vesting one year after the grant date and on that same date in each of the following three years.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Total compensation expense for all stock-related awards (including ESPP) and total income tax benefit recognized on the consolidated statements of income for these awards at December 31, 2023 and 2022 and 2021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2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recognized</w:t>
            </w:r>
          </w:p>
        </w:tc>
        <w:tc>
          <w:tcPr>
            <w:tcW w:w="3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8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At December 31, 2023, there was $131.1 million of total unrecognized compensation expense related to employee stock-based compensation arrangements that had not yet vested. The total unrecognized expense is expected to be recognized over a weighted average period of 2.2 years.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2023, the company granted 370,024 shares of restricted Class A common stock and restricted stock units with respect to 10,774 shares of Class A common stock. Restricted common stock and restricted stock units generally have a vesting period of two to four years. The fair value related to these grants was $78.4 million, which is recognized as compensation expense on an accelerated basis over the vesting period. Dividends are accrued on restricted Class A common stock and restricted stock units and are paid once the restricted stock vests. In 2023, the company also granted 84,397 performance shares. The fair value related to these grants was $19.0 million, which is recognized as compensation expense on a straight-lined basis over the vesting period. The vesting of these shares is contingent on meeting stated performance or market conditions, generally measured over a three-year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restricted stock units and performance shares activity for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1"/>
                <w:szCs w:val="11"/>
                <w:color w:val="auto"/>
              </w:rPr>
            </w:pPr>
          </w:p>
        </w:tc>
        <w:tc>
          <w:tcPr>
            <w:tcW w:w="1260" w:type="dxa"/>
            <w:vAlign w:val="bottom"/>
          </w:tcPr>
          <w:p>
            <w:pPr>
              <w:jc w:val="center"/>
              <w:ind w:right="19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1,117,459</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468,675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(240,707)</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(245,547)</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1,099,880</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restricted stock units and performance shares that vested during 2023, 2022 and 2021 was $49.6 million, $52.2 million and $65.7 million, respectively.</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2023, 2022 and 2021, a total of 40,960, 41,722 and 37,861 shares, respectively, of Class A common stock were issued to participating employees. These shares are subject to a six-month holding period. Annual expense of $0.8 million for the purchase discount was recognized in 2023, 2022 and 2021.</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Non-executive directors receive an annual award of Class A common stock with a value equal to $145,000. Non-executive directors could also elect to receive some or all of the cash portion of their annual stipend, up to $95,000, in shares of stock based on the closing price at the date of distribution. As a result, 19,966 shares, 18,836 shares and 13,769 shares of Class A common stock were issued to non-executive directors during 2023, 2022 and 2021, respectively. These shares are not subject to any vesting restrictions. Expense of $3.6 million, $3.6 million and $2.9 million related to these stock-based payments was recognized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0" w:type="dxa"/>
            <w:vAlign w:val="bottom"/>
          </w:tcPr>
          <w:p>
            <w:pPr>
              <w:spacing w:after="0"/>
              <w:rPr>
                <w:sz w:val="13"/>
                <w:szCs w:val="13"/>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 included in net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8"/>
              </w:rPr>
              <w:t>(3.6)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8"/>
              </w:rPr>
              <w:t>(2.7)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8"/>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color w:val="auto"/>
                <w:w w:val="98"/>
              </w:rPr>
              <w:t>(1.4)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 w:type="dxa"/>
            <w:vAlign w:val="bottom"/>
          </w:tcPr>
          <w:p>
            <w:pPr>
              <w:spacing w:after="0"/>
              <w:rPr>
                <w:sz w:val="21"/>
                <w:szCs w:val="21"/>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21"/>
                <w:szCs w:val="21"/>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5"/>
              </w:rPr>
              <w:t>67.0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5"/>
              </w:rPr>
              <w:t>66.1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11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recorded at fair value on the consolidated balance sheets as of December 31, 2023 and 2022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asset's fair value measurement.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During 2023, the company recognized net unrealized losses of $1.4 million on equity investments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The fair value of these investments were estimated to be $8.6 million at December 31, 2023. This fair value assessments were based on quantitative factors, including observable price changes. The fair value measurements of these investments are considered level 3 and non-recurring.</w:t>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long-term debt notes, which are carried at amortized cost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The fair values below are classified as level 2 under the fair value hierarchy and were estimated using quoted market prices in inactive markets.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fair values (in U.S. dollar equivalents)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7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3"/>
        </w:trPr>
        <w:tc>
          <w:tcPr>
            <w:tcW w:w="63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w:t>
            </w:r>
          </w:p>
        </w:tc>
        <w:tc>
          <w:tcPr>
            <w:tcW w:w="37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733.8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3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489.3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37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669.0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37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37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641.0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Series G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stock awards were as follows for the years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years presented:</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overdistributed earnings allocated to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Effect of stock options and stock awards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period covered by this report that have materially affected, or are reasonably likely to materially affect, the company's internal control over financial reporting. There were no changes in the company’s internal control over financial reporting which occurred during the fourth quarter of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2023.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believes that, as of December 31, 2023, our internal control over financial reporting is effective. The effectiveness of our internal control over financial reporting as of December 31, 2023 has been audited by Ernst &amp; Young LLP (PCAOB ID 42), an independent registered public accounting firm, as stated in the report on page 84.</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CME Group Inc. and subsidiaries (the Company) as of December 31, 2023 and 2022, the related consolidated statements of income, comprehensive income, equity, and cash flows for each of the three years in the period ended December 31, 2023,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52" w:lineRule="exact"/>
        <w:rPr>
          <w:sz w:val="20"/>
          <w:szCs w:val="20"/>
          <w:color w:val="auto"/>
        </w:rPr>
      </w:pPr>
    </w:p>
    <w:p>
      <w:pPr>
        <w:jc w:val="both"/>
        <w:ind w:left="2100" w:hanging="2078"/>
        <w:spacing w:after="0" w:line="242" w:lineRule="auto"/>
        <w:tabs>
          <w:tab w:leader="none" w:pos="208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9 to the consolidated financial statements, the Company had unrecognized income tax benefits of $264.1 million related to uncertain tax positions as of December 31, 2023. Uncertainty in a tax position may arise due to the application of complex tax regulations. The Company uses significant judgment to (1) determine whether, based on the technical merits, the tax position is more likely than not to be sustained upon examination and (2) measure the amount of the tax benefit that qualifies for recognition.</w:t>
      </w:r>
    </w:p>
    <w:p>
      <w:pPr>
        <w:spacing w:after="0" w:line="160" w:lineRule="exact"/>
        <w:rPr>
          <w:sz w:val="20"/>
          <w:szCs w:val="20"/>
          <w:color w:val="auto"/>
        </w:rPr>
      </w:pPr>
    </w:p>
    <w:p>
      <w:pPr>
        <w:jc w:val="both"/>
        <w:ind w:left="2100"/>
        <w:spacing w:after="0" w:line="242" w:lineRule="auto"/>
        <w:rPr>
          <w:sz w:val="20"/>
          <w:szCs w:val="20"/>
          <w:color w:val="auto"/>
        </w:rPr>
      </w:pPr>
      <w:r>
        <w:rPr>
          <w:rFonts w:ascii="Times New Roman" w:cs="Times New Roman" w:eastAsia="Times New Roman" w:hAnsi="Times New Roman"/>
          <w:sz w:val="18"/>
          <w:szCs w:val="18"/>
          <w:color w:val="auto"/>
        </w:rPr>
        <w:t>Auditing management’s estimate of the Company’s uncertain tax positions that qualified for recognition and the related unrecognized income tax benefits was especially challenging because management’s estimate involved significant judgment in evaluating the technical merits of the positions, including interpretations of applicable tax laws and regulations.</w:t>
      </w:r>
    </w:p>
    <w:p>
      <w:pPr>
        <w:spacing w:after="0" w:line="20"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tested the Company’s controls that address the risk of material misstatement relating to the recognition and measurement</w:t>
      </w:r>
    </w:p>
    <w:p>
      <w:pPr>
        <w:spacing w:after="0" w:line="18" w:lineRule="exact"/>
        <w:rPr>
          <w:sz w:val="20"/>
          <w:szCs w:val="20"/>
          <w:color w:val="auto"/>
        </w:rPr>
      </w:pPr>
    </w:p>
    <w:p>
      <w:pPr>
        <w:jc w:val="both"/>
        <w:ind w:left="2100" w:hanging="2078"/>
        <w:spacing w:after="0" w:line="239" w:lineRule="auto"/>
        <w:tabs>
          <w:tab w:leader="none" w:pos="208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of uncertain tax positions. For example, we tested controls over the Company’s assessment of the technical merits of tax positions and management’s process to measure the benefit of those tax positions that qualified for recognition, including management’s review of the inputs used in the calculations.</w:t>
      </w:r>
    </w:p>
    <w:p>
      <w:pPr>
        <w:spacing w:after="0" w:line="158" w:lineRule="exact"/>
        <w:rPr>
          <w:sz w:val="20"/>
          <w:szCs w:val="20"/>
          <w:color w:val="auto"/>
        </w:rPr>
      </w:pPr>
    </w:p>
    <w:p>
      <w:pPr>
        <w:jc w:val="both"/>
        <w:ind w:left="2100"/>
        <w:spacing w:after="0" w:line="239" w:lineRule="auto"/>
        <w:rPr>
          <w:sz w:val="20"/>
          <w:szCs w:val="20"/>
          <w:color w:val="auto"/>
        </w:rPr>
      </w:pPr>
      <w:r>
        <w:rPr>
          <w:rFonts w:ascii="Times New Roman" w:cs="Times New Roman" w:eastAsia="Times New Roman" w:hAnsi="Times New Roman"/>
          <w:sz w:val="18"/>
          <w:szCs w:val="18"/>
          <w:color w:val="auto"/>
        </w:rPr>
        <w:t>We involved our tax professionals to evaluate the technical merits of the Company's tax positions. Our audit procedures included, among others, evaluating the assumptions the Company used to develop its uncertain tax positions and related unrecognized income tax benefit amount by jurisdiction. We also tested the completeness and accuracy of the underlying data used by the Company to calculate its uncertain tax positions, inspected correspondence with relevant tax authorities, and evaluated third-party advice obtained and used by the Company in assessing the technical merits of its tax positions.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CME Group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of December 31, 2023,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equity and cash flows for each of the three years in the period ended December 31, 2023, and the related notes and financial statement schedule listed in the Index at Item 15(a) and our report dated February 28,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12529"/>
        </w:rPr>
        <w:t>quarter ended</w:t>
      </w:r>
      <w:r>
        <w:rPr>
          <w:rFonts w:ascii="Times New Roman" w:cs="Times New Roman" w:eastAsia="Times New Roman" w:hAnsi="Times New Roman"/>
          <w:sz w:val="18"/>
          <w:szCs w:val="18"/>
          <w:color w:val="auto"/>
        </w:rPr>
        <w:t xml:space="preserve"> December 31, 2023, no director or officer of the Company adopted or terminated a “Rule 10b5-1 trading arrangement” or “non-Rule 10b5-1 trading arrangement,” as each term is defined in Item 408(a) of Regulation S-K.</w:t>
      </w:r>
    </w:p>
    <w:p>
      <w:pPr>
        <w:spacing w:after="0" w:line="104" w:lineRule="exact"/>
        <w:rPr>
          <w:sz w:val="20"/>
          <w:szCs w:val="20"/>
          <w:color w:val="auto"/>
        </w:rPr>
      </w:pPr>
    </w:p>
    <w:p>
      <w:pPr>
        <w:ind w:right="2980"/>
        <w:spacing w:after="0" w:line="367"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r>
        <w:rPr>
          <w:rFonts w:ascii="Arial" w:cs="Arial" w:eastAsia="Arial" w:hAnsi="Arial"/>
          <w:sz w:val="18"/>
          <w:szCs w:val="18"/>
          <w:b w:val="1"/>
          <w:bCs w:val="1"/>
          <w:color w:val="auto"/>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 xml:space="preserve">We have adopted written codes of conduct applicable to all of our employees, including our Chairman and Chief Executive Officer, Chief Financial Officer, Chief Accounting Officer and other senior financial officers. In accordance with SEC rules and regulations, copies of these codes of conduct are available on our website at </w:t>
      </w:r>
      <w:r>
        <w:rPr>
          <w:rFonts w:ascii="Times New Roman" w:cs="Times New Roman" w:eastAsia="Times New Roman" w:hAnsi="Times New Roman"/>
          <w:sz w:val="17"/>
          <w:szCs w:val="17"/>
          <w:i w:val="1"/>
          <w:iCs w:val="1"/>
          <w:color w:val="auto"/>
        </w:rPr>
        <w:t>www.cmegroup.com</w:t>
      </w:r>
      <w:r>
        <w:rPr>
          <w:rFonts w:ascii="Times New Roman" w:cs="Times New Roman" w:eastAsia="Times New Roman" w:hAnsi="Times New Roman"/>
          <w:sz w:val="17"/>
          <w:szCs w:val="17"/>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 Business - Available Information."</w:t>
      </w:r>
    </w:p>
    <w:p>
      <w:pPr>
        <w:spacing w:after="0" w:line="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CME Group’s definitive proxy statement for the Annual Meeting of Shareholders to be held on May 9, 2024, to be filed by CME Group with the SEC pursuant to Regulation 14A within 120 days after December 31, 2023 (Proxy Statement). Additional information called for by this item is contained in Item 1 of this Annual Report on Form 10-K under the caption "Information about our Executive Officers."</w:t>
      </w:r>
    </w:p>
    <w:p>
      <w:pPr>
        <w:spacing w:after="0" w:line="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SHAREHOLDER MATTERS</w:t>
      </w:r>
    </w:p>
    <w:p>
      <w:pPr>
        <w:spacing w:after="0" w:line="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15 of the notes to consolidated financial statements. The numbers in the following table are as of December 31, 2023.</w:t>
      </w: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00" w:type="dxa"/>
            <w:vAlign w:val="bottom"/>
          </w:tcPr>
          <w:p>
            <w:pPr>
              <w:jc w:val="center"/>
              <w:ind w:left="219"/>
              <w:spacing w:after="0" w:line="17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40" w:type="dxa"/>
            <w:vAlign w:val="bottom"/>
            <w:gridSpan w:val="3"/>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2180" w:type="dxa"/>
            <w:vAlign w:val="bottom"/>
          </w:tcPr>
          <w:p>
            <w:pPr>
              <w:spacing w:after="0"/>
              <w:rPr>
                <w:sz w:val="14"/>
                <w:szCs w:val="14"/>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 Available for Future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80" w:type="dxa"/>
            <w:vAlign w:val="bottom"/>
          </w:tcPr>
          <w:p>
            <w:pPr>
              <w:spacing w:after="0"/>
              <w:rPr>
                <w:sz w:val="14"/>
                <w:szCs w:val="14"/>
                <w:color w:val="auto"/>
              </w:rPr>
            </w:pPr>
          </w:p>
        </w:tc>
        <w:tc>
          <w:tcPr>
            <w:tcW w:w="2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Exercise Price</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tcPr>
          <w:p>
            <w:pPr>
              <w:jc w:val="center"/>
              <w:ind w:left="21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3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 Compensation Plans</w:t>
            </w:r>
          </w:p>
        </w:tc>
        <w:tc>
          <w:tcPr>
            <w:tcW w:w="0" w:type="dxa"/>
            <w:vAlign w:val="bottom"/>
          </w:tcPr>
          <w:p>
            <w:pPr>
              <w:spacing w:after="0"/>
              <w:rPr>
                <w:sz w:val="1"/>
                <w:szCs w:val="1"/>
                <w:color w:val="auto"/>
              </w:rPr>
            </w:pPr>
          </w:p>
        </w:tc>
      </w:tr>
      <w:tr>
        <w:trPr>
          <w:trHeight w:val="214"/>
        </w:trPr>
        <w:tc>
          <w:tcPr>
            <w:tcW w:w="34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Options (a)</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of Outstanding Options</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 column (a))</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15,173,649</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tcPr>
          <w:p>
            <w:pPr>
              <w:spacing w:after="0"/>
              <w:rPr>
                <w:sz w:val="21"/>
                <w:szCs w:val="2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15,173,649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CME Group's definitive proxy statement for the Annual Meeting of Shareholders to be held on May 9,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appear in the Proxy Statement and is incorporated herein by reference.</w:t>
      </w:r>
    </w:p>
    <w:p>
      <w:pPr>
        <w:spacing w:after="0" w:line="1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Financial Statement Schedules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at December 31, 2023 and 2022</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2023, 2022 and 2021</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2023, 2022 and 2021</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2023, 2022 and 2021</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 Schedule is filed as part of this Annual Report on Form 10-K:</w:t>
      </w:r>
    </w:p>
    <w:p>
      <w:pPr>
        <w:spacing w:after="0" w:line="1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00" w:hanging="652"/>
        <w:spacing w:after="0" w:line="26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write-offs of doubtful accounts, foreign currency and write-offs of fully reserved deferred tax assets. Other activity for the allowance for doubtful accounts also includes the impact of the adoption of new guidance on credit losses in 2020.</w:t>
      </w:r>
    </w:p>
    <w:p>
      <w:pPr>
        <w:spacing w:after="0" w:line="1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08"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 Exhibits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2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52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14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307" w:lineRule="exact"/>
        <w:rPr>
          <w:sz w:val="20"/>
          <w:szCs w:val="20"/>
          <w:color w:val="auto"/>
        </w:rPr>
      </w:pPr>
    </w:p>
    <w:p>
      <w:pPr>
        <w:ind w:left="1260" w:hanging="1234"/>
        <w:spacing w:after="0"/>
        <w:tabs>
          <w:tab w:leader="none" w:pos="126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3.1</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Fourth Amended and Restated Certificate of Incorporation of CME Group Inc., as amended (incorporated by</w:t>
              </w:r>
            </w:hyperlink>
          </w:p>
        </w:tc>
      </w:tr>
      <w:tr>
        <w:trPr>
          <w:trHeight w:val="156"/>
        </w:trPr>
        <w:tc>
          <w:tcPr>
            <w:tcW w:w="12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reference to Exhibit 3.2 to CME Group Inc.'s Current Report on Form 8-K, filed with the SEC on November</w:t>
              </w:r>
            </w:hyperlink>
          </w:p>
        </w:tc>
        <w:tc>
          <w:tcPr>
            <w:tcW w:w="660" w:type="dxa"/>
            <w:vAlign w:val="bottom"/>
            <w:tcBorders>
              <w:bottom w:val="single" w:sz="8" w:color="0000FF"/>
            </w:tcBorders>
            <w:gridSpan w:val="3"/>
          </w:tcPr>
          <w:p>
            <w:pPr>
              <w:jc w:val="right"/>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4, 2021).</w:t>
              </w:r>
            </w:hyperlink>
          </w:p>
        </w:tc>
      </w:tr>
      <w:tr>
        <w:trPr>
          <w:trHeight w:val="27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3.2</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Seventeenth Amended and Restated Bylaws of CME Group Inc. (incorporated by reference to Exhibit 3.1 to CME</w:t>
              </w:r>
            </w:hyperlink>
          </w:p>
        </w:tc>
      </w:tr>
      <w:tr>
        <w:trPr>
          <w:trHeight w:val="156"/>
        </w:trPr>
        <w:tc>
          <w:tcPr>
            <w:tcW w:w="1240" w:type="dxa"/>
            <w:vAlign w:val="bottom"/>
          </w:tcPr>
          <w:p>
            <w:pPr>
              <w:spacing w:after="0"/>
              <w:rPr>
                <w:sz w:val="13"/>
                <w:szCs w:val="13"/>
                <w:color w:val="auto"/>
              </w:rPr>
            </w:pPr>
          </w:p>
        </w:tc>
        <w:tc>
          <w:tcPr>
            <w:tcW w:w="61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Group Inc.’s Current Report on Form 8-K, filed with the SEC on December 9, 2022).</w:t>
              </w:r>
            </w:hyperlink>
          </w:p>
        </w:tc>
        <w:tc>
          <w:tcPr>
            <w:tcW w:w="208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3.3</w:t>
            </w:r>
          </w:p>
        </w:tc>
        <w:tc>
          <w:tcPr>
            <w:tcW w:w="8500" w:type="dxa"/>
            <w:vAlign w:val="bottom"/>
            <w:gridSpan w:val="6"/>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Certificate of Designations of Series G Non-Voting Convertible Preferred Stock (incorporated by reference to Exhibit</w:t>
              </w:r>
            </w:hyperlink>
          </w:p>
        </w:tc>
      </w:tr>
      <w:tr>
        <w:trPr>
          <w:trHeight w:val="156"/>
        </w:trPr>
        <w:tc>
          <w:tcPr>
            <w:tcW w:w="1240" w:type="dxa"/>
            <w:vAlign w:val="bottom"/>
          </w:tcPr>
          <w:p>
            <w:pPr>
              <w:spacing w:after="0"/>
              <w:rPr>
                <w:sz w:val="13"/>
                <w:szCs w:val="13"/>
                <w:color w:val="auto"/>
              </w:rPr>
            </w:pPr>
          </w:p>
        </w:tc>
        <w:tc>
          <w:tcPr>
            <w:tcW w:w="84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CME Group Inc.'s Current Report on Form 8-K, filed with the SEC on November 4, 2021).</w:t>
              </w:r>
            </w:hyperlink>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6" w:lineRule="exact"/>
        <w:rPr>
          <w:sz w:val="20"/>
          <w:szCs w:val="20"/>
          <w:color w:val="auto"/>
        </w:rPr>
      </w:pPr>
    </w:p>
    <w:p>
      <w:pPr>
        <w:ind w:left="1260" w:hanging="1234"/>
        <w:spacing w:after="0"/>
        <w:tabs>
          <w:tab w:leader="none" w:pos="126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Instruments Defining the Rights of Security Holders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4.1</w:t>
            </w:r>
          </w:p>
        </w:tc>
        <w:tc>
          <w:tcPr>
            <w:tcW w:w="8500" w:type="dxa"/>
            <w:vAlign w:val="bottom"/>
            <w:gridSpan w:val="10"/>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Amended and Restated Commercial Paper Dealer Agreement, dated as of October 20, 2014, among CME Group Inc.,</w:t>
              </w:r>
            </w:hyperlink>
          </w:p>
        </w:tc>
      </w:tr>
      <w:tr>
        <w:trPr>
          <w:trHeight w:val="156"/>
        </w:trPr>
        <w:tc>
          <w:tcPr>
            <w:tcW w:w="1240" w:type="dxa"/>
            <w:vAlign w:val="bottom"/>
          </w:tcPr>
          <w:p>
            <w:pPr>
              <w:spacing w:after="0"/>
              <w:rPr>
                <w:sz w:val="13"/>
                <w:szCs w:val="13"/>
                <w:color w:val="auto"/>
              </w:rPr>
            </w:pPr>
          </w:p>
        </w:tc>
        <w:tc>
          <w:tcPr>
            <w:tcW w:w="84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as Issuer, and Barclays Capital Inc., as Dealer (incorporated by reference to Exhibit 4.1 to CME Group Inc.'s Form</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10-K, filed with the SEC on February 26, 2015).</w:t>
              </w:r>
            </w:hyperlink>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1"/>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4.2</w:t>
            </w:r>
          </w:p>
        </w:tc>
        <w:tc>
          <w:tcPr>
            <w:tcW w:w="8500" w:type="dxa"/>
            <w:vAlign w:val="bottom"/>
            <w:gridSpan w:val="1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r>
      <w:tr>
        <w:trPr>
          <w:trHeight w:val="156"/>
        </w:trPr>
        <w:tc>
          <w:tcPr>
            <w:tcW w:w="1240" w:type="dxa"/>
            <w:vAlign w:val="bottom"/>
          </w:tcPr>
          <w:p>
            <w:pPr>
              <w:spacing w:after="0"/>
              <w:rPr>
                <w:sz w:val="13"/>
                <w:szCs w:val="13"/>
                <w:color w:val="auto"/>
              </w:rPr>
            </w:pPr>
          </w:p>
        </w:tc>
        <w:tc>
          <w:tcPr>
            <w:tcW w:w="82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Exhibit 4.3 to CME Group Inc.'s 10-K, filed with the SEC on February 26, 2015).</w:t>
              </w:r>
            </w:hyperlink>
          </w:p>
        </w:tc>
        <w:tc>
          <w:tcPr>
            <w:tcW w:w="216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7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4.3</w:t>
            </w:r>
          </w:p>
        </w:tc>
        <w:tc>
          <w:tcPr>
            <w:tcW w:w="82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Amended and Restated Commercial Paper Dealer Agreement, dated as of October 20, 2014, between CME Group</w:t>
              </w:r>
            </w:hyperlink>
          </w:p>
        </w:tc>
        <w:tc>
          <w:tcPr>
            <w:tcW w:w="260" w:type="dxa"/>
            <w:vAlign w:val="bottom"/>
            <w:gridSpan w:val="4"/>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8500" w:type="dxa"/>
            <w:vAlign w:val="bottom"/>
            <w:gridSpan w:val="10"/>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 as Issuer, and Goldman, Sachs &amp; Co., as Dealer (incorporated by reference to Exhibit 4.4 to CME Group Inc.'s</w:t>
              </w:r>
            </w:hyperlink>
          </w:p>
        </w:tc>
      </w:tr>
      <w:tr>
        <w:trPr>
          <w:trHeight w:val="155"/>
        </w:trPr>
        <w:tc>
          <w:tcPr>
            <w:tcW w:w="1240" w:type="dxa"/>
            <w:vAlign w:val="bottom"/>
          </w:tcPr>
          <w:p>
            <w:pPr>
              <w:spacing w:after="0"/>
              <w:rPr>
                <w:sz w:val="13"/>
                <w:szCs w:val="13"/>
                <w:color w:val="auto"/>
              </w:rPr>
            </w:pPr>
          </w:p>
        </w:tc>
        <w:tc>
          <w:tcPr>
            <w:tcW w:w="83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10-K, filed with the SEC on February 26, 2015).</w:t>
              </w:r>
            </w:hyperlink>
          </w:p>
        </w:tc>
        <w:tc>
          <w:tcPr>
            <w:tcW w:w="1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br w:type="column"/>
      </w:r>
    </w:p>
    <w:p>
      <w:pPr>
        <w:ind w:right="1620"/>
        <w:spacing w:after="0" w:line="263" w:lineRule="auto"/>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Indenture, dated August 12, 2008, between CME Group Inc. and U.S. Bank National Association (incorporated by</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reference to Exhibit 4.1 to CME Group Inc.’s Current Report on Form 8-K, filed with the SEC on August 13, 2008).</w:t>
        </w:r>
      </w:hyperlink>
    </w:p>
    <w:p>
      <w:pPr>
        <w:spacing w:after="0" w:line="17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Sixth Supplemental Indenture (including the form of 5.300% note due 2043), dated as of September 9, 2013, between</w:t>
        </w:r>
      </w:hyperlink>
    </w:p>
    <w:p>
      <w:pPr>
        <w:spacing w:after="0" w:line="14" w:lineRule="exact"/>
        <w:rPr>
          <w:sz w:val="20"/>
          <w:szCs w:val="20"/>
          <w:color w:val="auto"/>
        </w:rPr>
      </w:pPr>
    </w:p>
    <w:p>
      <w:pPr>
        <w:jc w:val="both"/>
        <w:ind w:right="1580"/>
        <w:spacing w:after="0" w:line="22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CME Group Inc. and U.S. Bank National Association (incorporated by reference to Exhibit 4.2 to CME Group Inc.'s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Current Report on Form 8-K, filed with the SEC on September 9, 2013).</w:t>
        </w:r>
      </w:hyperlink>
    </w:p>
    <w:p>
      <w:pPr>
        <w:spacing w:after="0" w:line="144" w:lineRule="exact"/>
        <w:rPr>
          <w:sz w:val="20"/>
          <w:szCs w:val="20"/>
          <w:color w:val="auto"/>
        </w:rPr>
      </w:pPr>
    </w:p>
    <w:p>
      <w:pPr>
        <w:jc w:val="both"/>
        <w:ind w:right="1580"/>
        <w:spacing w:after="0" w:line="22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Seventh Supplemental Indenture (including the form of 3.000% note due 2025), dated as of March 9, 2015, between</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CME Group Inc. and U.S. Bank National Association (incorporated by reference to Exhibit 4.2 to CME Group Inc.'s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Current Report on Form 8-K, filed with the SEC on March 9, 2015).</w:t>
        </w:r>
      </w:hyperlink>
    </w:p>
    <w:p>
      <w:pPr>
        <w:spacing w:after="0" w:line="9" w:lineRule="exact"/>
        <w:rPr>
          <w:rFonts w:ascii="Times New Roman" w:cs="Times New Roman" w:eastAsia="Times New Roman" w:hAnsi="Times New Roman"/>
          <w:sz w:val="18"/>
          <w:szCs w:val="18"/>
          <w:u w:val="single" w:color="auto"/>
          <w:color w:val="0000FF"/>
        </w:rPr>
      </w:pPr>
    </w:p>
    <w:p>
      <w:pPr>
        <w:ind w:right="1580"/>
        <w:spacing w:after="0" w:line="22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Eighth Supplemental Indenture (including the form of 3.750% note due 2028), dated as of June 21, 2018, between</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CME Group Inc. and U.S. Bank National Association (incorporated by reference to Exhibit 4.2 to CME Group Inc.'s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Current Report on Form 8-K, filed with the SEC on June 21, 2018).</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720"/>
            <w:col w:w="998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8420" w:type="dxa"/>
            <w:vAlign w:val="bottom"/>
            <w:gridSpan w:val="9"/>
          </w:tcPr>
          <w:p>
            <w:pPr>
              <w:spacing w:after="0" w:line="203"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Ninth Supplemental Indenture (including the form of 4.150% note due 2048), dated as of June 21, 2018, between</w:t>
              </w:r>
            </w:hyperlink>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8420" w:type="dxa"/>
            <w:vAlign w:val="bottom"/>
            <w:gridSpan w:val="9"/>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CME Group Inc. and U.S. Bank National Association (incorporated by reference to Exhibit 4.3 to CME Group Inc.'s</w:t>
              </w:r>
            </w:hyperlink>
          </w:p>
        </w:tc>
      </w:tr>
      <w:tr>
        <w:trPr>
          <w:trHeight w:val="155"/>
        </w:trPr>
        <w:tc>
          <w:tcPr>
            <w:tcW w:w="1240" w:type="dxa"/>
            <w:vAlign w:val="bottom"/>
          </w:tcPr>
          <w:p>
            <w:pPr>
              <w:spacing w:after="0"/>
              <w:rPr>
                <w:sz w:val="13"/>
                <w:szCs w:val="13"/>
                <w:color w:val="auto"/>
              </w:rPr>
            </w:pPr>
          </w:p>
        </w:tc>
        <w:tc>
          <w:tcPr>
            <w:tcW w:w="84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Current Report on Form 8-K, filed with the SEC on June 21, 2018).</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8420" w:type="dxa"/>
            <w:vAlign w:val="bottom"/>
            <w:gridSpan w:val="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Tenth Supplemental Indenture (including the form of 2.650% Notes due 2032), dated as of March 8, 2022, between</w:t>
              </w:r>
            </w:hyperlink>
          </w:p>
        </w:tc>
      </w:tr>
      <w:tr>
        <w:trPr>
          <w:trHeight w:val="156"/>
        </w:trPr>
        <w:tc>
          <w:tcPr>
            <w:tcW w:w="1240" w:type="dxa"/>
            <w:vAlign w:val="bottom"/>
          </w:tcPr>
          <w:p>
            <w:pPr>
              <w:spacing w:after="0"/>
              <w:rPr>
                <w:sz w:val="13"/>
                <w:szCs w:val="13"/>
                <w:color w:val="auto"/>
              </w:rPr>
            </w:pPr>
          </w:p>
        </w:tc>
        <w:tc>
          <w:tcPr>
            <w:tcW w:w="83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CME Group Inc. and U.S. Bank Trust Company, National Association (incorporated by reference to Exhibit 4.2 to</w:t>
              </w:r>
            </w:hyperlink>
          </w:p>
        </w:tc>
        <w:tc>
          <w:tcPr>
            <w:tcW w:w="12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CME Group Inc.’s Current Report on Form 8-K filed with the SEC on March 8, 2022).</w:t>
              </w:r>
            </w:hyperlink>
          </w:p>
        </w:tc>
        <w:tc>
          <w:tcPr>
            <w:tcW w:w="198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3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8420" w:type="dxa"/>
            <w:vAlign w:val="bottom"/>
            <w:gridSpan w:val="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Description of securities (incorporated by reference to Exhibit 4.11 to CME Group Inc's Form 10-K, filed with the</w:t>
              </w:r>
            </w:hyperlink>
          </w:p>
        </w:tc>
      </w:tr>
      <w:tr>
        <w:trPr>
          <w:trHeight w:val="155"/>
        </w:trPr>
        <w:tc>
          <w:tcPr>
            <w:tcW w:w="124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SEC on February 2, 2022).</w:t>
              </w:r>
            </w:hyperlink>
          </w:p>
        </w:tc>
        <w:tc>
          <w:tcPr>
            <w:tcW w:w="6280" w:type="dxa"/>
            <w:vAlign w:val="bottom"/>
            <w:tcBorders>
              <w:top w:val="single" w:sz="8" w:color="0000FF"/>
            </w:tcBorders>
            <w:gridSpan w:val="4"/>
          </w:tcPr>
          <w:p>
            <w:pPr>
              <w:spacing w:after="0"/>
              <w:rPr>
                <w:sz w:val="13"/>
                <w:szCs w:val="13"/>
                <w:color w:val="auto"/>
              </w:rPr>
            </w:pPr>
          </w:p>
        </w:tc>
        <w:tc>
          <w:tcPr>
            <w:tcW w:w="200" w:type="dxa"/>
            <w:vAlign w:val="bottom"/>
            <w:gridSpan w:val="4"/>
          </w:tcPr>
          <w:p>
            <w:pPr>
              <w:spacing w:after="0"/>
              <w:rPr>
                <w:sz w:val="13"/>
                <w:szCs w:val="13"/>
                <w:color w:val="auto"/>
              </w:rPr>
            </w:pPr>
          </w:p>
        </w:tc>
      </w:tr>
    </w:tbl>
    <w:p>
      <w:pPr>
        <w:spacing w:after="0" w:line="86" w:lineRule="exact"/>
        <w:rPr>
          <w:sz w:val="20"/>
          <w:szCs w:val="20"/>
          <w:color w:val="auto"/>
        </w:rPr>
      </w:pPr>
    </w:p>
    <w:p>
      <w:pPr>
        <w:ind w:left="1260" w:hanging="1234"/>
        <w:spacing w:after="0"/>
        <w:tabs>
          <w:tab w:leader="none" w:pos="126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CME Group Inc. Third Amended and Restated Omnibus Stock Plan, amended and restated as of May 4, 2022</w:t>
              </w:r>
            </w:hyperlink>
          </w:p>
        </w:tc>
      </w:tr>
      <w:tr>
        <w:trPr>
          <w:trHeight w:val="155"/>
        </w:trPr>
        <w:tc>
          <w:tcPr>
            <w:tcW w:w="1260" w:type="dxa"/>
            <w:vAlign w:val="bottom"/>
          </w:tcPr>
          <w:p>
            <w:pPr>
              <w:spacing w:after="0"/>
              <w:rPr>
                <w:sz w:val="13"/>
                <w:szCs w:val="13"/>
                <w:color w:val="auto"/>
              </w:rPr>
            </w:pPr>
          </w:p>
        </w:tc>
        <w:tc>
          <w:tcPr>
            <w:tcW w:w="78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10.1 to CME Group Inc.'s Form 10-Q, filed with the SEC on August 3,</w:t>
              </w:r>
            </w:hyperlink>
          </w:p>
        </w:tc>
        <w:tc>
          <w:tcPr>
            <w:tcW w:w="500" w:type="dxa"/>
            <w:vAlign w:val="bottom"/>
            <w:gridSpan w:val="2"/>
          </w:tcPr>
          <w:p>
            <w:pPr>
              <w:jc w:val="right"/>
              <w:ind w:right="60"/>
              <w:spacing w:after="0" w:line="156" w:lineRule="exact"/>
              <w:rPr>
                <w:rFonts w:ascii="Times New Roman" w:cs="Times New Roman" w:eastAsia="Times New Roman" w:hAnsi="Times New Roman"/>
                <w:sz w:val="18"/>
                <w:szCs w:val="18"/>
                <w:color w:val="0000FF"/>
                <w:w w:val="90"/>
              </w:rPr>
            </w:pPr>
            <w:hyperlink r:id="rId132">
              <w:r>
                <w:rPr>
                  <w:rFonts w:ascii="Times New Roman" w:cs="Times New Roman" w:eastAsia="Times New Roman" w:hAnsi="Times New Roman"/>
                  <w:sz w:val="18"/>
                  <w:szCs w:val="18"/>
                  <w:color w:val="0000FF"/>
                  <w:w w:val="90"/>
                </w:rPr>
                <w:t>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CME Group Inc. Director Stock Plan, amended and restated as of May 4, 2022 (incorporated by reference to Exhibit</w:t>
              </w:r>
            </w:hyperlink>
          </w:p>
        </w:tc>
      </w:tr>
      <w:tr>
        <w:trPr>
          <w:trHeight w:val="155"/>
        </w:trPr>
        <w:tc>
          <w:tcPr>
            <w:tcW w:w="126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99.</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CME Group Inc.’s Form S-8, filed with the SEC on June 9, 2022).</w:t>
              </w:r>
            </w:hyperlink>
          </w:p>
        </w:tc>
        <w:tc>
          <w:tcPr>
            <w:tcW w:w="30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Equity Stipend Grant Letter for Non-Executive Directors (incorporated by reference to Exhibit 10.5 to CME</w:t>
              </w:r>
            </w:hyperlink>
          </w:p>
        </w:tc>
      </w:tr>
      <w:tr>
        <w:trPr>
          <w:trHeight w:val="155"/>
        </w:trPr>
        <w:tc>
          <w:tcPr>
            <w:tcW w:w="1260" w:type="dxa"/>
            <w:vAlign w:val="bottom"/>
          </w:tcPr>
          <w:p>
            <w:pPr>
              <w:spacing w:after="0"/>
              <w:rPr>
                <w:sz w:val="13"/>
                <w:szCs w:val="13"/>
                <w:color w:val="auto"/>
              </w:rPr>
            </w:pPr>
          </w:p>
        </w:tc>
        <w:tc>
          <w:tcPr>
            <w:tcW w:w="4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Group Inc.'s Form 10-K, filed with the SEC on March 1, 2018).</w:t>
              </w:r>
            </w:hyperlink>
          </w:p>
        </w:tc>
        <w:tc>
          <w:tcPr>
            <w:tcW w:w="38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10.4(1)</w:t>
            </w:r>
          </w:p>
        </w:tc>
        <w:tc>
          <w:tcPr>
            <w:tcW w:w="9980" w:type="dxa"/>
            <w:vAlign w:val="bottom"/>
            <w:gridSpan w:val="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CME Group Inc. Employee Stock Purchase Plan, amended and restated as of May 4, 2022 (incorporated by reference</w:t>
              </w:r>
            </w:hyperlink>
          </w:p>
        </w:tc>
      </w:tr>
      <w:tr>
        <w:trPr>
          <w:trHeight w:val="155"/>
        </w:trPr>
        <w:tc>
          <w:tcPr>
            <w:tcW w:w="1260" w:type="dxa"/>
            <w:vAlign w:val="bottom"/>
          </w:tcPr>
          <w:p>
            <w:pPr>
              <w:spacing w:after="0"/>
              <w:rPr>
                <w:sz w:val="13"/>
                <w:szCs w:val="13"/>
                <w:color w:val="auto"/>
              </w:rPr>
            </w:pPr>
          </w:p>
        </w:tc>
        <w:tc>
          <w:tcPr>
            <w:tcW w:w="84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to Exhibit 99.2 to CME Group Inc.’s Form S-8, filed with the SEC on June 9, 2022).</w:t>
              </w:r>
            </w:hyperlink>
          </w:p>
        </w:tc>
        <w:tc>
          <w:tcPr>
            <w:tcW w:w="1540" w:type="dxa"/>
            <w:vAlign w:val="bottom"/>
          </w:tcPr>
          <w:p>
            <w:pPr>
              <w:spacing w:after="0"/>
              <w:rPr>
                <w:sz w:val="13"/>
                <w:szCs w:val="13"/>
                <w:color w:val="auto"/>
              </w:rPr>
            </w:pPr>
          </w:p>
        </w:tc>
      </w:tr>
      <w:tr>
        <w:trPr>
          <w:trHeight w:val="911"/>
        </w:trPr>
        <w:tc>
          <w:tcPr>
            <w:tcW w:w="1260" w:type="dxa"/>
            <w:vAlign w:val="bottom"/>
          </w:tcPr>
          <w:p>
            <w:pPr>
              <w:spacing w:after="0"/>
              <w:rPr>
                <w:sz w:val="24"/>
                <w:szCs w:val="24"/>
                <w:color w:val="auto"/>
              </w:rPr>
            </w:pPr>
          </w:p>
        </w:tc>
        <w:tc>
          <w:tcPr>
            <w:tcW w:w="4580" w:type="dxa"/>
            <w:vAlign w:val="bottom"/>
            <w:tcBorders>
              <w:top w:val="single" w:sz="8" w:color="0000FF"/>
            </w:tcBorders>
          </w:tcPr>
          <w:p>
            <w:pPr>
              <w:ind w:left="4280"/>
              <w:spacing w:after="0"/>
              <w:rPr>
                <w:sz w:val="20"/>
                <w:szCs w:val="20"/>
                <w:color w:val="auto"/>
              </w:rPr>
            </w:pPr>
            <w:r>
              <w:rPr>
                <w:rFonts w:ascii="Times New Roman" w:cs="Times New Roman" w:eastAsia="Times New Roman" w:hAnsi="Times New Roman"/>
                <w:sz w:val="18"/>
                <w:szCs w:val="18"/>
                <w:color w:val="auto"/>
              </w:rPr>
              <w:t>87</w:t>
            </w:r>
          </w:p>
        </w:tc>
        <w:tc>
          <w:tcPr>
            <w:tcW w:w="7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gridSpan w:val="3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8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580" w:type="dxa"/>
            <w:vAlign w:val="bottom"/>
            <w:tcBorders>
              <w:top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0000FF"/>
              </w:rPr>
              <w:t>Third Amendment to Chicago Mercantile Exchange Inc. Senior Management Supplemental Deferred Savings Plan, as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39"/>
          </w:tcPr>
          <w:p>
            <w:pPr>
              <w:spacing w:after="0" w:line="156" w:lineRule="exact"/>
              <w:rPr>
                <w:sz w:val="20"/>
                <w:szCs w:val="20"/>
                <w:color w:val="auto"/>
              </w:rPr>
            </w:pPr>
            <w:r>
              <w:rPr>
                <w:rFonts w:ascii="Times New Roman" w:cs="Times New Roman" w:eastAsia="Times New Roman" w:hAnsi="Times New Roman"/>
                <w:sz w:val="18"/>
                <w:szCs w:val="18"/>
                <w:color w:val="0000FF"/>
              </w:rPr>
              <w:t>of December 6, 2023 (filed herewith). Second Amendment to Chicago Mercantile Exchange Inc. Senior Management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tcBorders>
              <w:top w:val="single" w:sz="8" w:color="0000FF"/>
            </w:tcBorders>
            <w:gridSpan w:val="36"/>
          </w:tcPr>
          <w:p>
            <w:pPr>
              <w:spacing w:after="0" w:line="169" w:lineRule="exact"/>
              <w:rPr>
                <w:sz w:val="20"/>
                <w:szCs w:val="20"/>
                <w:color w:val="auto"/>
              </w:rPr>
            </w:pPr>
            <w:r>
              <w:rPr>
                <w:rFonts w:ascii="Times New Roman" w:cs="Times New Roman" w:eastAsia="Times New Roman" w:hAnsi="Times New Roman"/>
                <w:sz w:val="18"/>
                <w:szCs w:val="18"/>
                <w:color w:val="0000FF"/>
              </w:rPr>
              <w:t>Supplemental Deferred Savings Plan, as of June 1, 2023 (filed herewith). First Amendment to Chicago Mercantile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Inc. Senior Management Supplemental Deferred Savings Plan, as of January 1, 2020 (filed herewith).</w:t>
            </w:r>
          </w:p>
        </w:tc>
        <w:tc>
          <w:tcPr>
            <w:tcW w:w="1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gridSpan w:val="41"/>
          </w:tcPr>
          <w:p>
            <w:pPr>
              <w:spacing w:after="0" w:line="156" w:lineRule="exact"/>
              <w:rPr>
                <w:sz w:val="20"/>
                <w:szCs w:val="20"/>
                <w:color w:val="auto"/>
              </w:rPr>
            </w:pPr>
            <w:r>
              <w:rPr>
                <w:rFonts w:ascii="Times New Roman" w:cs="Times New Roman" w:eastAsia="Times New Roman" w:hAnsi="Times New Roman"/>
                <w:sz w:val="18"/>
                <w:szCs w:val="18"/>
                <w:color w:val="0000FF"/>
              </w:rPr>
              <w:t>Chicago Mercantile Exchange Inc. Senior Management Supplemental Deferred Savings Plan (SMSDSP), Amended</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31"/>
          </w:tcPr>
          <w:p>
            <w:pPr>
              <w:spacing w:after="0" w:line="169" w:lineRule="exact"/>
              <w:rPr>
                <w:sz w:val="20"/>
                <w:szCs w:val="20"/>
                <w:color w:val="auto"/>
              </w:rPr>
            </w:pPr>
            <w:r>
              <w:rPr>
                <w:rFonts w:ascii="Times New Roman" w:cs="Times New Roman" w:eastAsia="Times New Roman" w:hAnsi="Times New Roman"/>
                <w:sz w:val="18"/>
                <w:szCs w:val="18"/>
                <w:color w:val="0000FF"/>
                <w:w w:val="99"/>
              </w:rPr>
              <w:t>and Restated as of January 1, 2017 (incorporated by reference to Exhibit 10.1 to CME Group Inc.'s Form 10-Q, filed</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with the SEC on August 2, 2017).</w:t>
            </w:r>
          </w:p>
        </w:tc>
        <w:tc>
          <w:tcPr>
            <w:tcW w:w="596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Chicago Mercantile Exchange Inc. Directors' Deferred Compensation Plan, amended and restated as of January 1,</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2009 (incorporated by reference to Exhibit 10.9 to CME Group Inc.'s Form 10-K, filed with the SEC on March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8">
              <w:r>
                <w:rPr>
                  <w:rFonts w:ascii="Times New Roman" w:cs="Times New Roman" w:eastAsia="Times New Roman" w:hAnsi="Times New Roman"/>
                  <w:sz w:val="18"/>
                  <w:szCs w:val="18"/>
                  <w:color w:val="0000FF"/>
                  <w:w w:val="94"/>
                </w:rPr>
                <w:t>2009).</w:t>
              </w:r>
            </w:hyperlink>
          </w:p>
        </w:tc>
        <w:tc>
          <w:tcPr>
            <w:tcW w:w="7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Recognition and Retention Plan for Members of the COMEX Division of New York Mercantile Exchange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(incorporated by reference to Exhibit 10.11 to NYMEX Holdings, Inc.'s Form 10-K, filed with the SEC on</w:t>
              </w:r>
            </w:hyperlink>
          </w:p>
        </w:tc>
        <w:tc>
          <w:tcPr>
            <w:tcW w:w="940" w:type="dxa"/>
            <w:vAlign w:val="bottom"/>
            <w:gridSpan w:val="28"/>
          </w:tcPr>
          <w:p>
            <w:pPr>
              <w:ind w:left="80"/>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March 29,</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2001)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Amendment to the Recognition and Retention Plan for Members of the COMEX Division of the New York</w:t>
              </w:r>
            </w:hyperlink>
          </w:p>
        </w:tc>
        <w:tc>
          <w:tcPr>
            <w:tcW w:w="18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gridSpan w:val="41"/>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Mercantile Exchange, dated October 22, 2015 (incorporated by reference to Exhibit 10.1 to CME Group Inc.'s Form</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10-Q, filed with the SEC on November 6, 2015).</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as Issuer, and Barclays Capital Inc., as Dealer (incorporated by reference to Exhibit 4.1 above).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Exhibit 4.2 above).</w:t>
              </w:r>
            </w:hyperlink>
          </w:p>
        </w:tc>
        <w:tc>
          <w:tcPr>
            <w:tcW w:w="666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 as Issuer, and Goldman, Sachs &amp; Co., as Dealer (incorporated by reference to Exhibit 4.3 above).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5 to Credit Agreement, dated as of April 28, 2021, among Chicago Mercantile Exchange Inc.,</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certain lenders, Bank of America, N.A., as Administrative Agent, and Citibank, N.A., as Collateral Agent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Collateral Monitoring Agent. The Amended Credit Agreement, as amended through Amendment No. 5, among</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gridSpan w:val="41"/>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Chicago Mercantile Exchange Inc., certain lenders, Bank of America, N.A., as Administrative Agent, and Citibank,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N.A., as Collateral Agent and Collateral Monitoring Agent, is attached as Annex A to Amendment No. 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Exhibit 10.1 to CME Group Inc.'s Current Report on Form 8-K, filed with</w:t>
              </w:r>
            </w:hyperlink>
          </w:p>
        </w:tc>
        <w:tc>
          <w:tcPr>
            <w:tcW w:w="1040" w:type="dxa"/>
            <w:vAlign w:val="bottom"/>
            <w:gridSpan w:val="29"/>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 SEC on</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April 29, 2021).</w:t>
              </w:r>
            </w:hyperlink>
          </w:p>
        </w:tc>
        <w:tc>
          <w:tcPr>
            <w:tcW w:w="7180" w:type="dxa"/>
            <w:vAlign w:val="bottom"/>
            <w:tcBorders>
              <w:top w:val="single" w:sz="8" w:color="0000FF"/>
            </w:tcBorders>
            <w:gridSpan w:val="28"/>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6 to Credit Agreement, dated as of April 27, 2022, among Chicago Mercantile Exchange Inc., 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of America, N.A., in its capacity as administrative agent, Citibank, N.A., in its capacity as collateral agent and</w:t>
              </w:r>
            </w:hyperlink>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collateral monitoring agent, and the banks party thereto. The Amended Credit Agreement, as amended through</w:t>
              </w:r>
            </w:hyperlink>
          </w:p>
        </w:tc>
        <w:tc>
          <w:tcPr>
            <w:tcW w:w="6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Amendment No. 6, among Chicago Mercantile Exchange Inc., each of the banks party thereto, Bank of America,</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N.A., in its capacity as administrative agent, and Citibank, N.A., in its capacity as collateral agent and collateral</w:t>
              </w:r>
            </w:hyperlink>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gridSpan w:val="41"/>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monitoring agent, is attached as Annex A to Amendment No. 6 (incorporated by reference to Exhibit 10.1 to CME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Group Inc.’s Current Report on Form 8-K, filed with the SEC on April 28, 2022).</w:t>
              </w:r>
            </w:hyperlink>
          </w:p>
        </w:tc>
        <w:tc>
          <w:tcPr>
            <w:tcW w:w="2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7 to Credit Agreement, dated as of April 26, 2023, among Chicago Mercantile Exchange Inc., 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of America, N.A., in its capacity as administrative agent, Citibank, N.A., in its capacity as collateral agent and</w:t>
              </w:r>
            </w:hyperlink>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collateral monitoring agent, and the banks party thereto. The Amended Credit Agreement, as amended through</w:t>
              </w:r>
            </w:hyperlink>
          </w:p>
        </w:tc>
        <w:tc>
          <w:tcPr>
            <w:tcW w:w="300" w:type="dxa"/>
            <w:vAlign w:val="bottom"/>
            <w:gridSpan w:val="10"/>
          </w:tcPr>
          <w:p>
            <w:pPr>
              <w:spacing w:after="0"/>
              <w:rPr>
                <w:sz w:val="14"/>
                <w:szCs w:val="14"/>
                <w:color w:val="auto"/>
              </w:rPr>
            </w:pPr>
          </w:p>
        </w:tc>
        <w:tc>
          <w:tcPr>
            <w:tcW w:w="28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Amendment No. 7, among Chicago Mercantile Exchange Inc., each of the banks party thereto, Bank of America,</w:t>
              </w:r>
            </w:hyperlink>
          </w:p>
        </w:tc>
        <w:tc>
          <w:tcPr>
            <w:tcW w:w="240" w:type="dxa"/>
            <w:vAlign w:val="bottom"/>
            <w:gridSpan w:val="9"/>
          </w:tcPr>
          <w:p>
            <w:pPr>
              <w:spacing w:after="0"/>
              <w:rPr>
                <w:sz w:val="13"/>
                <w:szCs w:val="13"/>
                <w:color w:val="auto"/>
              </w:rPr>
            </w:pPr>
          </w:p>
        </w:tc>
        <w:tc>
          <w:tcPr>
            <w:tcW w:w="28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N.A., in its capacity as administrative agent, and Citibank, N.A., in its capacity as collateral agent and collateral</w:t>
              </w:r>
            </w:hyperlink>
          </w:p>
        </w:tc>
        <w:tc>
          <w:tcPr>
            <w:tcW w:w="60" w:type="dxa"/>
            <w:vAlign w:val="bottom"/>
            <w:tcBorders>
              <w:top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gridSpan w:val="41"/>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monitoring agent, is attached as Annex A to Amendment No. 7 (incorporated by reference to Exhibit 10.1 to CME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Group Inc.’s Current Report on Form 8-K, filed with the SEC on April 28, 2023).</w:t>
              </w:r>
            </w:hyperlink>
          </w:p>
        </w:tc>
        <w:tc>
          <w:tcPr>
            <w:tcW w:w="2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Equity Grant Letter for Restricted Shares (incorporated by reference to Exhibit 10.1 to CME Group Inc.'s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10-Q, filed with the SEC on November 3, 2021).</w:t>
              </w:r>
            </w:hyperlink>
          </w:p>
        </w:tc>
        <w:tc>
          <w:tcPr>
            <w:tcW w:w="28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80" w:type="dxa"/>
            <w:vAlign w:val="bottom"/>
            <w:gridSpan w:val="2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Equity Grant Letter for Annual Grant of Performance Shares (incorporated by reference to Exhibit 10.1(1)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CME Group Inc.’s Form 10-Q, filed with the SEC on November 1, 2023)</w:t>
              </w:r>
            </w:hyperlink>
          </w:p>
        </w:tc>
        <w:tc>
          <w:tcPr>
            <w:tcW w:w="3220" w:type="dxa"/>
            <w:vAlign w:val="bottom"/>
            <w:tcBorders>
              <w:top w:val="single" w:sz="8" w:color="0000FF"/>
            </w:tcBorders>
            <w:gridSpan w:val="3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Credit Agreement, dated as of November 12, 2021, among CME Group Inc., certain lenders, agents, arrangers,</w:t>
              </w:r>
            </w:hyperlink>
          </w:p>
        </w:tc>
        <w:tc>
          <w:tcPr>
            <w:tcW w:w="6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gridSpan w:val="4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bookrunners, and Bank of America, N.A., as Administrative Agent (incorporated by reference to Exhibit 10.1 to CME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6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Group Inc.'s Current Report on Form 8-K, filed with the SEC on November 16,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9"/>
            <w:shd w:val="clear" w:color="auto" w:fill="0000FF"/>
          </w:tcPr>
          <w:p>
            <w:pPr>
              <w:spacing w:after="0" w:line="20" w:lineRule="exact"/>
              <w:rPr>
                <w:sz w:val="1"/>
                <w:szCs w:val="1"/>
                <w:color w:val="auto"/>
              </w:rPr>
            </w:pPr>
          </w:p>
        </w:tc>
        <w:tc>
          <w:tcPr>
            <w:tcW w:w="236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1"/>
          </w:tcPr>
          <w:p>
            <w:pPr>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License Agreement, dated June 29, 2012, between Standard &amp; Poor’s Financial Services LLC and Chicago</w:t>
              </w:r>
            </w:hyperlink>
          </w:p>
        </w:tc>
        <w:tc>
          <w:tcPr>
            <w:tcW w:w="0" w:type="dxa"/>
            <w:vAlign w:val="bottom"/>
          </w:tcPr>
          <w:p>
            <w:pPr>
              <w:spacing w:after="0"/>
              <w:rPr>
                <w:sz w:val="1"/>
                <w:szCs w:val="1"/>
                <w:color w:val="auto"/>
              </w:rPr>
            </w:pPr>
          </w:p>
        </w:tc>
      </w:tr>
    </w:tbl>
    <w:p>
      <w:pPr>
        <w:ind w:left="1260" w:right="519"/>
        <w:spacing w:after="0" w:line="233"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Mercantile Exchange Inc. (incorporated by reference to Exhibit 10.5 to CME Group Inc.'s Form 10-Q, filed with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SEC on August 3, 2022).</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10.18(1)</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gridSpan w:val="20"/>
          </w:tcPr>
          <w:p>
            <w:pPr>
              <w:spacing w:after="0" w:line="188"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CME Group Inc. Severance Plan, as amended and restated, effective March 7, 2023 (incorporated by reference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Exhibit 10.1 to CME Group Inc.’s Form 8-K, filed with the SEC on March 10, 2023).</w:t>
              </w:r>
            </w:hyperlink>
          </w:p>
        </w:tc>
        <w:tc>
          <w:tcPr>
            <w:tcW w:w="200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Retirement Agreement, effective as of March 29, 2023, between Chicago Mercantile Exchange Inc. and Sean Tully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(incorporated by reference to Exhibit 10.1 to CME Group Inc.’s Form 8-K, filed with the SEC on March 30, 2023).</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Retirement Agreement, effective as of November 8, 2023, between Chicago Mercantile Exchange Inc. and John</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Pietrowicz (incorporated by reference to Exhibit 10.1 to CME Group Inc.’s Form 8-K, filed with the SEC on</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November 13, 2023).</w:t>
              </w:r>
            </w:hyperlink>
          </w:p>
        </w:tc>
        <w:tc>
          <w:tcPr>
            <w:tcW w:w="6260" w:type="dxa"/>
            <w:vAlign w:val="bottom"/>
            <w:tcBorders>
              <w:top w:val="single" w:sz="8" w:color="0000FF"/>
            </w:tcBorders>
            <w:gridSpan w:val="8"/>
          </w:tcPr>
          <w:p>
            <w:pPr>
              <w:spacing w:after="0"/>
              <w:rPr>
                <w:sz w:val="14"/>
                <w:szCs w:val="14"/>
                <w:color w:val="auto"/>
              </w:rPr>
            </w:pPr>
          </w:p>
        </w:tc>
        <w:tc>
          <w:tcPr>
            <w:tcW w:w="32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CME Group Inc. Annual Incentive Plan, as amended and restated effective as of October 2, 2023 (incorporated by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reference to Exhibit 10.2 to CME Group Inc.’s Form 8-K, filed with the SEC on November 13, 2023).</w:t>
              </w:r>
            </w:hyperlink>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Amended and Restated Agreement, effective as of December 6, 2023, between CME Group Inc. and Terrence A.</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Duffy (incorporated by reference to Exhibit 10.1 to CME Group Inc.’s Form 8-K, filed with the SEC on December</w:t>
              </w:r>
            </w:hyperlink>
          </w:p>
        </w:tc>
        <w:tc>
          <w:tcPr>
            <w:tcW w:w="420" w:type="dxa"/>
            <w:vAlign w:val="bottom"/>
            <w:gridSpan w:val="7"/>
          </w:tcPr>
          <w:p>
            <w:pPr>
              <w:jc w:val="right"/>
              <w:ind w:right="100"/>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2">
              <w:r>
                <w:rPr>
                  <w:rFonts w:ascii="Times New Roman" w:cs="Times New Roman" w:eastAsia="Times New Roman" w:hAnsi="Times New Roman"/>
                  <w:sz w:val="18"/>
                  <w:szCs w:val="18"/>
                  <w:color w:val="0000FF"/>
                  <w:w w:val="94"/>
                </w:rPr>
                <w:t>2023).</w:t>
              </w:r>
            </w:hyperlink>
          </w:p>
        </w:tc>
        <w:tc>
          <w:tcPr>
            <w:tcW w:w="10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List of Subsidiaries of CME Group Inc.</w:t>
            </w: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w:t>
            </w:r>
          </w:p>
        </w:tc>
        <w:tc>
          <w:tcPr>
            <w:tcW w:w="540" w:type="dxa"/>
            <w:vAlign w:val="bottom"/>
            <w:tcBorders>
              <w:top w:val="single" w:sz="8" w:color="0000FF"/>
            </w:tcBorders>
          </w:tcPr>
          <w:p>
            <w:pPr>
              <w:spacing w:after="0"/>
              <w:rPr>
                <w:sz w:val="24"/>
                <w:szCs w:val="24"/>
                <w:color w:val="auto"/>
              </w:rPr>
            </w:pPr>
          </w:p>
        </w:tc>
        <w:tc>
          <w:tcPr>
            <w:tcW w:w="57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302—Certification of Terrence A. Duffy.</w:t>
            </w: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Section 302—Certification of Lynne Fitzpatrick.</w:t>
            </w:r>
          </w:p>
        </w:tc>
        <w:tc>
          <w:tcPr>
            <w:tcW w:w="20" w:type="dxa"/>
            <w:vAlign w:val="bottom"/>
            <w:tcBorders>
              <w:top w:val="single" w:sz="8" w:color="0000FF"/>
            </w:tcBorders>
          </w:tcPr>
          <w:p>
            <w:pPr>
              <w:spacing w:after="0"/>
              <w:rPr>
                <w:sz w:val="22"/>
                <w:szCs w:val="22"/>
                <w:color w:val="auto"/>
              </w:rPr>
            </w:pPr>
          </w:p>
        </w:tc>
        <w:tc>
          <w:tcPr>
            <w:tcW w:w="502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CME Group Inc. Compensation Recoupment Policy for Executive Officers effective as of October 2, 2023.</w:t>
            </w:r>
          </w:p>
        </w:tc>
        <w:tc>
          <w:tcPr>
            <w:tcW w:w="8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60" w:right="399" w:hanging="1234"/>
        <w:spacing w:after="0" w:line="220"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Annual Report on Form 10-K for the year ended December 31, 2023,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the Notes to Consolidated Financial Statements, tagged as blocks of text.</w:t>
      </w:r>
    </w:p>
    <w:p>
      <w:pPr>
        <w:spacing w:after="0" w:line="64" w:lineRule="exact"/>
        <w:rPr>
          <w:sz w:val="20"/>
          <w:szCs w:val="20"/>
          <w:color w:val="auto"/>
        </w:rPr>
      </w:pPr>
    </w:p>
    <w:p>
      <w:pPr>
        <w:ind w:left="1260" w:right="979" w:hanging="1234"/>
        <w:spacing w:after="0" w:line="237"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CME Group Inc.'s Annual Report on Form 10-K for the year ended December 31, 2023, formatted in Inline XBRL.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6" w:lineRule="exact"/>
        <w:rPr>
          <w:sz w:val="20"/>
          <w:szCs w:val="20"/>
          <w:color w:val="auto"/>
        </w:rPr>
      </w:pPr>
    </w:p>
    <w:p>
      <w:pPr>
        <w:ind w:left="1340" w:hanging="1314"/>
        <w:spacing w:after="0"/>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2024.</w:t>
      </w:r>
    </w:p>
    <w:p>
      <w:pPr>
        <w:spacing w:after="0" w:line="1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297" w:lineRule="exact"/>
        <w:rPr>
          <w:sz w:val="20"/>
          <w:szCs w:val="20"/>
          <w:color w:val="auto"/>
        </w:rPr>
      </w:pPr>
    </w:p>
    <w:p>
      <w:pPr>
        <w:ind w:left="552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89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Lynne Fitzpatrick</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Senior Managing Director and Chief Financial Officer</w:t>
      </w:r>
    </w:p>
    <w:p>
      <w:pPr>
        <w:spacing w:after="0" w:line="304"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in the City of Chicago and State of Illinois on the 28th day of February, 2024.</w:t>
      </w: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480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Terrence A. Duffy</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Lynne Fitzpatrick</w:t>
      </w:r>
    </w:p>
    <w:p>
      <w:pPr>
        <w:spacing w:after="0" w:line="102" w:lineRule="exact"/>
        <w:rPr>
          <w:sz w:val="20"/>
          <w:szCs w:val="20"/>
          <w:color w:val="auto"/>
        </w:rPr>
      </w:pPr>
    </w:p>
    <w:p>
      <w:pPr>
        <w:jc w:val="center"/>
        <w:ind w:left="50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JACK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Jack Tobin</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KATHRYN BENESH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Kathryn Benesh</w:t>
      </w:r>
    </w:p>
    <w:p>
      <w:pPr>
        <w:spacing w:after="0" w:line="142" w:lineRule="exact"/>
        <w:rPr>
          <w:sz w:val="20"/>
          <w:szCs w:val="20"/>
          <w:color w:val="auto"/>
        </w:rPr>
      </w:pPr>
    </w:p>
    <w:p>
      <w:pPr>
        <w:ind w:left="1360"/>
        <w:spacing w:after="0"/>
        <w:tabs>
          <w:tab w:leader="none" w:pos="17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TIMOTHY S. BITSBERGER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Timothy S. Bitsberger</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CHARLES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Charles P. Carey</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ELIZABETH A.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Elizabeth A. Cook</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MICHAEL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Michael G. Dennis</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BRYAN T.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Bryan T. Durkin</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HAROLD 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Harold Ford Jr.</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MARTIN J. GEPSMAN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Martin J. Gepsman</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LARRY G. GERDES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Larry G. Gerdes</w:t>
      </w:r>
    </w:p>
    <w:p>
      <w:pPr>
        <w:spacing w:after="0" w:line="102" w:lineRule="exact"/>
        <w:rPr>
          <w:sz w:val="20"/>
          <w:szCs w:val="20"/>
          <w:color w:val="auto"/>
        </w:rPr>
      </w:pPr>
    </w:p>
    <w:p>
      <w:pPr>
        <w:jc w:val="center"/>
        <w:ind w:left="48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DANIEL R.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Daniel R. Glickman</w:t>
      </w:r>
    </w:p>
    <w:p>
      <w:pPr>
        <w:spacing w:after="0" w:line="1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WILLIAM W. HOBERT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William W. Hobert</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DANIEL G.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Daniel G. Kaye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3531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Director and Chief Executive Officer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Managing Director and Chief Financial Officer</w:t>
      </w:r>
    </w:p>
    <w:p>
      <w:pPr>
        <w:spacing w:after="0" w:line="306"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Managing Director and Chief Accounting Officer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0" w:lineRule="exact"/>
        <w:rPr>
          <w:sz w:val="20"/>
          <w:szCs w:val="20"/>
          <w:color w:val="auto"/>
        </w:rPr>
      </w:pPr>
    </w:p>
    <w:p>
      <w:pPr>
        <w:sectPr>
          <w:pgSz w:w="11900" w:h="16838" w:orient="portrait"/>
          <w:cols w:equalWidth="0" w:num="2">
            <w:col w:w="4980" w:space="720"/>
            <w:col w:w="5420"/>
          </w:cols>
          <w:pgMar w:left="320" w:top="118" w:right="45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8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PHYLLIS M. LOCKETT</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Phyllis M. Lockett</w:t>
            </w:r>
          </w:p>
        </w:tc>
        <w:tc>
          <w:tcPr>
            <w:tcW w:w="1220" w:type="dxa"/>
            <w:vAlign w:val="bottom"/>
          </w:tcPr>
          <w:p>
            <w:pPr>
              <w:spacing w:after="0"/>
              <w:rPr>
                <w:sz w:val="15"/>
                <w:szCs w:val="15"/>
                <w:color w:val="auto"/>
              </w:rPr>
            </w:pPr>
          </w:p>
        </w:tc>
      </w:tr>
      <w:tr>
        <w:trPr>
          <w:trHeight w:val="350"/>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DEBORAH J. LUCAS</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Deborah J. Lucas</w:t>
            </w:r>
          </w:p>
        </w:tc>
        <w:tc>
          <w:tcPr>
            <w:tcW w:w="1220" w:type="dxa"/>
            <w:vAlign w:val="bottom"/>
          </w:tcPr>
          <w:p>
            <w:pPr>
              <w:spacing w:after="0"/>
              <w:rPr>
                <w:sz w:val="15"/>
                <w:szCs w:val="15"/>
                <w:color w:val="auto"/>
              </w:rPr>
            </w:pPr>
          </w:p>
        </w:tc>
      </w:tr>
      <w:tr>
        <w:trPr>
          <w:trHeight w:val="29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PATRICK W. MALONEY</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Patrick W. Maloney</w:t>
            </w:r>
          </w:p>
        </w:tc>
        <w:tc>
          <w:tcPr>
            <w:tcW w:w="1220" w:type="dxa"/>
            <w:vAlign w:val="bottom"/>
          </w:tcPr>
          <w:p>
            <w:pPr>
              <w:spacing w:after="0"/>
              <w:rPr>
                <w:sz w:val="15"/>
                <w:szCs w:val="15"/>
                <w:color w:val="auto"/>
              </w:rPr>
            </w:pPr>
          </w:p>
        </w:tc>
      </w:tr>
      <w:tr>
        <w:trPr>
          <w:trHeight w:val="33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PATRICK J. MULCHRONE</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Patrick J. Mulchrone</w:t>
            </w:r>
          </w:p>
        </w:tc>
        <w:tc>
          <w:tcPr>
            <w:tcW w:w="1220" w:type="dxa"/>
            <w:vAlign w:val="bottom"/>
          </w:tcPr>
          <w:p>
            <w:pPr>
              <w:spacing w:after="0"/>
              <w:rPr>
                <w:sz w:val="15"/>
                <w:szCs w:val="15"/>
                <w:color w:val="auto"/>
              </w:rPr>
            </w:pPr>
          </w:p>
        </w:tc>
      </w:tr>
      <w:tr>
        <w:trPr>
          <w:trHeight w:val="33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/S/ TERRY L. SAVAGE</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Terry L. Savage</w:t>
            </w:r>
          </w:p>
        </w:tc>
        <w:tc>
          <w:tcPr>
            <w:tcW w:w="1220" w:type="dxa"/>
            <w:vAlign w:val="bottom"/>
          </w:tcPr>
          <w:p>
            <w:pPr>
              <w:spacing w:after="0"/>
              <w:rPr>
                <w:sz w:val="15"/>
                <w:szCs w:val="15"/>
                <w:color w:val="auto"/>
              </w:rPr>
            </w:pPr>
          </w:p>
        </w:tc>
      </w:tr>
      <w:tr>
        <w:trPr>
          <w:trHeight w:val="309"/>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8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RAHAEL SEIFU</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Rahael Seifu</w:t>
            </w:r>
          </w:p>
        </w:tc>
        <w:tc>
          <w:tcPr>
            <w:tcW w:w="1220" w:type="dxa"/>
            <w:vAlign w:val="bottom"/>
          </w:tcPr>
          <w:p>
            <w:pPr>
              <w:spacing w:after="0"/>
              <w:rPr>
                <w:sz w:val="15"/>
                <w:szCs w:val="15"/>
                <w:color w:val="auto"/>
              </w:rPr>
            </w:pPr>
          </w:p>
        </w:tc>
      </w:tr>
      <w:tr>
        <w:trPr>
          <w:trHeight w:val="350"/>
        </w:trPr>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Times New Roman" w:cs="Times New Roman" w:eastAsia="Times New Roman" w:hAnsi="Times New Roman"/>
                <w:sz w:val="18"/>
                <w:szCs w:val="18"/>
                <w:color w:val="auto"/>
                <w:w w:val="99"/>
              </w:rPr>
              <w:t>WILLIAM R. SHEPARD</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William R. Shepard</w:t>
            </w:r>
          </w:p>
        </w:tc>
        <w:tc>
          <w:tcPr>
            <w:tcW w:w="1220" w:type="dxa"/>
            <w:vAlign w:val="bottom"/>
          </w:tcPr>
          <w:p>
            <w:pPr>
              <w:spacing w:after="0"/>
              <w:rPr>
                <w:sz w:val="15"/>
                <w:szCs w:val="15"/>
                <w:color w:val="auto"/>
              </w:rPr>
            </w:pPr>
          </w:p>
        </w:tc>
      </w:tr>
      <w:tr>
        <w:trPr>
          <w:trHeight w:val="309"/>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HOWARD J. SIEGEL</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Howard J. Siegel</w:t>
            </w:r>
          </w:p>
        </w:tc>
        <w:tc>
          <w:tcPr>
            <w:tcW w:w="1220" w:type="dxa"/>
            <w:vAlign w:val="bottom"/>
          </w:tcPr>
          <w:p>
            <w:pPr>
              <w:spacing w:after="0"/>
              <w:rPr>
                <w:sz w:val="15"/>
                <w:szCs w:val="15"/>
                <w:color w:val="auto"/>
              </w:rPr>
            </w:pPr>
          </w:p>
        </w:tc>
      </w:tr>
      <w:tr>
        <w:trPr>
          <w:trHeight w:val="309"/>
        </w:trPr>
        <w:tc>
          <w:tcPr>
            <w:tcW w:w="19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Times New Roman" w:cs="Times New Roman" w:eastAsia="Times New Roman" w:hAnsi="Times New Roman"/>
                <w:sz w:val="18"/>
                <w:szCs w:val="18"/>
                <w:color w:val="auto"/>
                <w:w w:val="99"/>
              </w:rPr>
              <w:t>DENNIS A. SUSKIND</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Lead 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Dennis A. Suskind</w:t>
            </w:r>
          </w:p>
        </w:tc>
        <w:tc>
          <w:tcPr>
            <w:tcW w:w="1220" w:type="dxa"/>
            <w:vAlign w:val="bottom"/>
          </w:tcPr>
          <w:p>
            <w:pPr>
              <w:spacing w:after="0"/>
              <w:rPr>
                <w:sz w:val="15"/>
                <w:szCs w:val="15"/>
                <w:color w:val="auto"/>
              </w:rPr>
            </w:pPr>
          </w:p>
        </w:tc>
      </w:tr>
      <w:tr>
        <w:trPr>
          <w:trHeight w:val="309"/>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ROBERT J. TIERNEY JR.</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Robert J. Tierney Jr.</w:t>
            </w:r>
          </w:p>
        </w:tc>
        <w:tc>
          <w:tcPr>
            <w:tcW w:w="1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139"/>
          </w:cols>
          <w:pgMar w:left="320" w:top="118"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jc w:val="center"/>
        <w:spacing w:after="0" w:line="204" w:lineRule="auto"/>
        <w:rPr>
          <w:sz w:val="20"/>
          <w:szCs w:val="20"/>
          <w:color w:val="auto"/>
        </w:rPr>
      </w:pPr>
      <w:r>
        <w:rPr>
          <w:rFonts w:ascii="Arial" w:cs="Arial" w:eastAsia="Arial" w:hAnsi="Arial"/>
          <w:sz w:val="22"/>
          <w:szCs w:val="22"/>
          <w:b w:val="1"/>
          <w:bCs w:val="1"/>
          <w:color w:val="auto"/>
        </w:rPr>
        <w:t>CHICAGO MERCANTILE EXCHANGE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MANAGEMENT SUPPLEMENTAL DEFERRED SAVINGS PLAN</w:t>
      </w:r>
    </w:p>
    <w:p>
      <w:pPr>
        <w:spacing w:after="0" w:line="200" w:lineRule="exact"/>
        <w:rPr>
          <w:sz w:val="20"/>
          <w:szCs w:val="20"/>
          <w:color w:val="auto"/>
        </w:rPr>
      </w:pPr>
    </w:p>
    <w:p>
      <w:pPr>
        <w:spacing w:after="0" w:line="229"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The Chicago Mercantile Exchange Inc. Senior Management Supplemental Deferred Savings Plan (the “Plan”) is amended, effective January 1, 2020, as follows:</w:t>
      </w:r>
    </w:p>
    <w:p>
      <w:pPr>
        <w:spacing w:after="0" w:line="178" w:lineRule="exact"/>
        <w:rPr>
          <w:sz w:val="20"/>
          <w:szCs w:val="20"/>
          <w:color w:val="auto"/>
        </w:rPr>
      </w:pPr>
    </w:p>
    <w:p>
      <w:pPr>
        <w:ind w:right="380" w:firstLine="8"/>
        <w:spacing w:after="0" w:line="256" w:lineRule="auto"/>
        <w:tabs>
          <w:tab w:leader="none" w:pos="4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NEX Services North America, LLC, BrokerTec Americas LLC, EBS Dealing Resources, Inc., Traiana, Inc. and TriOptima North America LLC are hereby added to the list of Participating Employers in Appendix A of the Plan.</w:t>
      </w:r>
    </w:p>
    <w:p>
      <w:pPr>
        <w:spacing w:after="0" w:line="159" w:lineRule="exact"/>
        <w:rPr>
          <w:rFonts w:ascii="Arial" w:cs="Arial" w:eastAsia="Arial" w:hAnsi="Arial"/>
          <w:sz w:val="21"/>
          <w:szCs w:val="21"/>
          <w:color w:val="auto"/>
        </w:rPr>
      </w:pPr>
    </w:p>
    <w:p>
      <w:pPr>
        <w:ind w:left="420" w:hanging="412"/>
        <w:spacing w:after="0"/>
        <w:tabs>
          <w:tab w:leader="none" w:pos="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new Supplement C is hereby added to the Plan, which reads in its entirety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 C</w:t>
      </w:r>
    </w:p>
    <w:p>
      <w:pPr>
        <w:jc w:val="center"/>
        <w:spacing w:after="0"/>
        <w:rPr>
          <w:sz w:val="20"/>
          <w:szCs w:val="20"/>
          <w:color w:val="auto"/>
        </w:rPr>
      </w:pPr>
      <w:r>
        <w:rPr>
          <w:rFonts w:ascii="Arial" w:cs="Arial" w:eastAsia="Arial" w:hAnsi="Arial"/>
          <w:sz w:val="22"/>
          <w:szCs w:val="22"/>
          <w:b w:val="1"/>
          <w:bCs w:val="1"/>
          <w:color w:val="auto"/>
        </w:rPr>
        <w:t>CERTAIN NEX EMPLOYEES</w:t>
      </w:r>
    </w:p>
    <w:p>
      <w:pPr>
        <w:spacing w:after="0" w:line="186" w:lineRule="exact"/>
        <w:rPr>
          <w:sz w:val="20"/>
          <w:szCs w:val="20"/>
          <w:color w:val="auto"/>
        </w:rPr>
      </w:pPr>
    </w:p>
    <w:p>
      <w:pPr>
        <w:jc w:val="both"/>
        <w:ind w:left="660" w:right="640"/>
        <w:spacing w:after="0" w:line="217" w:lineRule="auto"/>
        <w:rPr>
          <w:sz w:val="20"/>
          <w:szCs w:val="20"/>
          <w:color w:val="auto"/>
        </w:rPr>
      </w:pPr>
      <w:r>
        <w:rPr>
          <w:rFonts w:ascii="Arial" w:cs="Arial" w:eastAsia="Arial" w:hAnsi="Arial"/>
          <w:sz w:val="22"/>
          <w:szCs w:val="22"/>
          <w:color w:val="auto"/>
        </w:rPr>
        <w:t>Any eligible individual who was employed by NEX Services North America, LLC, BrokerTec Americas LLC, EBS Dealing Resources, Inc., Traiana, Inc. or TriOptima North America LLC (collectively, the “NEX Entities”) on November 2, 2018 shall be treated for eligibility and vesting service purposes as though his or her service with the NEX Entities from his or her most recent hire date with the NEX Entities had been rendered as an employee of an Employer.</w:t>
      </w:r>
    </w:p>
    <w:p>
      <w:pPr>
        <w:spacing w:after="0" w:line="200" w:lineRule="exact"/>
        <w:rPr>
          <w:sz w:val="20"/>
          <w:szCs w:val="20"/>
          <w:color w:val="auto"/>
        </w:rPr>
      </w:pPr>
    </w:p>
    <w:p>
      <w:pPr>
        <w:spacing w:after="0" w:line="222" w:lineRule="exact"/>
        <w:rPr>
          <w:sz w:val="20"/>
          <w:szCs w:val="20"/>
          <w:color w:val="auto"/>
        </w:rPr>
      </w:pPr>
    </w:p>
    <w:p>
      <w:pPr>
        <w:ind w:right="20" w:firstLine="1296"/>
        <w:spacing w:after="0" w:line="247" w:lineRule="auto"/>
        <w:rPr>
          <w:sz w:val="20"/>
          <w:szCs w:val="20"/>
          <w:color w:val="auto"/>
        </w:rPr>
      </w:pPr>
      <w:r>
        <w:rPr>
          <w:rFonts w:ascii="Arial" w:cs="Arial" w:eastAsia="Arial" w:hAnsi="Arial"/>
          <w:sz w:val="22"/>
          <w:szCs w:val="22"/>
          <w:color w:val="auto"/>
        </w:rPr>
        <w:t>IN WITNESS WHEREOF, Chicago Mercantile Exchange Inc. has caused this amendment to be executed by its duly authorized officer this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w:t>
      </w:r>
    </w:p>
    <w:p>
      <w:pPr>
        <w:spacing w:after="0" w:line="326"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2"/>
          <w:szCs w:val="22"/>
          <w:color w:val="auto"/>
        </w:rPr>
        <w:t>By:</w:t>
        <w:tab/>
        <w:t>/s/ Hilda Harris Piell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5011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spacing w:after="0" w:line="18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Its:</w:t>
        <w:tab/>
        <w:t>SMD, 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-14605</wp:posOffset>
            </wp:positionV>
            <wp:extent cx="12420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7490269.2</w:t>
      </w:r>
    </w:p>
    <w:p>
      <w:pPr>
        <w:sectPr>
          <w:pgSz w:w="11900" w:h="16838" w:orient="portrait"/>
          <w:cols w:equalWidth="0" w:num="1">
            <w:col w:w="11240"/>
          </w:cols>
          <w:pgMar w:left="320" w:top="98"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SECOND AMENDMENT TO</w:t>
      </w:r>
    </w:p>
    <w:p>
      <w:pPr>
        <w:jc w:val="center"/>
        <w:ind w:right="-19"/>
        <w:spacing w:after="0" w:line="204" w:lineRule="auto"/>
        <w:rPr>
          <w:sz w:val="20"/>
          <w:szCs w:val="20"/>
          <w:color w:val="auto"/>
        </w:rPr>
      </w:pPr>
      <w:r>
        <w:rPr>
          <w:rFonts w:ascii="Arial" w:cs="Arial" w:eastAsia="Arial" w:hAnsi="Arial"/>
          <w:sz w:val="22"/>
          <w:szCs w:val="22"/>
          <w:b w:val="1"/>
          <w:bCs w:val="1"/>
          <w:color w:val="auto"/>
        </w:rPr>
        <w:t>CHICAGO MERCANTILE EXCHANGE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SENIOR MANAGEMENT SUPPLEMENTAL DEFERRED SAVINGS PLAN</w:t>
      </w:r>
    </w:p>
    <w:p>
      <w:pPr>
        <w:spacing w:after="0" w:line="200" w:lineRule="exact"/>
        <w:rPr>
          <w:sz w:val="20"/>
          <w:szCs w:val="20"/>
          <w:color w:val="auto"/>
        </w:rPr>
      </w:pPr>
    </w:p>
    <w:p>
      <w:pPr>
        <w:spacing w:after="0" w:line="229" w:lineRule="exact"/>
        <w:rPr>
          <w:sz w:val="20"/>
          <w:szCs w:val="20"/>
          <w:color w:val="auto"/>
        </w:rPr>
      </w:pPr>
    </w:p>
    <w:p>
      <w:pPr>
        <w:ind w:right="540"/>
        <w:spacing w:after="0" w:line="236" w:lineRule="auto"/>
        <w:rPr>
          <w:sz w:val="20"/>
          <w:szCs w:val="20"/>
          <w:color w:val="auto"/>
        </w:rPr>
      </w:pPr>
      <w:r>
        <w:rPr>
          <w:rFonts w:ascii="Arial" w:cs="Arial" w:eastAsia="Arial" w:hAnsi="Arial"/>
          <w:sz w:val="22"/>
          <w:szCs w:val="22"/>
          <w:color w:val="auto"/>
        </w:rPr>
        <w:t>The Chicago Mercantile Exchange Inc. Senior Management Supplemental Deferred Savings Plan (the “Plan”) is amended, effective June 1, 2023, as follows:</w:t>
      </w:r>
    </w:p>
    <w:p>
      <w:pPr>
        <w:spacing w:after="0" w:line="178" w:lineRule="exact"/>
        <w:rPr>
          <w:sz w:val="20"/>
          <w:szCs w:val="20"/>
          <w:color w:val="auto"/>
        </w:rPr>
      </w:pPr>
    </w:p>
    <w:p>
      <w:pPr>
        <w:ind w:left="980" w:hanging="648"/>
        <w:spacing w:after="0"/>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Section 3.4(c) is added to the Plan as follows:</w:t>
      </w:r>
    </w:p>
    <w:p>
      <w:pPr>
        <w:spacing w:after="0" w:line="206" w:lineRule="exact"/>
        <w:rPr>
          <w:rFonts w:ascii="Arial" w:cs="Arial" w:eastAsia="Arial" w:hAnsi="Arial"/>
          <w:sz w:val="22"/>
          <w:szCs w:val="22"/>
          <w:color w:val="auto"/>
        </w:rPr>
      </w:pPr>
    </w:p>
    <w:p>
      <w:pPr>
        <w:ind w:left="980" w:right="80"/>
        <w:spacing w:after="0" w:line="226" w:lineRule="auto"/>
        <w:rPr>
          <w:rFonts w:ascii="Arial" w:cs="Arial" w:eastAsia="Arial" w:hAnsi="Arial"/>
          <w:sz w:val="22"/>
          <w:szCs w:val="22"/>
          <w:color w:val="auto"/>
        </w:rPr>
      </w:pPr>
      <w:r>
        <w:rPr>
          <w:rFonts w:ascii="Arial" w:cs="Arial" w:eastAsia="Arial" w:hAnsi="Arial"/>
          <w:sz w:val="22"/>
          <w:szCs w:val="22"/>
          <w:color w:val="auto"/>
        </w:rPr>
        <w:t>For the avoidance of doubt, payment in lieu of a bonus under the CME Group Inc. Severance Plan is not Pensionable Compensation and shall not be included in the calculation of Cash Balance Plan Make-Whole Credits.</w:t>
      </w:r>
    </w:p>
    <w:p>
      <w:pPr>
        <w:spacing w:after="0" w:line="200" w:lineRule="exact"/>
        <w:rPr>
          <w:sz w:val="20"/>
          <w:szCs w:val="20"/>
          <w:color w:val="auto"/>
        </w:rPr>
      </w:pPr>
    </w:p>
    <w:p>
      <w:pPr>
        <w:spacing w:after="0" w:line="21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 WITNESS WHEREOF, Chicago Mercantile Exchange Inc. has caused this amendment to be executed by its duly authorized officer this 8th day of May, 2023.</w:t>
      </w:r>
    </w:p>
    <w:p>
      <w:pPr>
        <w:spacing w:after="0" w:line="200" w:lineRule="exact"/>
        <w:rPr>
          <w:sz w:val="20"/>
          <w:szCs w:val="20"/>
          <w:color w:val="auto"/>
        </w:rPr>
      </w:pPr>
    </w:p>
    <w:p>
      <w:pPr>
        <w:spacing w:after="0" w:line="221"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2"/>
          <w:szCs w:val="22"/>
          <w:color w:val="auto"/>
        </w:rPr>
        <w:t>By:</w:t>
        <w:tab/>
        <w:t>/s/ Francie Sisul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5855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8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Its:</w:t>
        <w:tab/>
        <w:t>MD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-14605</wp:posOffset>
            </wp:positionV>
            <wp:extent cx="22415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241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THIRD AMENDMENT TO</w:t>
      </w:r>
    </w:p>
    <w:p>
      <w:pPr>
        <w:jc w:val="center"/>
        <w:ind w:right="-19"/>
        <w:spacing w:after="0" w:line="204" w:lineRule="auto"/>
        <w:rPr>
          <w:sz w:val="20"/>
          <w:szCs w:val="20"/>
          <w:color w:val="auto"/>
        </w:rPr>
      </w:pPr>
      <w:r>
        <w:rPr>
          <w:rFonts w:ascii="Arial" w:cs="Arial" w:eastAsia="Arial" w:hAnsi="Arial"/>
          <w:sz w:val="22"/>
          <w:szCs w:val="22"/>
          <w:b w:val="1"/>
          <w:bCs w:val="1"/>
          <w:color w:val="auto"/>
        </w:rPr>
        <w:t>CHICAGO MERCANTILE EXCHANGE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SENIOR MANAGEMENT SUPPLEMENTAL DEFERRED SAVINGS PLAN</w:t>
      </w:r>
    </w:p>
    <w:p>
      <w:pPr>
        <w:spacing w:after="0" w:line="200" w:lineRule="exact"/>
        <w:rPr>
          <w:sz w:val="20"/>
          <w:szCs w:val="20"/>
          <w:color w:val="auto"/>
        </w:rPr>
      </w:pPr>
    </w:p>
    <w:p>
      <w:pPr>
        <w:spacing w:after="0" w:line="229" w:lineRule="exact"/>
        <w:rPr>
          <w:sz w:val="20"/>
          <w:szCs w:val="20"/>
          <w:color w:val="auto"/>
        </w:rPr>
      </w:pPr>
    </w:p>
    <w:p>
      <w:pPr>
        <w:ind w:right="540"/>
        <w:spacing w:after="0" w:line="236" w:lineRule="auto"/>
        <w:rPr>
          <w:sz w:val="20"/>
          <w:szCs w:val="20"/>
          <w:color w:val="auto"/>
        </w:rPr>
      </w:pPr>
      <w:r>
        <w:rPr>
          <w:rFonts w:ascii="Arial" w:cs="Arial" w:eastAsia="Arial" w:hAnsi="Arial"/>
          <w:sz w:val="22"/>
          <w:szCs w:val="22"/>
          <w:color w:val="auto"/>
        </w:rPr>
        <w:t>The Chicago Mercantile Exchange Inc. Senior Management Supplemental Deferred Savings Plan (the “Plan”) is amended, effective December 6, 2023, as follows:</w:t>
      </w:r>
    </w:p>
    <w:p>
      <w:pPr>
        <w:spacing w:after="0" w:line="200" w:lineRule="exact"/>
        <w:rPr>
          <w:sz w:val="20"/>
          <w:szCs w:val="20"/>
          <w:color w:val="auto"/>
        </w:rPr>
      </w:pPr>
    </w:p>
    <w:p>
      <w:pPr>
        <w:spacing w:after="0" w:line="221" w:lineRule="exact"/>
        <w:rPr>
          <w:sz w:val="20"/>
          <w:szCs w:val="20"/>
          <w:color w:val="auto"/>
        </w:rPr>
      </w:pPr>
    </w:p>
    <w:p>
      <w:pPr>
        <w:ind w:left="980" w:right="620" w:hanging="324"/>
        <w:spacing w:after="0" w:line="236" w:lineRule="auto"/>
        <w:tabs>
          <w:tab w:leader="none" w:pos="971"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Section 4.2(c) is amended to allow the election of up to ten annual installments. Accordingly, the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sentence of Section 4.2(c) is removed and replaced in its entirety with the following:</w:t>
      </w:r>
    </w:p>
    <w:p>
      <w:pPr>
        <w:spacing w:after="0" w:line="177" w:lineRule="exact"/>
        <w:rPr>
          <w:rFonts w:ascii="Arial" w:cs="Arial" w:eastAsia="Arial" w:hAnsi="Arial"/>
          <w:sz w:val="22"/>
          <w:szCs w:val="22"/>
          <w:color w:val="auto"/>
        </w:rPr>
      </w:pPr>
    </w:p>
    <w:p>
      <w:pPr>
        <w:ind w:left="980"/>
        <w:spacing w:after="0" w:line="226" w:lineRule="auto"/>
        <w:rPr>
          <w:rFonts w:ascii="Arial" w:cs="Arial" w:eastAsia="Arial" w:hAnsi="Arial"/>
          <w:sz w:val="22"/>
          <w:szCs w:val="22"/>
          <w:color w:val="auto"/>
        </w:rPr>
      </w:pPr>
      <w:r>
        <w:rPr>
          <w:rFonts w:ascii="Arial" w:cs="Arial" w:eastAsia="Arial" w:hAnsi="Arial"/>
          <w:sz w:val="22"/>
          <w:szCs w:val="22"/>
          <w:color w:val="auto"/>
        </w:rPr>
        <w:t>The election shall also specify whether the Plan Year Account is to be paid in a lump sum or in substantially equal annual installments, and if installments are elected, the number of such installments (not to exceed ten) (a “form of payment election”).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 WITNESS WHEREOF, Chicago Mercantile Exchange Inc. has caused this amendment to be executed by its duly authorized officer on December 17,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2"/>
          <w:szCs w:val="22"/>
          <w:color w:val="auto"/>
        </w:rPr>
        <w:t>By:</w:t>
        <w:tab/>
        <w:t>/s/ Francie Sisul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585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Managing Director Compensation &amp;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CME Group Subsidiaries</w:t>
            </w:r>
          </w:p>
        </w:tc>
      </w:tr>
      <w:tr>
        <w:trPr>
          <w:trHeight w:val="20"/>
        </w:trPr>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0"/>
        </w:trPr>
        <w:tc>
          <w:tcPr>
            <w:tcW w:w="16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Trade of the City of Chicago,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Americas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Holdings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Mercantile Exchange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Mercantile Exchange Korea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Amsterdam B.V.</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Consulting (Beijing) Co.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Finance Holdings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Global Marketplace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Asia Holdings Pte.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Australia Pty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Benchmark Administrative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Hong Kong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Index Services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Japan Kabushiki Kaisha</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Marketing Canada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Singapore Operations Pte.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Group Strategic Investments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India Holdings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India Technology and Support Services Private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Investment Firm B.V.</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London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Operations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Platforms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Shareholder Servicing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 Technology and Support Services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Ventures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Brazil 1 Participações Ltda.</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Brazil Investments 1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Brazil Investments 2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Finance Holdings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Foundation Services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México, S. de R.L. de C.V.</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CMEG NYMEX Holdings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Exchange,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EBO Investments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Malta</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Dealing Resources International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Dealing Resources Japan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Dealing Resources,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Financial Technologies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Group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EBS No. 2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00"/>
          </w:cols>
          <w:pgMar w:left="360" w:top="981"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EBS Service Company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Elysian Systems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F&amp;O Financial LLC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F&amp;O Holdings LLC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Godsell Astley &amp; Pearce (Holdings) Ltd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(Germany) GmbH*</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Capital Markets LLC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Intercapital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Intercapital Securities Inc</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Mercantile Exchange, Inc.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Group Holdings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Group Investments Inc.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Group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International Investments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International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Markets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Optimisation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SEF Limited</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Services Limited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 Services North America LLC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NEX Services Pte. Ltd**</w:t>
            </w:r>
          </w:p>
        </w:tc>
        <w:tc>
          <w:tcPr>
            <w:tcW w:w="6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Pivot, Inc.</w:t>
            </w:r>
          </w:p>
        </w:tc>
        <w:tc>
          <w:tcPr>
            <w:tcW w:w="6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60" w:type="dxa"/>
            <w:vAlign w:val="bottom"/>
          </w:tcPr>
          <w:p>
            <w:pPr>
              <w:spacing w:after="0"/>
              <w:rPr>
                <w:sz w:val="23"/>
                <w:szCs w:val="23"/>
                <w:color w:val="auto"/>
              </w:rPr>
            </w:pPr>
          </w:p>
        </w:tc>
        <w:tc>
          <w:tcPr>
            <w:tcW w:w="6920" w:type="dxa"/>
            <w:vAlign w:val="bottom"/>
          </w:tcPr>
          <w:p>
            <w:pPr>
              <w:spacing w:after="0"/>
              <w:rPr>
                <w:sz w:val="23"/>
                <w:szCs w:val="23"/>
                <w:color w:val="auto"/>
              </w:rPr>
            </w:pP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liquidation.</w:t>
            </w:r>
          </w:p>
        </w:tc>
        <w:tc>
          <w:tcPr>
            <w:tcW w:w="6920" w:type="dxa"/>
            <w:vAlign w:val="bottom"/>
            <w:shd w:val="clear" w:color="auto" w:fill="CCEEFF"/>
          </w:tcPr>
          <w:p>
            <w:pPr>
              <w:spacing w:after="0"/>
              <w:rPr>
                <w:sz w:val="19"/>
                <w:szCs w:val="19"/>
                <w:color w:val="auto"/>
              </w:rPr>
            </w:pPr>
          </w:p>
        </w:tc>
      </w:t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**Amalgamated</w:t>
            </w:r>
          </w:p>
        </w:tc>
        <w:tc>
          <w:tcPr>
            <w:tcW w:w="6920" w:type="dxa"/>
            <w:vAlign w:val="bottom"/>
          </w:tcPr>
          <w:p>
            <w:pPr>
              <w:spacing w:after="0"/>
              <w:rPr>
                <w:sz w:val="20"/>
                <w:szCs w:val="20"/>
                <w:color w:val="auto"/>
              </w:rPr>
            </w:pPr>
          </w:p>
        </w:tc>
      </w:tr>
    </w:tbl>
    <w:p>
      <w:pPr>
        <w:sectPr>
          <w:pgSz w:w="11900" w:h="16838" w:orient="portrait"/>
          <w:cols w:equalWidth="0" w:num="1">
            <w:col w:w="11180"/>
          </w:cols>
          <w:pgMar w:left="360" w:top="1026" w:right="359" w:bottom="1440" w:gutter="0" w:footer="0" w:header="0"/>
        </w:sectPr>
      </w:pPr>
    </w:p>
    <w:bookmarkStart w:id="97" w:name="page98"/>
    <w:bookmarkEnd w:id="97"/>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112" w:lineRule="exact"/>
        <w:rPr>
          <w:sz w:val="20"/>
          <w:szCs w:val="20"/>
          <w:color w:val="auto"/>
        </w:rPr>
      </w:pPr>
    </w:p>
    <w:p>
      <w:pPr>
        <w:ind w:right="2860" w:firstLine="2858"/>
        <w:spacing w:after="0" w:line="354"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ind w:left="420" w:right="20" w:hanging="7"/>
        <w:spacing w:after="0" w:line="271" w:lineRule="auto"/>
        <w:tabs>
          <w:tab w:leader="none" w:pos="77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333-105236 as filed on May 14, 2003) pertaining to the CME Group Inc. Amended and Restated Omnibus Stock Plan,</w:t>
      </w:r>
    </w:p>
    <w:p>
      <w:pPr>
        <w:spacing w:after="0" w:line="49" w:lineRule="exact"/>
        <w:rPr>
          <w:rFonts w:ascii="Times New Roman" w:cs="Times New Roman" w:eastAsia="Times New Roman" w:hAnsi="Times New Roman"/>
          <w:sz w:val="22"/>
          <w:szCs w:val="22"/>
          <w:color w:val="auto"/>
        </w:rPr>
      </w:pPr>
    </w:p>
    <w:p>
      <w:pPr>
        <w:ind w:left="420" w:right="20" w:hanging="7"/>
        <w:spacing w:after="0" w:line="271" w:lineRule="auto"/>
        <w:tabs>
          <w:tab w:leader="none" w:pos="77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333-159932 as filed on June 12, 2009) pertaining to the CME Group Inc. Amended and Restated Omnibus Stock Plan and the 2005 Director Stock Plan,</w:t>
      </w:r>
    </w:p>
    <w:p>
      <w:pPr>
        <w:spacing w:after="0" w:line="49" w:lineRule="exact"/>
        <w:rPr>
          <w:rFonts w:ascii="Times New Roman" w:cs="Times New Roman" w:eastAsia="Times New Roman" w:hAnsi="Times New Roman"/>
          <w:sz w:val="22"/>
          <w:szCs w:val="22"/>
          <w:color w:val="auto"/>
        </w:rPr>
      </w:pPr>
    </w:p>
    <w:p>
      <w:pPr>
        <w:jc w:val="both"/>
        <w:ind w:left="420" w:hanging="7"/>
        <w:spacing w:after="0" w:line="263" w:lineRule="auto"/>
        <w:tabs>
          <w:tab w:leader="none" w:pos="74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and Post-Effective Amendments No. 1 and No. 2 No. 333-104804 as filed on April 29, 2003, September 9, 2003 and April 12, 2004); Form S-8 No. 333-115656 as filed on May 20, 2004) pertaining to the Agreement between Chicago Mercantile Exchange Holdings Inc. and James J. McNulty,</w:t>
      </w:r>
    </w:p>
    <w:p>
      <w:pPr>
        <w:spacing w:after="0" w:line="59" w:lineRule="exact"/>
        <w:rPr>
          <w:rFonts w:ascii="Times New Roman" w:cs="Times New Roman" w:eastAsia="Times New Roman" w:hAnsi="Times New Roman"/>
          <w:sz w:val="22"/>
          <w:szCs w:val="22"/>
          <w:color w:val="auto"/>
        </w:rPr>
      </w:pPr>
    </w:p>
    <w:p>
      <w:pPr>
        <w:ind w:left="420" w:hanging="7"/>
        <w:spacing w:after="0" w:line="271" w:lineRule="auto"/>
        <w:tabs>
          <w:tab w:leader="none" w:pos="72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333-124497 as filed on April 29, 2005) pertaining to the Employee Stock Purchase Plan and the 2005 Director Stock Plan,</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73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333-144543 as filed on July 13, 2007) pertaining to CBOT Holdings, Inc.’s 2005 Long-Term Equity Incentive Plan,</w:t>
      </w:r>
    </w:p>
    <w:p>
      <w:pPr>
        <w:spacing w:after="0" w:line="63" w:lineRule="exact"/>
        <w:rPr>
          <w:rFonts w:ascii="Times New Roman" w:cs="Times New Roman" w:eastAsia="Times New Roman" w:hAnsi="Times New Roman"/>
          <w:sz w:val="22"/>
          <w:szCs w:val="22"/>
          <w:color w:val="auto"/>
        </w:rPr>
      </w:pPr>
    </w:p>
    <w:p>
      <w:pPr>
        <w:jc w:val="both"/>
        <w:ind w:left="420" w:hanging="7"/>
        <w:spacing w:after="0" w:line="257" w:lineRule="auto"/>
        <w:tabs>
          <w:tab w:leader="none" w:pos="73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333-153462 as filed on September 12, 2008) and Post-Effective Amendments No. 1 and No. 2 to Registration Statement on Form S-4 (Form S-8 No. 333-151577 as filed on July 18, 2012) pertaining to the NYMEX Holdings, Inc.’s 2006 Omnibus Long-Term Incentive Plan,</w:t>
      </w:r>
    </w:p>
    <w:p>
      <w:pPr>
        <w:spacing w:after="0" w:line="64" w:lineRule="exact"/>
        <w:rPr>
          <w:rFonts w:ascii="Times New Roman" w:cs="Times New Roman" w:eastAsia="Times New Roman" w:hAnsi="Times New Roman"/>
          <w:sz w:val="22"/>
          <w:szCs w:val="22"/>
          <w:color w:val="auto"/>
        </w:rPr>
      </w:pPr>
    </w:p>
    <w:p>
      <w:pPr>
        <w:ind w:left="420" w:right="20" w:hanging="7"/>
        <w:spacing w:after="0" w:line="271" w:lineRule="auto"/>
        <w:tabs>
          <w:tab w:leader="none" w:pos="73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333-265499 as filed on June 9, 2022) pertaining to the Employee Stock Purchase Plan and CME Group Inc. Director Stock Plan as amended and restated effective May 4, 2022,</w:t>
      </w:r>
    </w:p>
    <w:p>
      <w:pPr>
        <w:spacing w:after="0" w:line="63" w:lineRule="exact"/>
        <w:rPr>
          <w:rFonts w:ascii="Times New Roman" w:cs="Times New Roman" w:eastAsia="Times New Roman" w:hAnsi="Times New Roman"/>
          <w:sz w:val="22"/>
          <w:szCs w:val="22"/>
          <w:color w:val="auto"/>
        </w:rPr>
      </w:pPr>
    </w:p>
    <w:p>
      <w:pPr>
        <w:ind w:left="420" w:hanging="7"/>
        <w:spacing w:after="0" w:line="271" w:lineRule="auto"/>
        <w:tabs>
          <w:tab w:leader="none" w:pos="73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333-163473 as filed on December 3, 2009)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7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333-185311 as filed on December 6, 2012)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84" w:lineRule="auto"/>
        <w:tabs>
          <w:tab w:leader="none" w:pos="8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333-208334 as filed on December 4, 2015) Shelf Registration Statement for the offering of debt securities, Class A Common Stock, Preferred Stock and Warrants.</w:t>
      </w:r>
    </w:p>
    <w:p>
      <w:pPr>
        <w:spacing w:after="0" w:line="35" w:lineRule="exact"/>
        <w:rPr>
          <w:rFonts w:ascii="Times New Roman" w:cs="Times New Roman" w:eastAsia="Times New Roman" w:hAnsi="Times New Roman"/>
          <w:sz w:val="22"/>
          <w:szCs w:val="22"/>
          <w:color w:val="auto"/>
        </w:rPr>
      </w:pPr>
    </w:p>
    <w:p>
      <w:pPr>
        <w:ind w:left="420" w:hanging="7"/>
        <w:spacing w:after="0" w:line="271" w:lineRule="auto"/>
        <w:tabs>
          <w:tab w:leader="none" w:pos="8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333-232982 as filed on August 2, 2019)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8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333-263130 as filed on March 1, 2022) Shelf Registration Statement for the offering of debt securities, Class A Common Stock, Preferred Stock and Warrants.</w:t>
      </w:r>
    </w:p>
    <w:p>
      <w:pPr>
        <w:sectPr>
          <w:pgSz w:w="11900" w:h="16838" w:orient="portrait"/>
          <w:cols w:equalWidth="0" w:num="1">
            <w:col w:w="11240"/>
          </w:cols>
          <w:pgMar w:left="320" w:top="1440" w:right="339" w:bottom="1440" w:gutter="0" w:footer="0" w:header="0"/>
        </w:sectPr>
      </w:pPr>
    </w:p>
    <w:bookmarkStart w:id="98" w:name="page99"/>
    <w:bookmarkEnd w:id="98"/>
    <w:p>
      <w:pPr>
        <w:jc w:val="both"/>
        <w:spacing w:after="0" w:line="244" w:lineRule="auto"/>
        <w:rPr>
          <w:sz w:val="20"/>
          <w:szCs w:val="20"/>
          <w:color w:val="auto"/>
        </w:rPr>
      </w:pPr>
      <w:r>
        <w:rPr>
          <w:rFonts w:ascii="Times New Roman" w:cs="Times New Roman" w:eastAsia="Times New Roman" w:hAnsi="Times New Roman"/>
          <w:sz w:val="22"/>
          <w:szCs w:val="22"/>
          <w:color w:val="auto"/>
        </w:rPr>
        <w:t>of our reports dated February 28, 2024, with respect to the consolidated financial statements and schedule of CME Group Inc., and the effectiveness of internal control over financial reporting of CME Group Inc., included in this Annual Report (Form 10-K) of CME Group Inc. for the year ended December 31, 2023.</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28, 2024</w:t>
      </w:r>
    </w:p>
    <w:p>
      <w:pPr>
        <w:sectPr>
          <w:pgSz w:w="11900" w:h="16838" w:orient="portrait"/>
          <w:cols w:equalWidth="0" w:num="1">
            <w:col w:w="11240"/>
          </w:cols>
          <w:pgMar w:left="320" w:top="1408"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71" w:lineRule="exact"/>
        <w:rPr>
          <w:sz w:val="20"/>
          <w:szCs w:val="20"/>
          <w:color w:val="auto"/>
        </w:rPr>
      </w:pPr>
    </w:p>
    <w:p>
      <w:pPr>
        <w:ind w:left="640" w:hanging="187"/>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tab/>
        <w:t>Terrence A. Duffy</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71" w:lineRule="exact"/>
        <w:rPr>
          <w:sz w:val="20"/>
          <w:szCs w:val="20"/>
          <w:color w:val="auto"/>
        </w:rPr>
      </w:pPr>
    </w:p>
    <w:p>
      <w:pPr>
        <w:ind w:left="640" w:hanging="187"/>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Lynne Fitzpatrick</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CME Group Inc. (Company) for the year ended December 31, 2023 as filed with the Securities and Exchange Commission on the date hereof (Report), Terrence A. Duffy, as Chief Executive Officer of the Company, and Lynne Fitzpatrick,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60" w:hanging="261"/>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Terrence A. Duffy</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1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r>
      <w:tr>
        <w:trPr>
          <w:trHeight w:val="486"/>
        </w:trPr>
        <w:tc>
          <w:tcPr>
            <w:tcW w:w="1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Lynne Fitzpatrick</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11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CME GROUP INC.</w:t>
      </w:r>
    </w:p>
    <w:p>
      <w:pPr>
        <w:ind w:left="3700"/>
        <w:spacing w:after="0" w:line="197" w:lineRule="auto"/>
        <w:rPr>
          <w:sz w:val="20"/>
          <w:szCs w:val="20"/>
          <w:color w:val="auto"/>
        </w:rPr>
      </w:pPr>
      <w:r>
        <w:rPr>
          <w:rFonts w:ascii="Arial" w:cs="Arial" w:eastAsia="Arial" w:hAnsi="Arial"/>
          <w:sz w:val="20"/>
          <w:szCs w:val="20"/>
          <w:b w:val="1"/>
          <w:bCs w:val="1"/>
          <w:color w:val="auto"/>
        </w:rPr>
        <w:t>COMPENSATION RECOUPMENT POLICY</w:t>
      </w:r>
    </w:p>
    <w:p>
      <w:pPr>
        <w:jc w:val="center"/>
        <w:spacing w:after="0"/>
        <w:rPr>
          <w:sz w:val="20"/>
          <w:szCs w:val="20"/>
          <w:color w:val="auto"/>
        </w:rPr>
      </w:pPr>
      <w:r>
        <w:rPr>
          <w:rFonts w:ascii="Arial" w:cs="Arial" w:eastAsia="Arial" w:hAnsi="Arial"/>
          <w:sz w:val="20"/>
          <w:szCs w:val="20"/>
          <w:b w:val="1"/>
          <w:bCs w:val="1"/>
          <w:color w:val="auto"/>
        </w:rPr>
        <w:t>FOR EXECUTIVE OFFICERS</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The Compensation Committee (“Committee”) of the Board of Directors of CME Group Inc. (the “Company”) adopts this</w:t>
      </w:r>
    </w:p>
    <w:p>
      <w:pPr>
        <w:ind w:right="60"/>
        <w:spacing w:after="0" w:line="225" w:lineRule="auto"/>
        <w:rPr>
          <w:sz w:val="20"/>
          <w:szCs w:val="20"/>
          <w:color w:val="auto"/>
        </w:rPr>
      </w:pPr>
      <w:r>
        <w:rPr>
          <w:rFonts w:ascii="Arial" w:cs="Arial" w:eastAsia="Arial" w:hAnsi="Arial"/>
          <w:sz w:val="20"/>
          <w:szCs w:val="20"/>
          <w:color w:val="auto"/>
        </w:rPr>
        <w:t>Compensation Recoupment Policy for Executive Officers (“Policy”) effective as of October 2, 2023 (“Effective Date”). This Policy is designed to comply with Section 10D of the Securities Exchange Act of 1934, as amended (“Exchange Act”).</w:t>
      </w:r>
    </w:p>
    <w:p>
      <w:pPr>
        <w:spacing w:after="0" w:line="170"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22"/>
          <w:szCs w:val="22"/>
          <w:b w:val="1"/>
          <w:bCs w:val="1"/>
          <w:color w:val="auto"/>
        </w:rPr>
      </w:pPr>
      <w:r>
        <w:rPr>
          <w:rFonts w:ascii="Arial" w:cs="Arial" w:eastAsia="Arial" w:hAnsi="Arial"/>
          <w:sz w:val="20"/>
          <w:szCs w:val="20"/>
          <w:b w:val="1"/>
          <w:bCs w:val="1"/>
          <w:color w:val="auto"/>
        </w:rPr>
        <w:t>Definitions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For purposes of this Policy, the following definitions shall apply:</w:t>
      </w:r>
    </w:p>
    <w:p>
      <w:pPr>
        <w:spacing w:after="0" w:line="189" w:lineRule="exact"/>
        <w:rPr>
          <w:sz w:val="20"/>
          <w:szCs w:val="20"/>
          <w:color w:val="auto"/>
        </w:rPr>
      </w:pPr>
    </w:p>
    <w:p>
      <w:pPr>
        <w:ind w:left="980" w:right="40" w:hanging="324"/>
        <w:spacing w:after="0" w:line="224" w:lineRule="auto"/>
        <w:tabs>
          <w:tab w:leader="none" w:pos="1022"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Compensation</w:t>
      </w:r>
      <w:r>
        <w:rPr>
          <w:rFonts w:ascii="Arial" w:cs="Arial" w:eastAsia="Arial" w:hAnsi="Arial"/>
          <w:sz w:val="19"/>
          <w:szCs w:val="19"/>
          <w:color w:val="auto"/>
        </w:rPr>
        <w:t>” means any Incentive-Based Compensation granted, vested or paid to a person who served as an Executive Officer at any time during the performance period for the Incentive-Based Compensation and that was Received: (i) on or after the Effective Date; (ii) after the person became an Executive Officer; (iii) while the</w:t>
      </w:r>
    </w:p>
    <w:p>
      <w:pPr>
        <w:ind w:left="980"/>
        <w:spacing w:after="0" w:line="197" w:lineRule="auto"/>
        <w:rPr>
          <w:sz w:val="20"/>
          <w:szCs w:val="20"/>
          <w:color w:val="auto"/>
        </w:rPr>
      </w:pPr>
      <w:r>
        <w:rPr>
          <w:rFonts w:ascii="Arial" w:cs="Arial" w:eastAsia="Arial" w:hAnsi="Arial"/>
          <w:sz w:val="20"/>
          <w:szCs w:val="20"/>
          <w:color w:val="auto"/>
        </w:rPr>
        <w:t>Company has a class of securities listed on a national securities exchange or a national securities association; and</w:t>
      </w:r>
    </w:p>
    <w:p>
      <w:pPr>
        <w:jc w:val="both"/>
        <w:ind w:left="980"/>
        <w:spacing w:after="0" w:line="225" w:lineRule="auto"/>
        <w:rPr>
          <w:sz w:val="20"/>
          <w:szCs w:val="20"/>
          <w:color w:val="auto"/>
        </w:rPr>
      </w:pPr>
      <w:r>
        <w:rPr>
          <w:rFonts w:ascii="Arial" w:cs="Arial" w:eastAsia="Arial" w:hAnsi="Arial"/>
          <w:sz w:val="20"/>
          <w:szCs w:val="20"/>
          <w:color w:val="auto"/>
        </w:rPr>
        <w:t>(iv) 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w:t>
      </w:r>
    </w:p>
    <w:p>
      <w:pPr>
        <w:spacing w:after="0" w:line="145" w:lineRule="exact"/>
        <w:rPr>
          <w:sz w:val="20"/>
          <w:szCs w:val="20"/>
          <w:color w:val="auto"/>
        </w:rPr>
      </w:pPr>
    </w:p>
    <w:p>
      <w:pPr>
        <w:ind w:left="980" w:right="80" w:hanging="324"/>
        <w:spacing w:after="0" w:line="216" w:lineRule="auto"/>
        <w:tabs>
          <w:tab w:leader="none" w:pos="967"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Erroneously Awarded Compensation</w:t>
      </w:r>
      <w:r>
        <w:rPr>
          <w:rFonts w:ascii="Arial" w:cs="Arial" w:eastAsia="Arial" w:hAnsi="Arial"/>
          <w:sz w:val="20"/>
          <w:szCs w:val="20"/>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on a pre-tax basis. If the Committee cannot determine the amount of Erroneously Awarded Compensation directly from the information in the Restatement, the Committee will make a determination based on a reasonable estimate of the effect of the Restatement.</w:t>
      </w:r>
    </w:p>
    <w:p>
      <w:pPr>
        <w:spacing w:after="0" w:line="157" w:lineRule="exact"/>
        <w:rPr>
          <w:rFonts w:ascii="Arial" w:cs="Arial" w:eastAsia="Arial" w:hAnsi="Arial"/>
          <w:sz w:val="20"/>
          <w:szCs w:val="20"/>
          <w:color w:val="auto"/>
        </w:rPr>
      </w:pPr>
    </w:p>
    <w:p>
      <w:pPr>
        <w:ind w:left="980" w:right="80" w:hanging="324"/>
        <w:spacing w:after="0" w:line="217" w:lineRule="auto"/>
        <w:tabs>
          <w:tab w:leader="none" w:pos="969"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w:t>
      </w:r>
      <w:r>
        <w:rPr>
          <w:rFonts w:ascii="Arial" w:cs="Arial" w:eastAsia="Arial" w:hAnsi="Arial"/>
          <w:sz w:val="20"/>
          <w:szCs w:val="20"/>
          <w:color w:val="auto"/>
        </w:rPr>
        <w:t>” means the Company’s current and former executive officers, as determined by the Committee in accordance with Section 10D of the Exchange Act and the Nasdaq listing standards, and such other employees who may from time to time be deemed subject to the Policy by the Committee. As of the Effective Date, the Committee has determined that members of the Company’s Management Team and the Chief Accounting Officer are Executive Officers for purposes of this Policy.</w:t>
      </w:r>
    </w:p>
    <w:p>
      <w:pPr>
        <w:spacing w:after="0" w:line="161" w:lineRule="exact"/>
        <w:rPr>
          <w:rFonts w:ascii="Arial" w:cs="Arial" w:eastAsia="Arial" w:hAnsi="Arial"/>
          <w:sz w:val="20"/>
          <w:szCs w:val="20"/>
          <w:color w:val="auto"/>
        </w:rPr>
      </w:pPr>
    </w:p>
    <w:p>
      <w:pPr>
        <w:ind w:left="980" w:right="160" w:hanging="324"/>
        <w:spacing w:after="0" w:line="227" w:lineRule="auto"/>
        <w:tabs>
          <w:tab w:leader="none" w:pos="967"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Reporting Measure</w:t>
      </w:r>
      <w:r>
        <w:rPr>
          <w:rFonts w:ascii="Arial" w:cs="Arial" w:eastAsia="Arial" w:hAnsi="Arial"/>
          <w:sz w:val="20"/>
          <w:szCs w:val="20"/>
          <w:color w:val="auto"/>
        </w:rPr>
        <w:t>” means (i) any measure that is determined and presented in accordance with the accounting principles used in preparing the Company’s financial statements, and any measures derived wholly or in part from such measures; (ii) stock price; or (iii) total shareholder return.</w:t>
      </w:r>
    </w:p>
    <w:p>
      <w:pPr>
        <w:spacing w:after="0" w:line="157" w:lineRule="exact"/>
        <w:rPr>
          <w:rFonts w:ascii="Arial" w:cs="Arial" w:eastAsia="Arial" w:hAnsi="Arial"/>
          <w:sz w:val="20"/>
          <w:szCs w:val="20"/>
          <w:color w:val="auto"/>
        </w:rPr>
      </w:pPr>
    </w:p>
    <w:p>
      <w:pPr>
        <w:ind w:left="980" w:right="20" w:hanging="324"/>
        <w:spacing w:after="0" w:line="216" w:lineRule="auto"/>
        <w:tabs>
          <w:tab w:leader="none" w:pos="967"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Incentive-Based Compensation</w:t>
      </w:r>
      <w:r>
        <w:rPr>
          <w:rFonts w:ascii="Arial" w:cs="Arial" w:eastAsia="Arial" w:hAnsi="Arial"/>
          <w:sz w:val="20"/>
          <w:szCs w:val="20"/>
          <w:color w:val="auto"/>
        </w:rPr>
        <w:t>” means any compensation that is granted, earned or vested based wholly or in part upon the attainment of a Financial Reporting Measure. Incentive-Based Compensation currently includes cash bonus awards under the CME Group Annual Incentive Plan and performance share awards under the CME Group Omnibus Stock Plan. Incentive-Based Compensation is deemed “</w:t>
      </w:r>
      <w:r>
        <w:rPr>
          <w:rFonts w:ascii="Arial" w:cs="Arial" w:eastAsia="Arial" w:hAnsi="Arial"/>
          <w:sz w:val="20"/>
          <w:szCs w:val="20"/>
          <w:u w:val="single" w:color="auto"/>
          <w:color w:val="auto"/>
        </w:rPr>
        <w:t>Received</w:t>
      </w:r>
      <w:r>
        <w:rPr>
          <w:rFonts w:ascii="Arial" w:cs="Arial" w:eastAsia="Arial" w:hAnsi="Arial"/>
          <w:sz w:val="20"/>
          <w:szCs w:val="20"/>
          <w:color w:val="auto"/>
        </w:rPr>
        <w:t>”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57" w:lineRule="exact"/>
        <w:rPr>
          <w:rFonts w:ascii="Arial" w:cs="Arial" w:eastAsia="Arial" w:hAnsi="Arial"/>
          <w:sz w:val="20"/>
          <w:szCs w:val="20"/>
          <w:color w:val="auto"/>
        </w:rPr>
      </w:pPr>
    </w:p>
    <w:p>
      <w:pPr>
        <w:jc w:val="both"/>
        <w:ind w:left="980" w:right="400" w:hanging="324"/>
        <w:spacing w:after="0" w:line="227" w:lineRule="auto"/>
        <w:tabs>
          <w:tab w:leader="none" w:pos="979"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w:t>
      </w:r>
      <w:r>
        <w:rPr>
          <w:rFonts w:ascii="Arial" w:cs="Arial" w:eastAsia="Arial" w:hAnsi="Arial"/>
          <w:sz w:val="20"/>
          <w:szCs w:val="20"/>
          <w:color w:val="auto"/>
        </w:rPr>
        <w:t>” means a required accounting restatement of any Company financial statement due to the material noncompliance of the Company with any financial reporting requirement under the securities laws, including (i) to correct an error in previously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103" w:name="page104"/>
    <w:bookmarkEnd w:id="103"/>
    <w:p>
      <w:pPr>
        <w:spacing w:after="0" w:line="16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financial statements that is material to the previously issued financial statements (commonly referred to as a “Big R”</w:t>
      </w:r>
    </w:p>
    <w:p>
      <w:pPr>
        <w:ind w:left="980" w:right="140"/>
        <w:spacing w:after="0" w:line="215" w:lineRule="auto"/>
        <w:rPr>
          <w:sz w:val="20"/>
          <w:szCs w:val="20"/>
          <w:color w:val="auto"/>
        </w:rPr>
      </w:pPr>
      <w:r>
        <w:rPr>
          <w:rFonts w:ascii="Arial" w:cs="Arial" w:eastAsia="Arial" w:hAnsi="Arial"/>
          <w:sz w:val="19"/>
          <w:szCs w:val="19"/>
          <w:color w:val="auto"/>
        </w:rPr>
        <w:t>restatement) or (ii) to correct an error in previously issued financial statements that is not material to the previously issued financial statements but that would result in a material misstatement if the error were corrected in the current</w:t>
      </w:r>
    </w:p>
    <w:p>
      <w:pPr>
        <w:ind w:left="980"/>
        <w:spacing w:after="0" w:line="211" w:lineRule="auto"/>
        <w:rPr>
          <w:sz w:val="20"/>
          <w:szCs w:val="20"/>
          <w:color w:val="auto"/>
        </w:rPr>
      </w:pPr>
      <w:r>
        <w:rPr>
          <w:rFonts w:ascii="Arial" w:cs="Arial" w:eastAsia="Arial" w:hAnsi="Arial"/>
          <w:sz w:val="20"/>
          <w:szCs w:val="20"/>
          <w:color w:val="auto"/>
        </w:rPr>
        <w:t>period or left uncorrected in the current period (commonly referred to as a “little r” restatement). Changes to the</w:t>
      </w:r>
    </w:p>
    <w:p>
      <w:pPr>
        <w:ind w:left="980" w:right="40"/>
        <w:spacing w:after="0" w:line="215" w:lineRule="auto"/>
        <w:rPr>
          <w:sz w:val="20"/>
          <w:szCs w:val="20"/>
          <w:color w:val="auto"/>
        </w:rPr>
      </w:pPr>
      <w:r>
        <w:rPr>
          <w:rFonts w:ascii="Arial" w:cs="Arial" w:eastAsia="Arial" w:hAnsi="Arial"/>
          <w:sz w:val="19"/>
          <w:szCs w:val="19"/>
          <w:color w:val="auto"/>
        </w:rPr>
        <w:t>Company’s financial statements that do not represent error corrections under the then-current relevant accounting standards will not constitute Restatements. Recovery of any Erroneously Awarded Compensation under the Policy is</w:t>
      </w:r>
    </w:p>
    <w:p>
      <w:pPr>
        <w:ind w:left="980"/>
        <w:spacing w:after="0"/>
        <w:rPr>
          <w:sz w:val="20"/>
          <w:szCs w:val="20"/>
          <w:color w:val="auto"/>
        </w:rPr>
      </w:pPr>
      <w:r>
        <w:rPr>
          <w:rFonts w:ascii="Arial" w:cs="Arial" w:eastAsia="Arial" w:hAnsi="Arial"/>
          <w:sz w:val="20"/>
          <w:szCs w:val="20"/>
          <w:color w:val="auto"/>
        </w:rPr>
        <w:t>not dependent on fraud or misconduct by any person in connection with the Restatement.</w:t>
      </w:r>
    </w:p>
    <w:p>
      <w:pPr>
        <w:spacing w:after="0" w:line="182"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22"/>
          <w:szCs w:val="22"/>
          <w:b w:val="1"/>
          <w:bCs w:val="1"/>
          <w:color w:val="auto"/>
        </w:rPr>
      </w:pPr>
      <w:r>
        <w:rPr>
          <w:rFonts w:ascii="Arial" w:cs="Arial" w:eastAsia="Arial" w:hAnsi="Arial"/>
          <w:sz w:val="20"/>
          <w:szCs w:val="20"/>
          <w:b w:val="1"/>
          <w:bCs w:val="1"/>
          <w:color w:val="auto"/>
        </w:rPr>
        <w:t>Recoupment of Erroneously Awarded Compensation</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 the event of a Restatement, the Company shall recover reasonably promptly any Erroneously Awarded Compensation</w:t>
      </w:r>
    </w:p>
    <w:p>
      <w:pPr>
        <w:ind w:right="20"/>
        <w:spacing w:after="0" w:line="232" w:lineRule="auto"/>
        <w:rPr>
          <w:sz w:val="20"/>
          <w:szCs w:val="20"/>
          <w:color w:val="auto"/>
        </w:rPr>
      </w:pPr>
      <w:r>
        <w:rPr>
          <w:rFonts w:ascii="Arial" w:cs="Arial" w:eastAsia="Arial" w:hAnsi="Arial"/>
          <w:sz w:val="20"/>
          <w:szCs w:val="20"/>
          <w:color w:val="auto"/>
        </w:rPr>
        <w:t>unless the Committee determines that such recovery would be impracticable as defined by Rule 10D-1 of the Exchange Act and the Nasdaq listing standards.</w:t>
      </w:r>
    </w:p>
    <w:p>
      <w:pPr>
        <w:spacing w:after="0" w:line="158" w:lineRule="exact"/>
        <w:rPr>
          <w:sz w:val="20"/>
          <w:szCs w:val="20"/>
          <w:color w:val="auto"/>
        </w:rPr>
      </w:pPr>
    </w:p>
    <w:p>
      <w:pPr>
        <w:ind w:right="40" w:firstLine="324"/>
        <w:spacing w:after="0" w:line="224" w:lineRule="auto"/>
        <w:rPr>
          <w:sz w:val="20"/>
          <w:szCs w:val="20"/>
          <w:color w:val="auto"/>
        </w:rPr>
      </w:pPr>
      <w:r>
        <w:rPr>
          <w:rFonts w:ascii="Arial" w:cs="Arial" w:eastAsia="Arial" w:hAnsi="Arial"/>
          <w:sz w:val="19"/>
          <w:szCs w:val="19"/>
          <w:color w:val="auto"/>
        </w:rPr>
        <w:t>The Committee will determine, in its sole discretion, the method for recovering any Erroneously Awarded Compensation including, without limitation: (i) reimbursement of cash Incentive Compensation previously paid; (ii) recovery of any gain realized</w:t>
      </w:r>
    </w:p>
    <w:p>
      <w:pPr>
        <w:spacing w:after="0" w:line="213" w:lineRule="auto"/>
        <w:rPr>
          <w:sz w:val="20"/>
          <w:szCs w:val="20"/>
          <w:color w:val="auto"/>
        </w:rPr>
      </w:pPr>
      <w:r>
        <w:rPr>
          <w:rFonts w:ascii="Arial" w:cs="Arial" w:eastAsia="Arial" w:hAnsi="Arial"/>
          <w:sz w:val="20"/>
          <w:szCs w:val="20"/>
          <w:color w:val="auto"/>
        </w:rPr>
        <w:t>on the vesting, exercise, settlement, sale, transfer or other disposition of any equity-based awards; (iii) offset against any</w:t>
      </w:r>
    </w:p>
    <w:p>
      <w:pPr>
        <w:ind w:right="140"/>
        <w:spacing w:after="0" w:line="225" w:lineRule="auto"/>
        <w:rPr>
          <w:sz w:val="20"/>
          <w:szCs w:val="20"/>
          <w:color w:val="auto"/>
        </w:rPr>
      </w:pPr>
      <w:r>
        <w:rPr>
          <w:rFonts w:ascii="Arial" w:cs="Arial" w:eastAsia="Arial" w:hAnsi="Arial"/>
          <w:sz w:val="20"/>
          <w:szCs w:val="20"/>
          <w:color w:val="auto"/>
        </w:rPr>
        <w:t>compensation otherwise owed by the Company; (iv) cancellation or forfeiture of outstanding vested or unvested equity awards; and/or (v) any other remedial and recovery action permitted by law.</w:t>
      </w:r>
    </w:p>
    <w:p>
      <w:pPr>
        <w:spacing w:after="0" w:line="170"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22"/>
          <w:szCs w:val="22"/>
          <w:b w:val="1"/>
          <w:bCs w:val="1"/>
          <w:color w:val="auto"/>
        </w:rPr>
      </w:pPr>
      <w:r>
        <w:rPr>
          <w:rFonts w:ascii="Arial" w:cs="Arial" w:eastAsia="Arial" w:hAnsi="Arial"/>
          <w:sz w:val="20"/>
          <w:szCs w:val="20"/>
          <w:b w:val="1"/>
          <w:bCs w:val="1"/>
          <w:color w:val="auto"/>
        </w:rPr>
        <w:t>No Indemnification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Company shall not indemnify any person against the loss of any Erroneously Awarded Compensation.</w:t>
      </w:r>
    </w:p>
    <w:p>
      <w:pPr>
        <w:spacing w:after="0" w:line="200" w:lineRule="exact"/>
        <w:rPr>
          <w:sz w:val="20"/>
          <w:szCs w:val="20"/>
          <w:color w:val="auto"/>
        </w:rPr>
      </w:pPr>
    </w:p>
    <w:p>
      <w:pPr>
        <w:ind w:left="640" w:hanging="308"/>
        <w:spacing w:after="0"/>
        <w:tabs>
          <w:tab w:leader="none" w:pos="640" w:val="left"/>
        </w:tabs>
        <w:numPr>
          <w:ilvl w:val="0"/>
          <w:numId w:val="72"/>
        </w:numPr>
        <w:rPr>
          <w:rFonts w:ascii="Arial" w:cs="Arial" w:eastAsia="Arial" w:hAnsi="Arial"/>
          <w:sz w:val="22"/>
          <w:szCs w:val="22"/>
          <w:b w:val="1"/>
          <w:bCs w:val="1"/>
          <w:color w:val="auto"/>
        </w:rPr>
      </w:pPr>
      <w:r>
        <w:rPr>
          <w:rFonts w:ascii="Arial" w:cs="Arial" w:eastAsia="Arial" w:hAnsi="Arial"/>
          <w:sz w:val="20"/>
          <w:szCs w:val="20"/>
          <w:b w:val="1"/>
          <w:bCs w:val="1"/>
          <w:color w:val="auto"/>
        </w:rPr>
        <w:t>Miscellaneous</w:t>
      </w:r>
    </w:p>
    <w:p>
      <w:pPr>
        <w:spacing w:after="0" w:line="168" w:lineRule="exact"/>
        <w:rPr>
          <w:sz w:val="20"/>
          <w:szCs w:val="20"/>
          <w:color w:val="auto"/>
        </w:rPr>
      </w:pPr>
    </w:p>
    <w:p>
      <w:pPr>
        <w:ind w:firstLine="324"/>
        <w:spacing w:after="0" w:line="224" w:lineRule="auto"/>
        <w:rPr>
          <w:sz w:val="20"/>
          <w:szCs w:val="20"/>
          <w:color w:val="auto"/>
        </w:rPr>
      </w:pPr>
      <w:r>
        <w:rPr>
          <w:rFonts w:ascii="Arial" w:cs="Arial" w:eastAsia="Arial" w:hAnsi="Arial"/>
          <w:sz w:val="19"/>
          <w:szCs w:val="19"/>
          <w:color w:val="auto"/>
        </w:rPr>
        <w:t>This Policy generally will be administered and interpreted by the Committee, provided that the Board may, from time to time, exercise discretion to administer and interpret this Policy, in which case, all references herein to “Committee” shall be deemed to</w:t>
      </w:r>
    </w:p>
    <w:p>
      <w:pPr>
        <w:spacing w:after="0" w:line="2"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refer to the Board. Any determination by the Committee with respect to this Policy shall be final, conclusive and binding on all interested parties. Any discretionary determinations of the Committee under this Policy, if any, need not be uniform with respect</w:t>
      </w:r>
    </w:p>
    <w:p>
      <w:pPr>
        <w:spacing w:after="0"/>
        <w:rPr>
          <w:sz w:val="20"/>
          <w:szCs w:val="20"/>
          <w:color w:val="auto"/>
        </w:rPr>
      </w:pPr>
      <w:r>
        <w:rPr>
          <w:rFonts w:ascii="Arial" w:cs="Arial" w:eastAsia="Arial" w:hAnsi="Arial"/>
          <w:sz w:val="20"/>
          <w:szCs w:val="20"/>
          <w:color w:val="auto"/>
        </w:rPr>
        <w:t>to all persons, and may be made selectively amongst persons, whether or not such persons are similarly situated.</w:t>
      </w:r>
    </w:p>
    <w:p>
      <w:pPr>
        <w:spacing w:after="0" w:line="171" w:lineRule="exact"/>
        <w:rPr>
          <w:sz w:val="20"/>
          <w:szCs w:val="20"/>
          <w:color w:val="auto"/>
        </w:rPr>
      </w:pPr>
    </w:p>
    <w:p>
      <w:pPr>
        <w:ind w:right="540" w:firstLine="324"/>
        <w:spacing w:after="0" w:line="224" w:lineRule="auto"/>
        <w:rPr>
          <w:sz w:val="20"/>
          <w:szCs w:val="20"/>
          <w:color w:val="auto"/>
        </w:rPr>
      </w:pPr>
      <w:r>
        <w:rPr>
          <w:rFonts w:ascii="Arial" w:cs="Arial" w:eastAsia="Arial" w:hAnsi="Arial"/>
          <w:sz w:val="19"/>
          <w:szCs w:val="19"/>
          <w:color w:val="auto"/>
        </w:rPr>
        <w:t>It is intended that this Policy be interpreted in a manner that is consistent with the requirements of Section 10D of the Exchange Act and any applicable rules or standards adopted by the Securities and Exchange Commission or the Nasdaq,</w:t>
      </w:r>
    </w:p>
    <w:p>
      <w:pPr>
        <w:spacing w:after="0" w:line="2"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The rights of the Company under this Policy to seek forfeiture or reimbursement are in addition to, and not in lieu of, any</w:t>
      </w:r>
    </w:p>
    <w:p>
      <w:pPr>
        <w:jc w:val="center"/>
        <w:ind w:right="80"/>
        <w:spacing w:after="0" w:line="222" w:lineRule="auto"/>
        <w:rPr>
          <w:sz w:val="20"/>
          <w:szCs w:val="20"/>
          <w:color w:val="auto"/>
        </w:rPr>
      </w:pPr>
      <w:r>
        <w:rPr>
          <w:rFonts w:ascii="Arial" w:cs="Arial" w:eastAsia="Arial" w:hAnsi="Arial"/>
          <w:sz w:val="19"/>
          <w:szCs w:val="19"/>
          <w:color w:val="auto"/>
        </w:rPr>
        <w:t>rights of recoupment, or remedies or rights other than recoupment, that may be available to the Company pursuant to the terms</w:t>
      </w:r>
    </w:p>
    <w:p>
      <w:pPr>
        <w:ind w:right="780"/>
        <w:spacing w:after="0" w:line="225" w:lineRule="auto"/>
        <w:rPr>
          <w:sz w:val="20"/>
          <w:szCs w:val="20"/>
          <w:color w:val="auto"/>
        </w:rPr>
      </w:pPr>
      <w:r>
        <w:rPr>
          <w:rFonts w:ascii="Arial" w:cs="Arial" w:eastAsia="Arial" w:hAnsi="Arial"/>
          <w:sz w:val="20"/>
          <w:szCs w:val="20"/>
          <w:color w:val="auto"/>
        </w:rPr>
        <w:t>of any law, government regulation or stock exchange listing requirement or any other policy, code of conduct, employee handbook, employment agreement, equity award agreement, or other plan or agreement of the Company.</w:t>
      </w:r>
    </w:p>
    <w:p>
      <w:pPr>
        <w:spacing w:after="0" w:line="158" w:lineRule="exact"/>
        <w:rPr>
          <w:sz w:val="20"/>
          <w:szCs w:val="20"/>
          <w:color w:val="auto"/>
        </w:rPr>
      </w:pPr>
    </w:p>
    <w:p>
      <w:pPr>
        <w:jc w:val="both"/>
        <w:ind w:right="500" w:firstLine="324"/>
        <w:spacing w:after="0" w:line="269" w:lineRule="auto"/>
        <w:rPr>
          <w:sz w:val="20"/>
          <w:szCs w:val="20"/>
          <w:color w:val="auto"/>
        </w:rPr>
      </w:pPr>
      <w:r>
        <w:rPr>
          <w:rFonts w:ascii="Arial" w:cs="Arial" w:eastAsia="Arial" w:hAnsi="Arial"/>
          <w:sz w:val="19"/>
          <w:szCs w:val="19"/>
          <w:color w:val="auto"/>
        </w:rPr>
        <w:t>Each Executive Officer shall sign and return to the Company the Acknowledgement Form attached hereto as Exhibit A, pursuant to which the Executive Officer agrees to be bound by, and to comply with, the terms and conditions of this Policy.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88" w:lineRule="exact"/>
        <w:rPr>
          <w:sz w:val="20"/>
          <w:szCs w:val="20"/>
          <w:color w:val="auto"/>
        </w:rPr>
      </w:pPr>
    </w:p>
    <w:p>
      <w:pPr>
        <w:ind w:left="640" w:hanging="308"/>
        <w:spacing w:after="0"/>
        <w:tabs>
          <w:tab w:leader="none" w:pos="640" w:val="left"/>
        </w:tabs>
        <w:numPr>
          <w:ilvl w:val="0"/>
          <w:numId w:val="73"/>
        </w:numPr>
        <w:rPr>
          <w:rFonts w:ascii="Arial" w:cs="Arial" w:eastAsia="Arial" w:hAnsi="Arial"/>
          <w:sz w:val="22"/>
          <w:szCs w:val="22"/>
          <w:b w:val="1"/>
          <w:bCs w:val="1"/>
          <w:color w:val="auto"/>
        </w:rPr>
      </w:pPr>
      <w:r>
        <w:rPr>
          <w:rFonts w:ascii="Arial" w:cs="Arial" w:eastAsia="Arial" w:hAnsi="Arial"/>
          <w:sz w:val="20"/>
          <w:szCs w:val="20"/>
          <w:b w:val="1"/>
          <w:bCs w:val="1"/>
          <w:color w:val="auto"/>
        </w:rPr>
        <w:t>Amendment and Termination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To the extent permitted by, and in a manner consistent with applicable law, including the rules and standards adopted by the</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Securities and Exchange Commission and the Nasdaq, the Committee may terminate, suspend or amend this Policy at any time in its discretion.</w:t>
      </w:r>
    </w:p>
    <w:p>
      <w:pPr>
        <w:spacing w:after="0" w:line="170" w:lineRule="exact"/>
        <w:rPr>
          <w:sz w:val="20"/>
          <w:szCs w:val="20"/>
          <w:color w:val="auto"/>
        </w:rPr>
      </w:pPr>
    </w:p>
    <w:p>
      <w:pPr>
        <w:ind w:left="640" w:hanging="308"/>
        <w:spacing w:after="0"/>
        <w:tabs>
          <w:tab w:leader="none" w:pos="640" w:val="left"/>
        </w:tabs>
        <w:numPr>
          <w:ilvl w:val="0"/>
          <w:numId w:val="74"/>
        </w:numPr>
        <w:rPr>
          <w:rFonts w:ascii="Arial" w:cs="Arial" w:eastAsia="Arial" w:hAnsi="Arial"/>
          <w:sz w:val="22"/>
          <w:szCs w:val="22"/>
          <w:b w:val="1"/>
          <w:bCs w:val="1"/>
          <w:color w:val="auto"/>
        </w:rPr>
      </w:pPr>
      <w:r>
        <w:rPr>
          <w:rFonts w:ascii="Arial" w:cs="Arial" w:eastAsia="Arial" w:hAnsi="Arial"/>
          <w:sz w:val="20"/>
          <w:szCs w:val="20"/>
          <w:b w:val="1"/>
          <w:bCs w:val="1"/>
          <w:color w:val="auto"/>
        </w:rPr>
        <w:t>Successors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This Policy shall be binding and enforceable against all persons and their respective beneficiaries, heirs, executors,</w:t>
      </w:r>
    </w:p>
    <w:p>
      <w:pPr>
        <w:ind w:right="980"/>
        <w:spacing w:after="0" w:line="225" w:lineRule="auto"/>
        <w:rPr>
          <w:sz w:val="20"/>
          <w:szCs w:val="20"/>
          <w:color w:val="auto"/>
        </w:rPr>
      </w:pPr>
      <w:r>
        <w:rPr>
          <w:rFonts w:ascii="Arial" w:cs="Arial" w:eastAsia="Arial" w:hAnsi="Arial"/>
          <w:sz w:val="20"/>
          <w:szCs w:val="20"/>
          <w:color w:val="auto"/>
        </w:rPr>
        <w:t>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CME GROUP INC.</w:t>
      </w:r>
    </w:p>
    <w:p>
      <w:pPr>
        <w:jc w:val="center"/>
        <w:spacing w:after="0" w:line="211" w:lineRule="auto"/>
        <w:rPr>
          <w:sz w:val="20"/>
          <w:szCs w:val="20"/>
          <w:color w:val="auto"/>
        </w:rPr>
      </w:pPr>
      <w:r>
        <w:rPr>
          <w:rFonts w:ascii="Arial" w:cs="Arial" w:eastAsia="Arial" w:hAnsi="Arial"/>
          <w:sz w:val="20"/>
          <w:szCs w:val="20"/>
          <w:b w:val="1"/>
          <w:bCs w:val="1"/>
          <w:color w:val="auto"/>
        </w:rPr>
        <w:t>COMPENSATION RECOUPMENT POLICY</w:t>
      </w:r>
    </w:p>
    <w:p>
      <w:pPr>
        <w:jc w:val="center"/>
        <w:spacing w:after="0"/>
        <w:rPr>
          <w:sz w:val="20"/>
          <w:szCs w:val="20"/>
          <w:color w:val="auto"/>
        </w:rPr>
      </w:pPr>
      <w:r>
        <w:rPr>
          <w:rFonts w:ascii="Arial" w:cs="Arial" w:eastAsia="Arial" w:hAnsi="Arial"/>
          <w:sz w:val="20"/>
          <w:szCs w:val="20"/>
          <w:b w:val="1"/>
          <w:bCs w:val="1"/>
          <w:color w:val="auto"/>
        </w:rPr>
        <w:t>FOR EXECUTIVE OFFICERS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ACKNOWLEDGMENT, CONSENT AND AGREEMENT</w:t>
      </w:r>
    </w:p>
    <w:p>
      <w:pPr>
        <w:spacing w:after="0" w:line="177" w:lineRule="exact"/>
        <w:rPr>
          <w:sz w:val="20"/>
          <w:szCs w:val="20"/>
          <w:color w:val="auto"/>
        </w:rPr>
      </w:pPr>
    </w:p>
    <w:p>
      <w:pPr>
        <w:ind w:right="320" w:firstLine="324"/>
        <w:spacing w:after="0" w:line="232" w:lineRule="auto"/>
        <w:rPr>
          <w:sz w:val="20"/>
          <w:szCs w:val="20"/>
          <w:color w:val="auto"/>
        </w:rPr>
      </w:pPr>
      <w:r>
        <w:rPr>
          <w:rFonts w:ascii="Arial" w:cs="Arial" w:eastAsia="Arial" w:hAnsi="Arial"/>
          <w:sz w:val="19"/>
          <w:szCs w:val="19"/>
          <w:color w:val="auto"/>
        </w:rPr>
        <w:t>I acknowledge that I have received and reviewed a copy of the CME Group Inc. Compensation Recoupment Policy for Executive Officers (the “Policy”) and I have been given an opportunity to ask questions about the Policy and review it with my</w:t>
      </w:r>
    </w:p>
    <w:p>
      <w:pPr>
        <w:spacing w:after="0" w:line="1" w:lineRule="exact"/>
        <w:rPr>
          <w:sz w:val="20"/>
          <w:szCs w:val="20"/>
          <w:color w:val="auto"/>
        </w:rPr>
      </w:pPr>
    </w:p>
    <w:p>
      <w:pPr>
        <w:ind w:right="240"/>
        <w:spacing w:after="0" w:line="215" w:lineRule="auto"/>
        <w:rPr>
          <w:sz w:val="20"/>
          <w:szCs w:val="20"/>
          <w:color w:val="auto"/>
        </w:rPr>
      </w:pPr>
      <w:r>
        <w:rPr>
          <w:rFonts w:ascii="Arial" w:cs="Arial" w:eastAsia="Arial" w:hAnsi="Arial"/>
          <w:sz w:val="19"/>
          <w:szCs w:val="19"/>
          <w:color w:val="auto"/>
        </w:rPr>
        <w:t>counsel. I knowingly, voluntarily and irrevocably consent to and agree to be bound by and subject to the Policy’s terms and conditions, including that I will return any Erroneously Awarded Compensation that is required to be repaid in accordance with</w:t>
      </w:r>
    </w:p>
    <w:p>
      <w:pPr>
        <w:spacing w:after="0" w:line="211" w:lineRule="auto"/>
        <w:rPr>
          <w:sz w:val="20"/>
          <w:szCs w:val="20"/>
          <w:color w:val="auto"/>
        </w:rPr>
      </w:pPr>
      <w:r>
        <w:rPr>
          <w:rFonts w:ascii="Arial" w:cs="Arial" w:eastAsia="Arial" w:hAnsi="Arial"/>
          <w:sz w:val="20"/>
          <w:szCs w:val="20"/>
          <w:color w:val="auto"/>
        </w:rPr>
        <w:t>the Policy. I further acknowledge, understand and agree that (i) the compensation that I receive, have received or may become</w:t>
      </w:r>
    </w:p>
    <w:p>
      <w:pPr>
        <w:ind w:right="140"/>
        <w:spacing w:after="0" w:line="215" w:lineRule="auto"/>
        <w:rPr>
          <w:sz w:val="20"/>
          <w:szCs w:val="20"/>
          <w:color w:val="auto"/>
        </w:rPr>
      </w:pPr>
      <w:r>
        <w:rPr>
          <w:rFonts w:ascii="Arial" w:cs="Arial" w:eastAsia="Arial" w:hAnsi="Arial"/>
          <w:sz w:val="19"/>
          <w:szCs w:val="19"/>
          <w:color w:val="auto"/>
        </w:rPr>
        <w:t>entitled to receive from the Company is subject to the Policy, and the Policy may affect such compensation and (ii) I have no right to indemnification, insurance payments or other reimbursement by or from the Company Group for any compensation that</w:t>
      </w:r>
    </w:p>
    <w:p>
      <w:pPr>
        <w:spacing w:after="0"/>
        <w:rPr>
          <w:sz w:val="20"/>
          <w:szCs w:val="20"/>
          <w:color w:val="auto"/>
        </w:rPr>
      </w:pPr>
      <w:r>
        <w:rPr>
          <w:rFonts w:ascii="Arial" w:cs="Arial" w:eastAsia="Arial" w:hAnsi="Arial"/>
          <w:sz w:val="20"/>
          <w:szCs w:val="20"/>
          <w:color w:val="auto"/>
        </w:rPr>
        <w:t>is subject to recoupment and/or forfeiture under the Policy.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273"/>
        </w:trPr>
        <w:tc>
          <w:tcPr>
            <w:tcW w:w="1240" w:type="dxa"/>
            <w:vAlign w:val="bottom"/>
          </w:tcPr>
          <w:p>
            <w:pPr>
              <w:spacing w:after="0"/>
              <w:rPr>
                <w:sz w:val="20"/>
                <w:szCs w:val="20"/>
                <w:color w:val="auto"/>
              </w:rPr>
            </w:pPr>
            <w:r>
              <w:rPr>
                <w:rFonts w:ascii="Arial" w:cs="Arial" w:eastAsia="Arial" w:hAnsi="Arial"/>
                <w:sz w:val="20"/>
                <w:szCs w:val="20"/>
                <w:b w:val="1"/>
                <w:bCs w:val="1"/>
                <w:color w:val="auto"/>
              </w:rPr>
              <w:t>Signed:</w:t>
            </w:r>
          </w:p>
        </w:tc>
        <w:tc>
          <w:tcPr>
            <w:tcW w:w="4640" w:type="dxa"/>
            <w:vAlign w:val="bottom"/>
          </w:tcPr>
          <w:p>
            <w:pPr>
              <w:jc w:val="right"/>
              <w:spacing w:after="0"/>
              <w:rPr>
                <w:sz w:val="20"/>
                <w:szCs w:val="20"/>
                <w:color w:val="auto"/>
              </w:rPr>
            </w:pPr>
            <w:r>
              <w:rPr>
                <w:rFonts w:ascii="Arial" w:cs="Arial" w:eastAsia="Arial" w:hAnsi="Arial"/>
                <w:sz w:val="20"/>
                <w:szCs w:val="20"/>
                <w:b w:val="1"/>
                <w:bCs w:val="1"/>
                <w:color w:val="auto"/>
              </w:rPr>
              <w:t>_________________________________________</w:t>
            </w:r>
          </w:p>
        </w:tc>
      </w:tr>
      <w:tr>
        <w:trPr>
          <w:trHeight w:val="405"/>
        </w:trPr>
        <w:tc>
          <w:tcPr>
            <w:tcW w:w="1240" w:type="dxa"/>
            <w:vAlign w:val="bottom"/>
          </w:tcPr>
          <w:p>
            <w:pPr>
              <w:spacing w:after="0"/>
              <w:rPr>
                <w:sz w:val="20"/>
                <w:szCs w:val="20"/>
                <w:color w:val="auto"/>
              </w:rPr>
            </w:pPr>
            <w:r>
              <w:rPr>
                <w:rFonts w:ascii="Arial" w:cs="Arial" w:eastAsia="Arial" w:hAnsi="Arial"/>
                <w:sz w:val="20"/>
                <w:szCs w:val="20"/>
                <w:b w:val="1"/>
                <w:bCs w:val="1"/>
                <w:color w:val="auto"/>
              </w:rPr>
              <w:t>Print Name:</w:t>
            </w:r>
          </w:p>
        </w:tc>
        <w:tc>
          <w:tcPr>
            <w:tcW w:w="4640" w:type="dxa"/>
            <w:vAlign w:val="bottom"/>
          </w:tcPr>
          <w:p>
            <w:pPr>
              <w:jc w:val="right"/>
              <w:spacing w:after="0"/>
              <w:rPr>
                <w:sz w:val="20"/>
                <w:szCs w:val="20"/>
                <w:color w:val="auto"/>
              </w:rPr>
            </w:pPr>
            <w:r>
              <w:rPr>
                <w:rFonts w:ascii="Arial" w:cs="Arial" w:eastAsia="Arial" w:hAnsi="Arial"/>
                <w:sz w:val="20"/>
                <w:szCs w:val="20"/>
                <w:b w:val="1"/>
                <w:bCs w:val="1"/>
                <w:color w:val="auto"/>
              </w:rPr>
              <w:t>_________________________________________</w:t>
            </w:r>
          </w:p>
        </w:tc>
      </w:tr>
      <w:tr>
        <w:trPr>
          <w:trHeight w:val="418"/>
        </w:trPr>
        <w:tc>
          <w:tcPr>
            <w:tcW w:w="1240" w:type="dxa"/>
            <w:vAlign w:val="bottom"/>
          </w:tcPr>
          <w:p>
            <w:pPr>
              <w:spacing w:after="0"/>
              <w:rPr>
                <w:sz w:val="20"/>
                <w:szCs w:val="20"/>
                <w:color w:val="auto"/>
              </w:rPr>
            </w:pPr>
            <w:r>
              <w:rPr>
                <w:rFonts w:ascii="Arial" w:cs="Arial" w:eastAsia="Arial" w:hAnsi="Arial"/>
                <w:sz w:val="20"/>
                <w:szCs w:val="20"/>
                <w:b w:val="1"/>
                <w:bCs w:val="1"/>
                <w:color w:val="auto"/>
              </w:rPr>
              <w:t>Date:</w:t>
            </w:r>
          </w:p>
        </w:tc>
        <w:tc>
          <w:tcPr>
            <w:tcW w:w="4640" w:type="dxa"/>
            <w:vAlign w:val="bottom"/>
          </w:tcPr>
          <w:p>
            <w:pPr>
              <w:jc w:val="right"/>
              <w:spacing w:after="0"/>
              <w:rPr>
                <w:sz w:val="20"/>
                <w:szCs w:val="20"/>
                <w:color w:val="auto"/>
              </w:rPr>
            </w:pPr>
            <w:r>
              <w:rPr>
                <w:rFonts w:ascii="Arial" w:cs="Arial" w:eastAsia="Arial" w:hAnsi="Arial"/>
                <w:sz w:val="20"/>
                <w:szCs w:val="20"/>
                <w:b w:val="1"/>
                <w:bCs w:val="1"/>
                <w:color w:val="auto"/>
              </w:rPr>
              <w:t>_________________________________________</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lowerRoman"/>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3"/>
    </w:lvl>
  </w:abstractNum>
  <w:abstractNum w:abstractNumId="46">
    <w:nsid w:val="D34B6A8"/>
    <w:multiLevelType w:val="hybridMultilevel"/>
    <w:lvl w:ilvl="0">
      <w:lvlJc w:val="left"/>
      <w:lvlText w:val="%1."/>
      <w:numFmt w:val="decimal"/>
      <w:start w:val="3"/>
    </w:lvl>
  </w:abstractNum>
  <w:abstractNum w:abstractNumId="47">
    <w:nsid w:val="10233C99"/>
    <w:multiLevelType w:val="hybridMultilevel"/>
    <w:lvl w:ilvl="0">
      <w:lvlJc w:val="left"/>
      <w:lvlText w:val="%1."/>
      <w:numFmt w:val="decimal"/>
      <w:start w:val="4"/>
    </w:lvl>
  </w:abstractNum>
  <w:abstractNum w:abstractNumId="48">
    <w:nsid w:val="3F6AB60F"/>
    <w:multiLevelType w:val="hybridMultilevel"/>
    <w:lvl w:ilvl="0">
      <w:lvlJc w:val="left"/>
      <w:lvlText w:val="%1."/>
      <w:numFmt w:val="decimal"/>
      <w:start w:val="10"/>
    </w:lvl>
  </w:abstractNum>
  <w:abstractNum w:abstractNumId="49">
    <w:nsid w:val="61574095"/>
    <w:multiLevelType w:val="hybridMultilevel"/>
    <w:lvl w:ilvl="0">
      <w:lvlJc w:val="left"/>
      <w:lvlText w:val="%1"/>
      <w:numFmt w:val="decimal"/>
      <w:start w:val="101"/>
    </w:lvl>
  </w:abstractNum>
  <w:abstractNum w:abstractNumId="50">
    <w:nsid w:val="7E0C57B1"/>
    <w:multiLevelType w:val="hybridMultilevel"/>
    <w:lvl w:ilvl="0">
      <w:lvlJc w:val="left"/>
      <w:lvlText w:val="%1"/>
      <w:numFmt w:val="decimal"/>
      <w:start w:val="104"/>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decimal"/>
      <w:start w:val="5"/>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decimal"/>
      <w:start w:val="5"/>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2"/>
    </w:lvl>
  </w:abstractNum>
  <w:abstractNum w:abstractNumId="69">
    <w:nsid w:val="42C296BD"/>
    <w:multiLevelType w:val="hybridMultilevel"/>
    <w:lvl w:ilvl="0">
      <w:lvlJc w:val="left"/>
      <w:lvlText w:val="%1."/>
      <w:numFmt w:val="decimal"/>
      <w:start w:val="2"/>
    </w:lvl>
  </w:abstractNum>
  <w:abstractNum w:abstractNumId="70">
    <w:nsid w:val="168E121F"/>
    <w:multiLevelType w:val="hybridMultilevel"/>
    <w:lvl w:ilvl="0">
      <w:lvlJc w:val="left"/>
      <w:lvlText w:val="%1."/>
      <w:numFmt w:val="decimal"/>
      <w:start w:val="3"/>
    </w:lvl>
  </w:abstractNum>
  <w:abstractNum w:abstractNumId="71">
    <w:nsid w:val="1EBA5D23"/>
    <w:multiLevelType w:val="hybridMultilevel"/>
    <w:lvl w:ilvl="0">
      <w:lvlJc w:val="left"/>
      <w:lvlText w:val="%1."/>
      <w:numFmt w:val="decimal"/>
      <w:start w:val="4"/>
    </w:lvl>
  </w:abstractNum>
  <w:abstractNum w:abstractNumId="72">
    <w:nsid w:val="661E3F1E"/>
    <w:multiLevelType w:val="hybridMultilevel"/>
    <w:lvl w:ilvl="0">
      <w:lvlJc w:val="left"/>
      <w:lvlText w:val="%1."/>
      <w:numFmt w:val="decimal"/>
      <w:start w:val="5"/>
    </w:lvl>
  </w:abstractNum>
  <w:abstractNum w:abstractNumId="73">
    <w:nsid w:val="5DC79EA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47"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19" Type="http://schemas.openxmlformats.org/officeDocument/2006/relationships/hyperlink" Target="http://www.sec.gov/Archives/edgar/data/1156375/000119312521319504/d204323dex32.htm" TargetMode="External"/><Relationship Id="rId120" Type="http://schemas.openxmlformats.org/officeDocument/2006/relationships/hyperlink" Target="http://www.sec.gov/Archives/edgar/data/1156375/000119312522301477/d412380dex31.htm" TargetMode="External"/><Relationship Id="rId121" Type="http://schemas.openxmlformats.org/officeDocument/2006/relationships/hyperlink" Target="http://www.sec.gov/Archives/edgar/data/1156375/000119312521319504/d204323dex31.htm" TargetMode="External"/><Relationship Id="rId122" Type="http://schemas.openxmlformats.org/officeDocument/2006/relationships/hyperlink" Target="http://www.sec.gov/Archives/edgar/data/1156375/000115637515000014/cme-2014123110kex41.htm" TargetMode="External"/><Relationship Id="rId123" Type="http://schemas.openxmlformats.org/officeDocument/2006/relationships/hyperlink" Target="http://www.sec.gov/Archives/edgar/data/1156375/000115637515000014/cme-2014123110kex43.htm" TargetMode="External"/><Relationship Id="rId124" Type="http://schemas.openxmlformats.org/officeDocument/2006/relationships/hyperlink" Target="http://www.sec.gov/Archives/edgar/data/1156375/000115637515000014/cme-2014123110kex44.htm" TargetMode="External"/><Relationship Id="rId125" Type="http://schemas.openxmlformats.org/officeDocument/2006/relationships/hyperlink" Target="http://www.sec.gov/Archives/edgar/data/1156375/000119312508176550/dex41.htm" TargetMode="External"/><Relationship Id="rId126" Type="http://schemas.openxmlformats.org/officeDocument/2006/relationships/hyperlink" Target="http://www.sec.gov/Archives/edgar/data/1156375/000119312513360978/d594525dex42.htm" TargetMode="External"/><Relationship Id="rId127" Type="http://schemas.openxmlformats.org/officeDocument/2006/relationships/hyperlink" Target="http://www.sec.gov/Archives/edgar/data/1156375/000119312515082491/d887316dex42.htm" TargetMode="External"/><Relationship Id="rId128" Type="http://schemas.openxmlformats.org/officeDocument/2006/relationships/hyperlink" Target="http://www.sec.gov/Archives/edgar/data/1156375/000119312518199544/d771010dex42.htm" TargetMode="External"/><Relationship Id="rId129" Type="http://schemas.openxmlformats.org/officeDocument/2006/relationships/hyperlink" Target="http://www.sec.gov/Archives/edgar/data/1156375/000119312518199544/d771010dex43.htm" TargetMode="External"/><Relationship Id="rId130" Type="http://schemas.openxmlformats.org/officeDocument/2006/relationships/hyperlink" Target="http://www.sec.gov/Archives/edgar/data/1156375/000119312522069252/d301292dex42.htm" TargetMode="External"/><Relationship Id="rId131" Type="http://schemas.openxmlformats.org/officeDocument/2006/relationships/hyperlink" Target="http://www.sec.gov/Archives/edgar/data/1156375/000115637522000076/cme-2021123110kex411.htm" TargetMode="External"/><Relationship Id="rId132" Type="http://schemas.openxmlformats.org/officeDocument/2006/relationships/hyperlink" Target="http://www.sec.gov/Archives/edgar/data/1156375/000115637522000215/a2022amendedandrestatedomn.htm" TargetMode="External"/><Relationship Id="rId133" Type="http://schemas.openxmlformats.org/officeDocument/2006/relationships/hyperlink" Target="http://www.sec.gov/Archives/edgar/data/1156375/000119312522171053/d280362dex991.htm" TargetMode="External"/><Relationship Id="rId134" Type="http://schemas.openxmlformats.org/officeDocument/2006/relationships/hyperlink" Target="http://www.sec.gov/Archives/edgar/data/1156375/000115637518000026/cme-2017123110kex105.htm" TargetMode="External"/><Relationship Id="rId135" Type="http://schemas.openxmlformats.org/officeDocument/2006/relationships/hyperlink" Target="http://www.sec.gov/Archives/edgar/data/1156375/000119312522171053/d280362dex992.htm" TargetMode="External"/><Relationship Id="rId138" Type="http://schemas.openxmlformats.org/officeDocument/2006/relationships/hyperlink" Target="http://www.sec.gov/Archives/edgar/data/1156375/000119312509042361/dex109.htm" TargetMode="External"/><Relationship Id="rId139" Type="http://schemas.openxmlformats.org/officeDocument/2006/relationships/hyperlink" Target="http://www.sec.gov/Archives/edgar/data/1105018/000095012301002844/y46628e10-k.txt" TargetMode="External"/><Relationship Id="rId140" Type="http://schemas.openxmlformats.org/officeDocument/2006/relationships/hyperlink" Target="http://www.sec.gov/Archives/edgar/data/1156375/000119312521139919/d185277dex101.htm" TargetMode="External"/><Relationship Id="rId141" Type="http://schemas.openxmlformats.org/officeDocument/2006/relationships/hyperlink" Target="http://www.sec.gov/Archives/edgar/data/1156375/000119312522127526/d329281dex101.htm" TargetMode="External"/><Relationship Id="rId142" Type="http://schemas.openxmlformats.org/officeDocument/2006/relationships/hyperlink" Target="http://www.sec.gov/Archives/edgar/data/1156375/000119312523123953/d500246dex101.htm" TargetMode="External"/><Relationship Id="rId143" Type="http://schemas.openxmlformats.org/officeDocument/2006/relationships/hyperlink" Target="http://www.sec.gov/Archives/edgar/data/1156375/000115637521000167/equitygrantletterrestricte.htm" TargetMode="External"/><Relationship Id="rId144" Type="http://schemas.openxmlformats.org/officeDocument/2006/relationships/hyperlink" Target="http://www.sec.gov/Archives/edgar/data/1156375/000115637523000190/mtpsagrantlettertemplate20.htm" TargetMode="External"/><Relationship Id="rId145" Type="http://schemas.openxmlformats.org/officeDocument/2006/relationships/hyperlink" Target="http://www.sec.gov/Archives/edgar/data/1156375/000119312521330866/d260121dex101.htm" TargetMode="External"/><Relationship Id="rId146" Type="http://schemas.openxmlformats.org/officeDocument/2006/relationships/hyperlink" Target="http://www.sec.gov/Archives/edgar/data/1156375/000115637522000215/a20120629splicenseagreemen.htm" TargetMode="External"/><Relationship Id="rId148" Type="http://schemas.openxmlformats.org/officeDocument/2006/relationships/hyperlink" Target="http://www.sec.gov/Archives/edgar/data/1156375/000119312523067672/d472500dex101.htm" TargetMode="External"/><Relationship Id="rId149" Type="http://schemas.openxmlformats.org/officeDocument/2006/relationships/hyperlink" Target="http://www.sec.gov/Archives/edgar/data/1156375/000119312523085533/d488577dex101.htm" TargetMode="External"/><Relationship Id="rId150" Type="http://schemas.openxmlformats.org/officeDocument/2006/relationships/hyperlink" Target="http://www.sec.gov/Archives/edgar/data/1156375/000119312523275501/d412098dex101.htm" TargetMode="External"/><Relationship Id="rId151" Type="http://schemas.openxmlformats.org/officeDocument/2006/relationships/hyperlink" Target="http://www.sec.gov/Archives/edgar/data/1156375/000119312523275501/d412098dex102.htm" TargetMode="External"/><Relationship Id="rId152" Type="http://schemas.openxmlformats.org/officeDocument/2006/relationships/hyperlink" Target="http://www.sec.gov/Archives/edgar/data/1156375/000119312523290001/d5131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2024-02-28T14:58:20Z</dcterms:created>
  <dcterms:modified xsi:type="dcterms:W3CDTF">2024-02-28T14:58:20Z</dcterms:modified>
</cp:coreProperties>
</file>