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640" w:hanging="614"/>
        <w:spacing w:after="0" w:line="190" w:lineRule="auto"/>
        <w:tabs>
          <w:tab w:leader="none" w:pos="6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6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18"/>
                <w:szCs w:val="18"/>
                <w:color w:val="auto"/>
              </w:rPr>
            </w:pPr>
          </w:p>
        </w:tc>
        <w:tc>
          <w:tcPr>
            <w:tcW w:w="366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OR</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420" w:type="dxa"/>
            <w:vAlign w:val="bottom"/>
            <w:vMerge w:val="continue"/>
          </w:tcPr>
          <w:p>
            <w:pPr>
              <w:spacing w:after="0"/>
              <w:rPr>
                <w:sz w:val="24"/>
                <w:szCs w:val="24"/>
                <w:color w:val="auto"/>
              </w:rPr>
            </w:pPr>
          </w:p>
        </w:tc>
        <w:tc>
          <w:tcPr>
            <w:tcW w:w="108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58"/>
        </w:trPr>
        <w:tc>
          <w:tcPr>
            <w:tcW w:w="4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001-31553</w:t>
            </w: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5"/>
        </w:trPr>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80" w:type="dxa"/>
            <w:vAlign w:val="bottom"/>
            <w:gridSpan w:val="2"/>
          </w:tcPr>
          <w:p>
            <w:pPr>
              <w:jc w:val="center"/>
              <w:ind w:right="3654"/>
              <w:spacing w:after="0"/>
              <w:rPr>
                <w:sz w:val="20"/>
                <w:szCs w:val="20"/>
                <w:color w:val="auto"/>
              </w:rPr>
            </w:pPr>
            <w:r>
              <w:rPr>
                <w:rFonts w:ascii="Times New Roman" w:cs="Times New Roman" w:eastAsia="Times New Roman" w:hAnsi="Times New Roman"/>
                <w:sz w:val="43"/>
                <w:szCs w:val="43"/>
                <w:b w:val="1"/>
                <w:bCs w:val="1"/>
                <w:color w:val="auto"/>
              </w:rPr>
              <w:t>CME GROUP INC.</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3320" w:type="dxa"/>
            <w:vAlign w:val="bottom"/>
          </w:tcPr>
          <w:p>
            <w:pPr>
              <w:jc w:val="center"/>
              <w:ind w:left="14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tcPr>
          <w:p>
            <w:pPr>
              <w:spacing w:after="0"/>
              <w:rPr>
                <w:sz w:val="22"/>
                <w:szCs w:val="22"/>
                <w:color w:val="auto"/>
              </w:rPr>
            </w:pPr>
          </w:p>
        </w:tc>
        <w:tc>
          <w:tcPr>
            <w:tcW w:w="3820" w:type="dxa"/>
            <w:vAlign w:val="bottom"/>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36-4459170</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332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660" w:type="dxa"/>
            <w:vAlign w:val="bottom"/>
          </w:tcPr>
          <w:p>
            <w:pPr>
              <w:spacing w:after="0"/>
              <w:rPr>
                <w:sz w:val="13"/>
                <w:szCs w:val="13"/>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332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6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980" w:type="dxa"/>
            <w:vAlign w:val="bottom"/>
            <w:gridSpan w:val="2"/>
          </w:tcPr>
          <w:p>
            <w:pPr>
              <w:jc w:val="center"/>
              <w:ind w:right="2032"/>
              <w:spacing w:after="0"/>
              <w:rPr>
                <w:sz w:val="20"/>
                <w:szCs w:val="20"/>
                <w:color w:val="auto"/>
              </w:rPr>
            </w:pPr>
            <w:r>
              <w:rPr>
                <w:rFonts w:ascii="Times New Roman" w:cs="Times New Roman" w:eastAsia="Times New Roman" w:hAnsi="Times New Roman"/>
                <w:sz w:val="14"/>
                <w:szCs w:val="14"/>
                <w:b w:val="1"/>
                <w:bCs w:val="1"/>
                <w:color w:val="auto"/>
              </w:rPr>
              <w:t>20 South Wacker Drive Chicago Illinois</w:t>
            </w:r>
          </w:p>
        </w:tc>
        <w:tc>
          <w:tcPr>
            <w:tcW w:w="3820" w:type="dxa"/>
            <w:vAlign w:val="bottom"/>
          </w:tcPr>
          <w:p>
            <w:pPr>
              <w:jc w:val="right"/>
              <w:ind w:right="1534"/>
              <w:spacing w:after="0"/>
              <w:rPr>
                <w:sz w:val="20"/>
                <w:szCs w:val="20"/>
                <w:color w:val="auto"/>
              </w:rPr>
            </w:pPr>
            <w:r>
              <w:rPr>
                <w:rFonts w:ascii="Times New Roman" w:cs="Times New Roman" w:eastAsia="Times New Roman" w:hAnsi="Times New Roman"/>
                <w:sz w:val="14"/>
                <w:szCs w:val="14"/>
                <w:b w:val="1"/>
                <w:bCs w:val="1"/>
                <w:color w:val="auto"/>
              </w:rPr>
              <w:t>60606</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6980" w:type="dxa"/>
            <w:vAlign w:val="bottom"/>
            <w:gridSpan w:val="2"/>
          </w:tcPr>
          <w:p>
            <w:pPr>
              <w:jc w:val="center"/>
              <w:ind w:right="203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43"/>
        </w:trPr>
        <w:tc>
          <w:tcPr>
            <w:tcW w:w="420" w:type="dxa"/>
            <w:vAlign w:val="bottom"/>
          </w:tcPr>
          <w:p>
            <w:pPr>
              <w:spacing w:after="0"/>
              <w:rPr>
                <w:sz w:val="24"/>
                <w:szCs w:val="24"/>
                <w:color w:val="auto"/>
              </w:rPr>
            </w:pPr>
          </w:p>
        </w:tc>
        <w:tc>
          <w:tcPr>
            <w:tcW w:w="10800" w:type="dxa"/>
            <w:vAlign w:val="bottom"/>
            <w:gridSpan w:val="3"/>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(312) 930-1000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6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820" w:type="dxa"/>
            <w:vAlign w:val="bottom"/>
            <w:tcBorders>
              <w:bottom w:val="single" w:sz="8" w:color="auto"/>
            </w:tcBorders>
          </w:tcPr>
          <w:p>
            <w:pPr>
              <w:jc w:val="center"/>
              <w:ind w:right="1134"/>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3320" w:type="dxa"/>
            <w:vAlign w:val="bottom"/>
          </w:tcPr>
          <w:p>
            <w:pPr>
              <w:jc w:val="center"/>
              <w:ind w:left="733"/>
              <w:spacing w:after="0"/>
              <w:rPr>
                <w:sz w:val="20"/>
                <w:szCs w:val="20"/>
                <w:color w:val="auto"/>
              </w:rPr>
            </w:pPr>
            <w:r>
              <w:rPr>
                <w:rFonts w:ascii="Times New Roman" w:cs="Times New Roman" w:eastAsia="Times New Roman" w:hAnsi="Times New Roman"/>
                <w:sz w:val="13"/>
                <w:szCs w:val="13"/>
                <w:b w:val="1"/>
                <w:bCs w:val="1"/>
                <w:color w:val="auto"/>
                <w:w w:val="96"/>
              </w:rPr>
              <w:t>Class A Common Stock $0.01 par value</w:t>
            </w:r>
          </w:p>
        </w:tc>
        <w:tc>
          <w:tcPr>
            <w:tcW w:w="3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CME</w:t>
            </w:r>
          </w:p>
        </w:tc>
        <w:tc>
          <w:tcPr>
            <w:tcW w:w="3820" w:type="dxa"/>
            <w:vAlign w:val="bottom"/>
          </w:tcPr>
          <w:p>
            <w:pPr>
              <w:jc w:val="center"/>
              <w:ind w:right="1154"/>
              <w:spacing w:after="0"/>
              <w:rPr>
                <w:sz w:val="20"/>
                <w:szCs w:val="20"/>
                <w:color w:val="auto"/>
              </w:rPr>
            </w:pPr>
            <w:r>
              <w:rPr>
                <w:rFonts w:ascii="Times New Roman" w:cs="Times New Roman" w:eastAsia="Times New Roman" w:hAnsi="Times New Roman"/>
                <w:sz w:val="13"/>
                <w:szCs w:val="13"/>
                <w:b w:val="1"/>
                <w:bCs w:val="1"/>
                <w:color w:val="auto"/>
                <w:w w:val="95"/>
              </w:rPr>
              <w:t>Nasdaq</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color w:val="auto"/>
        </w:rPr>
        <w:t>____________________________________________________</w:t>
      </w:r>
    </w:p>
    <w:p>
      <w:pPr>
        <w:spacing w:after="0" w:line="49"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pacing w:after="0" w:line="1" w:lineRule="exact"/>
        <w:rPr>
          <w:sz w:val="24"/>
          <w:szCs w:val="24"/>
          <w:color w:val="auto"/>
        </w:rPr>
      </w:pPr>
    </w:p>
    <w:p>
      <w:pPr>
        <w:ind w:right="328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8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Accelerated filer</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3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2024, was approximately $70.4 billion (based on the closing price per share of CME Group Inc. Class A common stock on the Nasdaq Global Select Market (Nasdaq) on such date). The number of shares outstanding of each of the registrant’s classes of common stock as of February 12, 2025 was as follows: 360,354,174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4" w:lineRule="exact"/>
        <w:rPr>
          <w:sz w:val="24"/>
          <w:szCs w:val="24"/>
          <w:color w:val="auto"/>
        </w:rPr>
      </w:pPr>
    </w:p>
    <w:p>
      <w:pPr>
        <w:ind w:left="2660"/>
        <w:spacing w:after="0"/>
        <w:tabs>
          <w:tab w:leader="none" w:pos="8020" w:val="left"/>
        </w:tabs>
        <w:rPr>
          <w:sz w:val="20"/>
          <w:szCs w:val="20"/>
          <w:color w:val="auto"/>
        </w:rPr>
      </w:pPr>
      <w:r>
        <w:rPr>
          <w:rFonts w:ascii="Times New Roman" w:cs="Times New Roman" w:eastAsia="Times New Roman" w:hAnsi="Times New Roman"/>
          <w:sz w:val="13"/>
          <w:szCs w:val="13"/>
          <w:b w:val="1"/>
          <w:bCs w:val="1"/>
          <w:color w:val="auto"/>
        </w:rPr>
        <w:t>Documents</w:t>
      </w:r>
      <w:r>
        <w:rPr>
          <w:sz w:val="20"/>
          <w:szCs w:val="20"/>
          <w:color w:val="auto"/>
        </w:rPr>
        <w:tab/>
      </w:r>
      <w:r>
        <w:rPr>
          <w:rFonts w:ascii="Times New Roman" w:cs="Times New Roman" w:eastAsia="Times New Roman" w:hAnsi="Times New Roman"/>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p>
      <w:pPr>
        <w:spacing w:after="0" w:line="37" w:lineRule="exact"/>
        <w:rPr>
          <w:sz w:val="24"/>
          <w:szCs w:val="24"/>
          <w:color w:val="auto"/>
        </w:rPr>
      </w:pPr>
    </w:p>
    <w:p>
      <w:pPr>
        <w:ind w:left="20"/>
        <w:spacing w:after="0"/>
        <w:tabs>
          <w:tab w:leader="none" w:pos="8400" w:val="left"/>
        </w:tabs>
        <w:rPr>
          <w:sz w:val="20"/>
          <w:szCs w:val="20"/>
          <w:color w:val="auto"/>
        </w:rPr>
      </w:pPr>
      <w:r>
        <w:rPr>
          <w:rFonts w:ascii="Times New Roman" w:cs="Times New Roman" w:eastAsia="Times New Roman" w:hAnsi="Times New Roman"/>
          <w:sz w:val="14"/>
          <w:szCs w:val="14"/>
          <w:color w:val="auto"/>
        </w:rPr>
        <w:t>Portions of CME Group Inc.’s Proxy Statement for the 2025 Annual Meeting of Shareholders</w:t>
      </w:r>
      <w:r>
        <w:rPr>
          <w:sz w:val="20"/>
          <w:szCs w:val="20"/>
          <w:color w:val="auto"/>
        </w:rPr>
        <w:tab/>
      </w:r>
      <w:r>
        <w:rPr>
          <w:rFonts w:ascii="Times New Roman" w:cs="Times New Roman" w:eastAsia="Times New Roman" w:hAnsi="Times New Roman"/>
          <w:sz w:val="13"/>
          <w:szCs w:val="13"/>
          <w:color w:val="auto"/>
        </w:rPr>
        <w:t>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6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CME GROUP INC.</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5"/>
            <w:vMerge w:val="restart"/>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640" w:type="dxa"/>
            <w:vAlign w:val="bottom"/>
            <w:tcBorders>
              <w:bottom w:val="single" w:sz="8" w:color="0000FF"/>
            </w:tcBorders>
            <w:vMerge w:val="continue"/>
          </w:tcPr>
          <w:p>
            <w:pPr>
              <w:spacing w:after="0"/>
              <w:rPr>
                <w:sz w:val="24"/>
                <w:szCs w:val="24"/>
                <w:color w:val="auto"/>
              </w:rPr>
            </w:pPr>
          </w:p>
        </w:tc>
        <w:tc>
          <w:tcPr>
            <w:tcW w:w="7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360" w:type="dxa"/>
            <w:vAlign w:val="bottom"/>
            <w:gridSpan w:val="20"/>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Unresolved Staff Comments</w:t>
            </w:r>
          </w:p>
        </w:tc>
        <w:tc>
          <w:tcPr>
            <w:tcW w:w="6180" w:type="dxa"/>
            <w:vAlign w:val="bottom"/>
            <w:gridSpan w:val="1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1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Cybersecurity</w:t>
            </w:r>
          </w:p>
        </w:tc>
        <w:tc>
          <w:tcPr>
            <w:tcW w:w="7240" w:type="dxa"/>
            <w:vAlign w:val="bottom"/>
            <w:gridSpan w:val="19"/>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Properties</w:t>
            </w:r>
          </w:p>
        </w:tc>
        <w:tc>
          <w:tcPr>
            <w:tcW w:w="7540" w:type="dxa"/>
            <w:vAlign w:val="bottom"/>
            <w:gridSpan w:val="2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20" w:type="dxa"/>
            <w:vAlign w:val="bottom"/>
            <w:gridSpan w:val="4"/>
          </w:tcPr>
          <w:p>
            <w:pPr>
              <w:spacing w:after="0"/>
              <w:rPr>
                <w:sz w:val="22"/>
                <w:szCs w:val="22"/>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Shareholder Matters and Issuer Purchases of Equity</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Securities</w:t>
            </w:r>
          </w:p>
        </w:tc>
        <w:tc>
          <w:tcPr>
            <w:tcW w:w="7140" w:type="dxa"/>
            <w:vAlign w:val="bottom"/>
            <w:tcBorders>
              <w:top w:val="single" w:sz="8" w:color="0000FF"/>
            </w:tcBorders>
            <w:gridSpan w:val="22"/>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[Reserved]</w:t>
            </w:r>
          </w:p>
        </w:tc>
        <w:tc>
          <w:tcPr>
            <w:tcW w:w="7500" w:type="dxa"/>
            <w:vAlign w:val="bottom"/>
            <w:gridSpan w:val="21"/>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68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1500" w:type="dxa"/>
            <w:vAlign w:val="bottom"/>
            <w:gridSpan w:val="4"/>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3720" w:type="dxa"/>
            <w:vAlign w:val="bottom"/>
            <w:gridSpan w:val="7"/>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8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Changes in and Disagreements with Accountants on Accounting and Financial Disclosure</w:t>
            </w:r>
          </w:p>
        </w:tc>
        <w:tc>
          <w:tcPr>
            <w:tcW w:w="1480" w:type="dxa"/>
            <w:vAlign w:val="bottom"/>
            <w:gridSpan w:val="3"/>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Controls and Procedures</w:t>
            </w:r>
          </w:p>
        </w:tc>
        <w:tc>
          <w:tcPr>
            <w:tcW w:w="6420" w:type="dxa"/>
            <w:vAlign w:val="bottom"/>
            <w:gridSpan w:val="13"/>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Directors, Executive Officers and Corporate Governance</w:t>
            </w:r>
          </w:p>
        </w:tc>
        <w:tc>
          <w:tcPr>
            <w:tcW w:w="3960" w:type="dxa"/>
            <w:vAlign w:val="bottom"/>
            <w:gridSpan w:val="8"/>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Shareholder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78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rPr>
              <w:t>Certain Relationships, Related Transactions and Director Independence</w:t>
            </w:r>
          </w:p>
        </w:tc>
        <w:tc>
          <w:tcPr>
            <w:tcW w:w="520" w:type="dxa"/>
            <w:vAlign w:val="bottom"/>
            <w:gridSpan w:val="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5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Principal Accountant Fees and Services</w:t>
            </w:r>
          </w:p>
        </w:tc>
        <w:tc>
          <w:tcPr>
            <w:tcW w:w="2820" w:type="dxa"/>
            <w:vAlign w:val="bottom"/>
            <w:gridSpan w:val="5"/>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3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Exhibits and Financial Statement Schedules</w:t>
            </w:r>
          </w:p>
        </w:tc>
        <w:tc>
          <w:tcPr>
            <w:tcW w:w="4960" w:type="dxa"/>
            <w:vAlign w:val="bottom"/>
            <w:gridSpan w:val="10"/>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Form 10-K Summary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17"/>
          </w:tcPr>
          <w:p>
            <w:pPr>
              <w:jc w:val="center"/>
              <w:ind w:left="389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4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whether as a result of new information, future events or otherwise. Among the factors that might affect our performance are:</w:t>
      </w:r>
    </w:p>
    <w:p>
      <w:pPr>
        <w:spacing w:after="0" w:line="77" w:lineRule="exact"/>
        <w:rPr>
          <w:sz w:val="20"/>
          <w:szCs w:val="20"/>
          <w:color w:val="auto"/>
        </w:rPr>
      </w:pPr>
    </w:p>
    <w:p>
      <w:pPr>
        <w:ind w:left="660" w:right="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 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variable costs relating to CME Group's transition to the Google Cloud and minimize duplicative costs during the transition between maintaining the on-premise environment and the Google Cloud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restrictions on our ability to offer CME Group products and services in specific geographies or to specific customers or limitations or changes in underlying/physical product flows across geographies;</w:t>
      </w:r>
    </w:p>
    <w:p>
      <w:pPr>
        <w:spacing w:after="0" w:line="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10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7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4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and third-parties rely on;</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distribution partners, including independent software vendors (ISVs), Futures Commission Merchants (FCMs), introducing brokers, broker-dealers around the world, regulatory reporting and data distributors and platform operators, and other partners, for facilitating trading and for market data information, and potential impacts from changes in their business models and priorities;</w:t>
      </w:r>
    </w:p>
    <w:p>
      <w:pPr>
        <w:spacing w:after="0" w:line="1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 economic, social, political and market conditions, including the volatility of the capital and credit markets and the impact of economic conditions on the trading activity of our current and potential customers;</w:t>
      </w:r>
    </w:p>
    <w:p>
      <w:pPr>
        <w:spacing w:after="0" w:line="1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market data and order transaction traffic across the entire trade cycle and the ability to implement enhancements without failure or degradation of the performance of our trading and clearing systems and meeting our regulatory reporting obligations;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our primary business and distribution partners’ actions and our partnership with Google, including our ability to manage the successful implementation of our agreements with Google and our data center partners;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pricing/fee level and structure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this Report beginning on 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CME Group enables clients to trade futures, options, cash and over-the-counter (OTC) products, optimize portfolios, and analyze data - empowering market participants worldwide the ability to efficiently manage risk and capture opportunities. CME Group provides primary price discovery and referential pricing information through its market data in a variety of formats, including real-time, historical and derived data for customers in both listed and cash products. CME Group also offers industry-leading research and analytics tools to provide customers with market education resources. In addition, it operates one of the world's leading central counterparty clearing providers.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was founded in 1898 as a not-for-profit corporation. It established its clearing house in 1919, which is operated as part of CME. CME demutualized</w:t>
      </w:r>
    </w:p>
    <w:p>
      <w:pPr>
        <w:spacing w:after="0" w:line="5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2000, and in 2002 its parent company, CME Group, completed an initial public offering of its Class A common stock (Nasdaq: CME). CME Group subsequently acquired CBOT Holdings, Inc. in 2007, NYMEX Holdings, Inc. (NYMEX and COMEX) in 2008, the Kansas City Board of Trade in 2012 and NEX Group plc (NEX) in 2018. The combination with NEX expanded our global customer base and product offerings through the complementary combination of CME Group’s exchange-traded derivative products and NEX’s cash and OTC products. It also created a leading, client-centric, global markets company, generating capital efficiencies across futures, cash and OTC products for market participants seeking to lower their cost of trading and better manage risk. Our principal executive offices are located at 20 South Wacker Drive, Chicago, Illinois 60606, our telephone number is 312-930-1000 and our website is </w:t>
      </w:r>
      <w:r>
        <w:rPr>
          <w:rFonts w:ascii="Times New Roman" w:cs="Times New Roman" w:eastAsia="Times New Roman" w:hAnsi="Times New Roman"/>
          <w:sz w:val="18"/>
          <w:szCs w:val="18"/>
          <w:i w:val="1"/>
          <w:iCs w:val="1"/>
          <w:color w:val="auto"/>
        </w:rPr>
        <w:t>cmegroup.com</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CME Group exchanges offer the widest range of global benchmark products across interest rates, equity indexes, foreign exchange (FX), and agricultural, energy and metals commodities. We also offer cash and repo fixed income trading via BrokerTec, and spot and OTC FX trading via EBS. Additionally, we operate one of the world’s leading central counterparty clearing providers.</w:t>
      </w:r>
    </w:p>
    <w:p>
      <w:pPr>
        <w:spacing w:after="0" w:line="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Exchange Business: </w:t>
      </w:r>
      <w:r>
        <w:rPr>
          <w:rFonts w:ascii="Times New Roman" w:cs="Times New Roman" w:eastAsia="Times New Roman" w:hAnsi="Times New Roman"/>
          <w:sz w:val="18"/>
          <w:szCs w:val="18"/>
          <w:color w:val="auto"/>
        </w:rPr>
        <w:t>Through our derivatives exchanges and clearing house, we believe our customers prefer CME Group's diversity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liquidity, price transparency and technological capabilities. Market liquidity - or the ability of a market to absorb the execution of large purchases or sales quickly and efficiently - is key to attracting and retaining customers and contributing to a market's success. Our products provide a means for hedging, speculation and asset allocation related to the risks associated with, among other things, interest rate sensitive instruments, equity ownership, changes in the value of foreign currency and changes in the prices of agricultural, energy and metal commodities.</w:t>
      </w:r>
    </w:p>
    <w:p>
      <w:pPr>
        <w:spacing w:after="0" w:line="71" w:lineRule="exact"/>
        <w:rPr>
          <w:sz w:val="20"/>
          <w:szCs w:val="20"/>
          <w:color w:val="auto"/>
        </w:rPr>
      </w:pPr>
    </w:p>
    <w:p>
      <w:pPr>
        <w:ind w:left="660" w:right="10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CME's </w:t>
      </w:r>
      <w:r>
        <w:rPr>
          <w:rFonts w:ascii="Times New Roman" w:cs="Times New Roman" w:eastAsia="Times New Roman" w:hAnsi="Times New Roman"/>
          <w:sz w:val="18"/>
          <w:szCs w:val="18"/>
          <w:color w:val="auto"/>
        </w:rPr>
        <w:t>product slate includes agricultural, equities, FX, OTC Interest Rate Swaps complex, cryptocurrencies/alternative investments and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products, including Secured Overnight Financing Rate (SOFR) futures and options, Fed Funds futures and options, livestock and cash-settled contracts based on the S&amp;P 500, Micro E-mini Equity Index contracts, Nasdaq-100, FTSE Russell, Nikkei and Bitcoin and Ether futures and options.</w:t>
      </w:r>
    </w:p>
    <w:p>
      <w:pPr>
        <w:spacing w:after="0" w:line="14"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CBOT's </w:t>
      </w:r>
      <w:r>
        <w:rPr>
          <w:rFonts w:ascii="Times New Roman" w:cs="Times New Roman" w:eastAsia="Times New Roman" w:hAnsi="Times New Roman"/>
          <w:sz w:val="18"/>
          <w:szCs w:val="18"/>
          <w:color w:val="auto"/>
        </w:rPr>
        <w:t>product slate consists of agricultural, equities and interest rate products, including contracts for United States (U.S.) Treasury futures,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soybean, corn and wheat and contracts based on the Dow Jones Industrial Index.</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NYMEX's </w:t>
      </w:r>
      <w:r>
        <w:rPr>
          <w:rFonts w:ascii="Times New Roman" w:cs="Times New Roman" w:eastAsia="Times New Roman" w:hAnsi="Times New Roman"/>
          <w:sz w:val="18"/>
          <w:szCs w:val="18"/>
          <w:color w:val="auto"/>
        </w:rPr>
        <w:t>product slate consists of energy and metals products, including contracts for crude oil, natural gas, heating oil (or low sulfur diesel),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gasoline, emissions (GEO, N-GEO and C-GEO), platinum and palladium.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COMEX's </w:t>
      </w:r>
      <w:r>
        <w:rPr>
          <w:rFonts w:ascii="Times New Roman" w:cs="Times New Roman" w:eastAsia="Times New Roman" w:hAnsi="Times New Roman"/>
          <w:sz w:val="18"/>
          <w:szCs w:val="18"/>
          <w:color w:val="auto"/>
        </w:rPr>
        <w:t>product slate consists of metals products, including contracts for gold, silver, copper and other base, ferrous and battery metals.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breadth and diversity of our products and services lines are beneficial to our customers and CME Group's overall performance. Our asset classes contain products designed to address differing risk management needs, and customers are able to manage risks and achieve operational and capital efficiencies by accessing our diverse products through our platforms and our clearing house.</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CME Group products are traded primarily through CME Globex, as well as by open outcry in Chicago for SOFR options and through privately negotiated transactions.</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strive to provide the most flexible and scalable platforms to support the operational and capacity needs of our business along with the delivery of innovative technology solutions to the marketplace. Our CME Globex electronic trading system operates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electronic and privately negotiated markets, we offer brokers and customers the CME Direct platform for arranging, executing, recording and risk-managing trades across all six major asset classes. We also provide the functionality to connect to CME Direct on a mobile device through our CME Direct Mobile application with full trading and on-the-go order management capabilities.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our platforms offer:</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and flexibility of execution;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capabilities to facilitate complex and demanding trading;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 access;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access, price transparency and anonymity;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efficiency;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through highly secure, resilient and low-latency network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market data;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distribution, including connectivity through high-speed international telecommunications hubs in key financial centers.</w:t>
      </w:r>
    </w:p>
    <w:p>
      <w:pPr>
        <w:spacing w:after="0" w:line="11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maintain comprehensive business continuity and disaster recovery plans, as well as facilities designed to provide nearly continuous availability of our markets in the event of a business disruption or disaster. We also maintain incident and crisis management plans that address responses to disruptive events.</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trading rights and privileges are exchange-specific. Open outcry trading is conducted exclusively by our members. Membership on one of our derivatives exchanges also enables a customer to trade specific products at lower fees. Under the terms of the organizational documents of our exchanges, our members have certain rights that relate primarily to trading right protections, certain trading fee protections and certain membership benefit protections. In 2024, 85% of our contract volume was from trades by our members.</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CME Clearing Business: </w:t>
      </w:r>
      <w:r>
        <w:rPr>
          <w:rFonts w:ascii="Times New Roman" w:cs="Times New Roman" w:eastAsia="Times New Roman" w:hAnsi="Times New Roman"/>
          <w:sz w:val="18"/>
          <w:szCs w:val="18"/>
          <w:color w:val="auto"/>
        </w:rPr>
        <w:t>Through our clearing house operated by CME, we provide clearing and settlement services for a broad range of exchange-traded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futures and options on futures contracts and OTC derivatives. Our integrated clearing function is designed to ensure the safety and the soundness of our markets by serving as the counterparty to every trade, becoming the buyer to each seller and the seller to each buyer, and limiting counterparty credit risk. The clearing house marks open positions to market at least twice a trading day, requiring payments from clearing firms whose positions have lost value and making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over multiple asset classes. For certain of these exchange-traded derivatives contracts, the clearing house assists in the administration of physical delivery of the underlying product. The clearing house does not guarantee physical delivery. Rather, in the event of a delivery failure, the clearing house has a financial performance obligation to the clearing member whose actions or omissions did not cause or contribute to the delivery failure. The clearing house also monitors the risk and operational capabilities for facilitating the delivery for physically deliverable exchange-traded derivatives contracts as outlined below.</w:t>
      </w:r>
    </w:p>
    <w:p>
      <w:pPr>
        <w:spacing w:after="0" w:line="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majority of clearing and transaction fees received from clearing firms represents charges for trades executed and cleared on behalf of their customers. One firm represented at least 10% of our clearing and transaction fees revenue for 2024. In the event a clearing firm were to withdraw, our experience indicates that the customer portion of the firm's trading activity would likely transfer to one or more other clearing firms of the exchange.</w:t>
      </w:r>
    </w:p>
    <w:p>
      <w:pPr>
        <w:spacing w:after="0" w:line="6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Markets Business: </w:t>
      </w:r>
      <w:r>
        <w:rPr>
          <w:rFonts w:ascii="Times New Roman" w:cs="Times New Roman" w:eastAsia="Times New Roman" w:hAnsi="Times New Roman"/>
          <w:sz w:val="18"/>
          <w:szCs w:val="18"/>
          <w:color w:val="auto"/>
        </w:rPr>
        <w:t>Our cash markets business comprises BrokerTec and EBS, primarily operated on CME Globex. Certain BrokerTec products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cleared through third-party clearing houses. BrokerTec is fully integrated with all major ISVs for order entry and staging as well as post trade for clearing and settlement, offering an efficient and fully electronic end-to-end trade workflow solution. BrokerTec and EBS offer anonymous and disclosed trading venues, offering clients multiple execution and distribution options and the benefit of an established and far-reaching distribution network of liquidity providers and consumers.</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BrokerTec operates global electronic trading for fixed income and money market products, with a leading position in cash U.S. Treasuries, European Government Bonds, and Repo on European Union (E.U.), United Kingdom (U.K.), U.S. and other international G10, emerging market fixed income instruments and Supranational and Agency Bonds. It facilitates trading for banks and non-bank professional trading firms. The BrokerTec Central Limit Order Book is a dealer-to-dealer electronic trading platform operated on CME Globex. BrokerTec Quote is a Request For Quote platform provided on third-party technology, that offers a dealer-to-client trading solution for the global government bond repo (including Emerging Markets) and credit repo markets. BrokerTec Quote also offers securities lending in European debt. BrokerTec Stream is a relationship-based trading platform offering U.S. Treasury instruments.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EBS provides for the trading of global FX products across major and emerging market currencies and Spot Precious Metals. EBS Market is a Central Limit Order Book electronic trading platform for spot FX, Spot Precious Metals and NDFs. EBS Direct is a relationship-based trading platform offering Spot FX, Spot Precious Metals (and previously, FX forwards and FX swaps until the cessation of that business in April 2024).</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Data Business: </w:t>
      </w:r>
      <w:r>
        <w:rPr>
          <w:rFonts w:ascii="Times New Roman" w:cs="Times New Roman" w:eastAsia="Times New Roman" w:hAnsi="Times New Roman"/>
          <w:sz w:val="18"/>
          <w:szCs w:val="18"/>
          <w:color w:val="auto"/>
        </w:rPr>
        <w:t>We offer a variety of market data services through industry-leading market data platforms and third-party distribution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designed to meet the risk-management, trading, investment and business needs of our global client base. To this end, we provide proprietary real-time and historical market data related to CME Group’s deeply liquid exchanges and cash markets businesses. We further offer derived cash markets pricing, third-party and alternative data sets, as well as a wide range of analytic tools. As customers continue to leverage cloud technology to improve and evolve their businesses, CME Group has taken a leading role by becoming the first derivatives marketplace to provide live market data natively on the Google Cloud. CME Group is also the distributor of leading benchmark equity and commodity indices on behalf of third parties, as well as a distributor and licensor of our own proprietary benchmarks and indices, including CME Term SOFR Reference Rates (CME Term SOFR) and Term €STR Reference Rates, which adhere to the IOSCO Principles for Financial Benchmarks and are administered by our U.K. regulated subsidiary, CME Benchmark Administration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strategic initiatives:</w:t>
      </w:r>
    </w:p>
    <w:p>
      <w:pPr>
        <w:spacing w:after="0" w:line="11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Maximize Futures and Options Growth Globally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continue to focus on driving growth and new customer acquisition by expanding, innovating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scaling our core offerings, and increasing participation from customers. We do this by optimizing our global sales team, cross-selling certain products, expanding the strength of our existing benchmark products, launching new products and services, strengthening our existing product and service offerings, securing intellectual property rights to new products, enhancing our relationships and broadening our base of distribution partners, and deepening open</w:t>
      </w:r>
    </w:p>
    <w:p>
      <w:pPr>
        <w:spacing w:after="0" w:line="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in our core futures and options offerings. We have further focused on building upon cloud-based data distribution capabilities as a more flexible and potentially efficient means of providing data to our clients.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2024, CME Group futures and options had a record average daily volume of 26.5 million contracts, with a volume record in our interest rates asset class for the third consecutive year. It was also a year of volume records for multiple products, including Treasury futures and Ultra 10 Year Treasury Note futures, SOFR futures, Bitcoin futures, Natural Gas (futures and options), Metals futures and options and a record number of contracts executed via Basis Trade at Index Close ("BTIC"). We continue to expand and deepen our customer base worldwide and offer customers around the world the most broad and diversified portfolio of benchmark products. Some of our new products introduced over the past year include:</w:t>
      </w:r>
    </w:p>
    <w:p>
      <w:pPr>
        <w:spacing w:after="0" w:line="7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Cryptocurrency Reference Rates and Real-Time Indices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on Euro short-term Rate Futures (€STR)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E-mini S&amp;P 500 Equal Weight Futures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Euro-denominated Bitcoin and Ether Futures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Futures and Repo on Corporate Bonds on BrokerTec</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CBOT Wheat - Euronext Milling Wheat No. 2 Spread futures contract and the KC HRW Wheat - Euronext Milling Wheat No. 2 Spread futures contract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on Bloomberg Commodity Index (BCOM) Futures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Spodumene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Yen- and U.S.-dollar denominated micro Nikkei Futures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on E-mini Select Sector Futures and Dow Jones U.S. Real Estate Index Futures</w:t>
      </w:r>
    </w:p>
    <w:p>
      <w:pPr>
        <w:spacing w:after="0" w:line="6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to the individual product launches noted above, we have completed many product extensions across our asset classes, including short-dated options products (Monday options on U.S. Treasury Futures, Tuesday and Thursday options on WTI Crude Oil, Tuesday and Thursday options on Gold, Silver, and Copper, and Bitcoin Friday futures).</w:t>
      </w:r>
    </w:p>
    <w:p>
      <w:pPr>
        <w:spacing w:after="0" w:line="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continue to expand and deepen our customer base worldwide and offer customers around the world with the most broad and diversified portfolio of benchmark products. We believe we have a significant opportunity to expand the participation of our non-U.S. customer base in our markets. Our penetration of these markets lags our development in the U.S., and we believe that there is room for significant growth and development of these financial markets. In 2024, approximately 31% of our electronic futures and options volume was from transactions reported as outside the U.S. and approximately 54% of our market data revenue was derived from outside the U.S. We also achieved 17% growth in trading volume during European trading hours and 7% growth during Asia Pacific trading hours in 2024 compared to 2023. We have increased our customer base and continue to target cross-asset opportunities across client segments and across cash and futures platforms, driving sale and generating new client participation across all regions. We have a history of providing customer value and responsiveness and believe our products and services position us to help our customers adapt to and comply with new regulations, while enabling them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efficiently manage their risks. We continue to add new channel partners to help us expand the reach of CME Group offerings. We have a broad distribution network around the globe comprised of a combination of internal and external channels and proprietary front-end capabilities.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CME Group continues to introduce tools which assist our clients in managing their risks. The FX and Metals Market Profile Tools on Quant Analytics offer simple and effective methods for clients to compare and contrast our leading FX and metals products and liquidity pools side-by-side, which in turn enables clients to analyze their opportunity to minimize costs and achieve best execution by accessing highly complementary liquidity pools across cash and futures markets. We expect to continue to expand our analytics suite in the future as well.</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2024, we launched €STRWatch to help clients manage risk around European Central Bank (ECB) policy decisions. This tool builds on the success of CME Group’s FedWatch, SOFRWatch and TreasuryWatch tools.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CME Group Volatility Indexes (CVOL) comprises a total of 42 indexes, including 7 unique broad-based benchmarks such as the Treasury Volatility Index and Commodity Volatility Index.</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2025, we are planning to launch CME FX Spot+ as another tool for our customers to increase access, transparency and trading opportunities across spot FX and FX futures markets. CME FX Spot+ is an all-to-all spot FX marketplace that will connect liquidity between two trading environments, whereby spot FX participants will have expanded access to CME FX futures liquidity in OTC spot terms within an open, transparent, central limit order book environment, while FX futures market users will have expanded access to OTC FX liquidity.</w:t>
      </w:r>
    </w:p>
    <w:p>
      <w:pPr>
        <w:spacing w:after="0" w:line="7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We continue to enhance our retail strategy focusing on the growth of top-tier and large new-to-futures brokers, which resulted in a record number of new retail accounts. Retail remains a core tenet of our new client acquisition strategy, and we are focused on bringing new-to-futures brokers to our markets.</w:t>
      </w:r>
    </w:p>
    <w:p>
      <w:pPr>
        <w:spacing w:after="0" w:line="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Diversify our Business and Revenue </w:t>
      </w:r>
      <w:r>
        <w:rPr>
          <w:rFonts w:ascii="Times New Roman" w:cs="Times New Roman" w:eastAsia="Times New Roman" w:hAnsi="Times New Roman"/>
          <w:sz w:val="18"/>
          <w:szCs w:val="18"/>
          <w:color w:val="auto"/>
        </w:rPr>
        <w:t>- Our acquisition of NEX strengthened our role in global financial markets infrastructure and information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adding complementary cash, spot, and OTC businesses, and scale to our listed interest rate and FX products, while broadening our global client base. It also further diversified our customer base and relationships outside the U.S. It gave us access to repo customers, and positioned us to grow our repo activity in the U.S. and Europe. It allows us to offer relative value trading solutions for the cash treasury marketplace, and to bring the expanded capabilities of our Globex platform to BrokerTec customers. The transaction expanded CME Group’s position in the large, highly-competitive and highly-fragmented global FX marketplace, offering both order book trading and relationship-based trading solutions for customers. The acquisition added strength in underlying customer marketplaces, especially around regional bank customers and other market participants outside of North America, and expanded our market data solutions beyond futures and options into cash and OTC offerings.</w:t>
      </w:r>
    </w:p>
    <w:p>
      <w:pPr>
        <w:spacing w:after="0" w:line="8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CME Group is well-positioned to capitalize on its ability to license CME Term SOFR, administered by our subsidiary, CME Group Benchmark Administration Limited. CME Term SOFR is the only SOFR rate endorsed by the Alternative Reference Rates Committee (ARRC) and the Federal Reserve Board has formally endorsed the forward-looking term rates based on SOFR.</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2010, CME Group acquired a majority stake in Dow Jones Indexes, which was combined with S&amp;P’s index business in 2012 to form S&amp;P Dow Jones Indices LLC, of which CME Group now has a 27% ownership stake. S&amp;P Dow Jones Indices LLC combines the world class capabilities of the S&amp;P and Dow Jones Indices, and is a significant player in passive investing, including the exchange-traded fund (ETF) industry value chain. As part of the joint venture, we acquired a long-term, ownership-linked, exclusive license to list futures and options based on the S&amp;P 500 Index and certain other S&amp;P indices. We also act as the joint venture's licensing agent and distribution services provider. Our acquisition of the IHS Markit indices business (S&amp;P Dow Jones Indices), includes leading fixed income and credit indices, such as iBoxx, iTraxx and CDX.</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2024, our subsidiary, CME Securities Clearing Inc. (CMESC) filed an application with the SEC to become a Securities Clearing Agency, which would be regulated by the SEC. The goal is for CMESC to help market participants comply with upcoming U.S. Treasury clearing requirements and, ultimately, to position the company to offer additional capital and operational efficiencies to its clients. We are preparing to launch this service following approval from the SEC.</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Unparalleled Customer Efficiencies and Operational Excellence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changing regulatory requirements for many of our customers,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margin requirements on uncleared trades, and the need for greater efficiencies, we have added tools to enable customers to manage clearing positions in our markets in an efficient manner. With the ongoing implementation of regulatory reform in the U.S. and in Europe, along with global implementation of Basel III capital requirements on financial institutions, we expect centralized clearing and capital efficiencies to continue to be important for our global client base.</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provide a comprehensive multi-asset-class clearing solution to market participants for maximum operational ease and the capital efficiency that comes with connecting to our clearing house. Our clearing services offer the ability to optimize collateral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capital efficiencies across portfolios within the clearing house while meeting the heightened regulatory requirements on derivatives. The majority of our clearing volumes and activities are related to our listed futures and options, which represent the majority of our open interest and collateral held against these positions. We also offer clearing services for OTC interest rate swaps, FX forwards and commodity swaps.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2023, we launched CME SPAN 2 for certain futures and options on energy products, an enhancement of our Standard Portfolio Analysis of Risk (SPAN) margin framework, which provides enhanced risk management capabilities in a single, unified interface across futures and options, cleared OTC products and portfolio margining programs. In 2024, we expanded SPAN 2 to equity products. As CME SPAN 2 is implemented, margins for diversified portfolios will consist of products using the enhanced CME SPAN 2 framework, in addition to the existing SPAN framework, ensuring appropriate levels of offsets will continue to be provided across products subject to the SPAN and SPAN 2 frameworks.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provides various tools and services to assist customers with capital and operational efficiencies, including:</w:t>
      </w:r>
    </w:p>
    <w:p>
      <w:pPr>
        <w:spacing w:after="0" w:line="117" w:lineRule="exact"/>
        <w:rPr>
          <w:sz w:val="20"/>
          <w:szCs w:val="20"/>
          <w:color w:val="auto"/>
        </w:rPr>
      </w:pPr>
    </w:p>
    <w:p>
      <w:pPr>
        <w:ind w:left="660" w:right="8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Clearing provides compression via coupon blending as well as CME CORE (Clearing Online Risk Engine), an interactive margin calculator that enables clients to optimize their capital by providing insights on margin requirements prior to trading.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margining allows firms to capitalize on margin offsets between futures, options and cleared OTC instruments with common risk factors.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Cross-margining allows firms to achieve portfolio margin efficiencies for offsetting positions between two clearing houses, including CME and Fixed Income Clearing Corporation (FICC) or CME and Options Clearing Corporation (OCC), through reduced performance bond requirements. Through an enhancement to our arrangement with FICC, in January 2024, we partnered with The Depository Trust &amp; Clearing Corporation (DTCC) and began offering enhanced capital efficiencies to our eligible clearing firms when trading U.S. Treasury securities and CME Interest Rate Futures. With the new arrangement implemented, eligible clearing firms of CME and the Government Securities Division of DTCC's FICC can now cross-margin an expanded suite of products, including CME Group SOFR futures, Ultra 10-Year U.S. Treasury Note futures and Ultra U.S. Treasury Bond futures, with FICC-cleared U.S. Treasury notes and bonds and certain repo transactions. We continue to increase participation with a stable pipeline of additional interested clearing firms, as well as new market participants seeking access to the program.</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with Google Cloud - </w:t>
      </w:r>
      <w:r>
        <w:rPr>
          <w:rFonts w:ascii="Times New Roman" w:cs="Times New Roman" w:eastAsia="Times New Roman" w:hAnsi="Times New Roman"/>
          <w:sz w:val="18"/>
          <w:szCs w:val="18"/>
          <w:color w:val="auto"/>
        </w:rPr>
        <w:t>In November 2021, we announced a 10-year strategic partnership with Google Cloud to accelerate CME Group’s move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cloud, which we expect will transform derivatives markets by expanding access and creating efficiencies for market participants. The partnership will focus on expanding access to CME Group’s infrastructure, advancing real-time data and analytics capabilities, co-innovating new products and services, increasing efficiencies and driving resiliency in the financial markets’ ecosystem. In 2022, we built our cloud instance on the CME Group Google Cloud platform. In 2023, we began executing against the plans to move our non-latency sensitive applications, including clearing and market data, to the CME Group Google Cloud Platform. The migration of these applications will enable a more efficient way for us to commercialize and launch new clearing and data products.</w:t>
      </w:r>
    </w:p>
    <w:p>
      <w:pPr>
        <w:spacing w:after="0" w:line="7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2024, we began migrating our clearing applications to the Cloud and the majority of the daily clearing cycle processes for futures and options on futures are operating on the Cloud as of the end of 2024. The full migration of clearing processes is expected to be completed in 2025. In 2024, we also announced that Google Cloud will build a private Google Cloud region and co-location facility in Aurora, IL, which will allow our customers to choose their mode(s) of accessing our markets. We continue to make progress in preparing to move the markets. The partnership with Google Cloud allows us to modernize and simplify our architecture, enabling quicker delivery of value for internal and external customers while reducing operational risk and gaining operational efficiencies and maximizing the value of various analytics, including clearing analytics, which we expect we will be able to offer more broadly.</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CME Group and Google Cloud have partnered and begun building a new private Google Cloud region, and a co-location facility, in Aurora, Illinois, which will host Google Cloud's platform designed to support global trading of CME Group's futures and options markets, and offer derivatives traders cloud-based, ultra-low-latency networking, and high-performance computing.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121"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We own the rights to a large number of trademarks, service marks, domain names and trade names in the U.S., Europe and other parts of the world. We have registered many of our most important trademarks in the U.S.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rights by relying on trademarks, patents, copyrights, database rights, trade secrets, restrictions on disclosure and other methods.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offer equity index futures and options on key benchmarks, including S&amp;P, Nasdaq, Dow Jones, FTSE Russell and fixed income index futures. These products are listed by us subject to license agreements with the applicable owners of the indexes, some of which are exclusive. In connection with S&amp;P Dow Jones Indices, we have a license agreement (S&amp;P License Agreement) for certain S&amp;P stock indices and related trade names, trademarks and service marks in connection with the creation, marketing, trading, clearing and promoting of futures contracts and/or options on futures contracts that are indexed to certain S&amp;P stock indices. Our license for the S&amp;P 500 Index will be exclusive for futures and options until one year prior to the termination of the S&amp;P License Agreement, and non-exclusive for the last year. The license for the other S&amp;P stock indices is generally exclusive for futures and options. The term of the S&amp;P License Agreement will continue until the date that is one year after the date that CME Group ceases to own at least 5% (accounting for dilution) of the outstanding interests in S&amp;P Dow Jones Indices. Upon the occurrence of certain events, including certain terminations of the joint venture, the term may be extended up to an additional ten years. In connection with S&amp;P Dow Jones Indices, we also have an exclusive license agreement (Dow Jones License Agreement) for certain Dow Jones indices. The initial term of the agreement is through June 30, 2026. Following the initial term, the Dow Jones License Agreement will automatically renew for renewal terms of five years thereafter, so long as there is open interest in any of CBOT’s or its affiliates’ products based on one or more of the Dow Jones licensed indices. In the event there is no open interest in any such products, then we may terminate the agreement. We also have an exclusive license agreement for certain Nasdaq indices through 2029. In 2015, we entered into an exclusive license agreement with FTSE Russell and launched the E-mini Russell 2000 futures in 2017. We pay the applicable third-party a revenue share under the terms of these licensing agreements. A copy of the S&amp;P License Agreement has been filed as a material contract.</w:t>
      </w:r>
    </w:p>
    <w:p>
      <w:pPr>
        <w:spacing w:after="0" w:line="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CME Group is the distributor of CME Term SOFR, a daily set of forward-looking interest rate estimates, calculated and published for 1-month, 3-month, 6-month and 12-month tenors and administered by CME Group Benchmark Administration Limited, a U.K. regulated subsidiary.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cannot guarantee we will be able to maintain the exclusivity of our licensing agreements with S&amp;P, Dow Jones, Nasdaq and FTSE Russell or be able to maintain existing exclusive and non-exclusive licensing arrangements beyond the term of the current agreements or that any renewal will be on terms as favorable to us. In addition, we cannot guarantee that others will not succeed in creating stock index futures based on information similar to that which we own or have obtained by license, or that market participants will not increasingly use other instruments, including securities and options based on the S&amp;P, Dow Jones, Nasdaq or FTSE Russell indices, to manage or speculate on U.S. stock risks or that clients select another interest rate alternative. Parties also may succeed in offering indexed products that are similar to our licensed products without being required to obtain a license, or in countries that are beyond our and/or our licensors' jurisdictional reach.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seen multiple new entrants over time,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3.0, Markets in Financial Instruments Directive II (MiFID II), Capital Requirements Directive IV, Market Abuse Regulation, Benchmarks Regulation, Basel III and various other laws and regulations.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refer to the discussion below and in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Item 1A - Risk Factors" beginning on page 16 for a description of competitive risks and uncertainties.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Derivatives Exchange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competition in the derivatives business is based on a number of factors, including, among others:</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secure clearing, settlement and support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liquidity of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margin efficiencies;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product offerings and frequency and quality of new product development and innovative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position and expand upon existing products to address changing market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seamless customer experience;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reliability, anonymity and security in transaction processing;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accessibility, flexibility in execution methods and distribution;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capability and innovation;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transaction costs.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Our deep, liquid markets; diverse and complementary product offerings; frequency and quality of new product development; and efficient, secure clearing, settlement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 capabilities and solutions; and implement customer protections designed to ensure the integrity of our market and the confidence of our customers.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compete in a large and expanding financial services trading, clearing and settlement marketplace globally. Our competitors include, among other entities, exchanges such as Intercontinental Exchange, Inc. (ICE), Cboe Global Markets (Cboe), Euronext N.V., the Hong Kong Exchanges (HKEx) and Clearing Limited, and Deutsche Börse AG. We have also seen the emergence of new players in the derivatives exchange business, such as brokerage BGC Group’s launch of FMX Futures Exchange, and in some cases backed by market makers and broker-dealers, as well as crypto platforms. Competition also includes alternative means of developing exposures through alternative instruments (depending on market factors) such as cash, OTC, ETFs, options, warrants, contracts for differences, structured products and other offerings and incorporates large customer and channel internalization of trade flows and data. New emerging competitors have targeted different segments of our industry, with multiple execution models and products, and emerging technologies will continue to offer additional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CME Clearing Business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recent years there has been increased competition in the provision of clearing services, and we expect competition to continue to increase in connection with compliance with Dodd-Frank, EMIR 3.0, Basel III, MiFID II and other various laws and regulations.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competitors in the clearing services space include, among others, companies such as ICE, LCH Group, OCC, Cboe Clear, Depository Trust &amp; Clearing Corporation, HKEx and Clearing, Japan Securities Clearing Corporation, LME Clear and Eurex Clearing. Six new derivatives clearing operators have gained approval in the U.S. in the last decade, including: LedgerX Clearing, Nodal Clear, Cboe Clear US, Bitnomial Clearinghouse, ForecastEx and Kalshi Klear. In light of the implementation of new regulatory requirements and other financial services reforms, we believe other exchanges and infrastructure providers also may undertake to provide clearing and other related post-trade services in the U.S. as CFTC-regulated clearing organizations.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competition in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Cash Markets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cash markets businesses face substantial competition across a wide array and growing number of venues. In FX, the marketplace is highly fragmented, and there is competition from other electronic communication networks, single-dealer platforms, bank-owned multi-participant platforms, streaming and request for quote services, trading venues tied to data platforms, voice brokers, other broker enabled platforms and other venues. There is a growing array of platforms and technologies, often owned by well-capitalized financial institutions and intermediaries that are also driving internalization of client FX trade flows. There is also increasing competition from foreign government entities providing financial inducements to establish new FX trading venues in their countries.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fixed income space, there are also multiple providers of treasury, European and U.S. repo, and European bond trading, as well as other products such as corporate bonds, municipal bonds, mortgage-backed bonds and agencies, and a multitude of competitors and new entrants offering single-dealer liquidity, bank-owned multi-participant platforms, streaming and request for quote services, and other broker-and exchange-enabled platforms. Internalization is a growing part of the fixed income marketplace as well. We also face competition from parties able to offer both on-the-run and off-the-run marketplaces.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key strategy of a number of these alternative and emerging venues, is to offer their services at a significantly lower price in comparison to the established EBS and BrokerTec platforms, with the aim of enticing customer business, and the resulting shift of marketshare, away from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Market Data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Technology companies, market data and information vendors and front-end software vendors also represent actual and potential competitors because they have their own substantial market data calculation and distribution capabilities that could serve as alternative means for receiving open market data feeds instead of connecting directly to our exchange. Multiple other industry participants offer both referential and indicative pricing alternatives to our offerings, which are widely distributed and available across a variety of media. Distributors and consumers of our market data also may use our market data as an input into products that compete against our traded or cleared products. Although we may receive license fees for such products, such fees may not offset the impact of any loss in revenue from our comparable product.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Our businesses are regulated and serve a customer base that includes regulated market participants, and as such, we are subject to extensive regulation, primarily in the U.S., U.K. and E.U. Developments in the regulatory environment therefore have the potential to significantly affect our businesses.</w:t>
      </w:r>
    </w:p>
    <w:p>
      <w:pPr>
        <w:spacing w:after="0" w:line="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Please also refer to the discussion below and in "Item 1A - Risk Factors" beginning on page 16 for a description of regulatory and legislative risks and uncertainties.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Derivatives Business, Derivatives Clearing Business, and Swap Data Repositories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operation of our U.S. futures exchanges and our derivatives clearing business are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and clearing and settlement activities by the CFTC and the Federal Reserve Board.</w:t>
      </w:r>
    </w:p>
    <w:p>
      <w:pPr>
        <w:spacing w:after="0" w:line="6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the U.K. Financial Conduct Authority (FCA) and Bank of England, the Netherlands Authority for the Financial Markets (AFM) and the Federal Financial Supervisory Authority (BaFin) in Germany, among others.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2024, our subsidiary, F&amp;O Financial LLC received approval from the National Futures Association (NFA) to operate as an FCM. F&amp;O Financial was established to prepare for potential future changes in the marketplace. It is not currently conducting any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Cash Markets Business</w:t>
      </w:r>
    </w:p>
    <w:p>
      <w:pPr>
        <w:spacing w:after="0" w:line="121" w:lineRule="exact"/>
        <w:rPr>
          <w:sz w:val="20"/>
          <w:szCs w:val="20"/>
          <w:color w:val="auto"/>
        </w:rPr>
      </w:pPr>
    </w:p>
    <w:p>
      <w:pPr>
        <w:ind w:right="560"/>
        <w:spacing w:after="0" w:line="289" w:lineRule="auto"/>
        <w:rPr>
          <w:sz w:val="20"/>
          <w:szCs w:val="20"/>
          <w:color w:val="auto"/>
        </w:rPr>
      </w:pPr>
      <w:r>
        <w:rPr>
          <w:rFonts w:ascii="Times New Roman" w:cs="Times New Roman" w:eastAsia="Times New Roman" w:hAnsi="Times New Roman"/>
          <w:sz w:val="17"/>
          <w:szCs w:val="17"/>
          <w:color w:val="auto"/>
        </w:rPr>
        <w:t>The operation of BrokerTec subjects us to regulation by the Financial Industry Regulatory Authority (FINRA) and the U.S. Securities and Exchange Commission (SEC) as a broker-dealer and alternative trading system operator. BrokerTec is also subject to regulation in the U.K. by the FCA, as a multilateral trading facility (MTF), in the E.U. by the AFM, as a regulated market and by the applicable regulators in Singapore and Canada.</w:t>
      </w:r>
    </w:p>
    <w:p>
      <w:pPr>
        <w:spacing w:after="0" w:line="5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EBS business is regulated by the CFTC as a registered swap execution facility (SEF) and by the FCA and AFM as a registered MTF. It also holds various permissions, approvals and exemptions globally, including those that subject certain of its activities to CFTC, FCA, AFM, Monetary Authority of Singapore, Australian Securities and Investments Commission, Hong Kong Monetary Authority and Canadian oversight.</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settlement of matched principal and exchange-traded businesses requires access to clearing houses either directly or through third-party providers of clearing and settlement services. BrokerTec Americas is a member of the Fixed Income Clearing Corporation (FICC), through which it clears U.S. Treasury and repo products. Our BrokerTec business operated in the E.U. also connects to LCH Limited, LCH SA, BME Meff Clear and Cassa di Compensazione e Garanzia (CC&amp;G), which act as central clearing participants in the European and U.K. gilt repo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Market Data Business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subsidiary, CME Group Benchmark Administration Limited, is a registered benchmark administrator, authorized and supervised by the FCA under the U.K. Benchmark Regulations. CME Group Benchmark Administration Limited administers a variety of different multi-asset class data products, including CME Term SOFR.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Areas of Focus</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actively monitor and participate in the domestic and international legislative and rulemaking processes for our industry, including providing government testimony, commenting on proposed legislation and rulemaking, and educating our regulators and policymakers on potential impacts to the marketplace. We are also focused on impacts from the new administration and its federal regulatory appointees and any anticipated changes that may result.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areas of focus in the regulatory environment are:</w:t>
      </w:r>
    </w:p>
    <w:p>
      <w:pPr>
        <w:spacing w:after="0" w:line="117" w:lineRule="exact"/>
        <w:rPr>
          <w:sz w:val="20"/>
          <w:szCs w:val="20"/>
          <w:color w:val="auto"/>
        </w:rPr>
      </w:pPr>
    </w:p>
    <w:p>
      <w:pPr>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transaction tax or user fee in the U.S., U.K. or E.U., or in the States of Illinois or New Jersey, which could discourage institutions and individuals from using our markets or products or encourage them to trade in another less costly jurisdiction. Legislation to impose a financial transaction tax has been proposed previously in the U.S. Congress, Illinois General Assembly and State of New Jersey Legislature. Additionally, from time to time, the proposed U.S. presidential budget request has included a proposal to impose a user fee to fund all or a portion of the budget of the CFTC. Legislation would be necessary to impose such a fee. Federal legislation has previously been proposed by Congress that would impose a user fee on digital asset spot markets to fund CFTC regulation of those assets. Such a user fee, if adopted, could potentially be expanded to apply more broadly to the futures and options markets.</w:t>
      </w:r>
    </w:p>
    <w:p>
      <w:pPr>
        <w:spacing w:after="0" w:line="2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that proposes to eliminate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relation to the E.U. Regulations on Benchmarks have yet to come into effect, as the E.U. has extended transitional periods until the end of 2025, and has proposed further legislative changes to apply from 2026 onwards. It remains possible that data, pricing and analytics provided by CME Group for use by E.U. supervised entities and use of those benchmarks may be impacted in the future.</w:t>
      </w:r>
    </w:p>
    <w:p>
      <w:pPr>
        <w:spacing w:after="0" w:line="13"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European legislators will prohibit or restrict exclusive licenses for benchmark indices, which might impact the profitability of several of our most popular contracts. For example, the provision of any EUR rates benchmark (e.g. Term €STR) will need to comply with the E.U.'s Benchmark Regulation, which allows marketing access for such benchmarks only where they meet certain requirements (e.g. they are provided from an 'equivalent' jurisdiction or they have been endorsed by an E.U. benchmark administrator).</w:t>
      </w:r>
    </w:p>
    <w:p>
      <w:pPr>
        <w:spacing w:after="0" w:line="17" w:lineRule="exact"/>
        <w:rPr>
          <w:rFonts w:ascii="Times New Roman" w:cs="Times New Roman" w:eastAsia="Times New Roman" w:hAnsi="Times New Roman"/>
          <w:sz w:val="18"/>
          <w:szCs w:val="18"/>
          <w:color w:val="auto"/>
        </w:rPr>
      </w:pPr>
    </w:p>
    <w:p>
      <w:pPr>
        <w:ind w:left="660" w:right="20" w:hanging="328"/>
        <w:spacing w:after="0" w:line="298"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ind w:left="660" w:right="20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debate regarding the regulation of cryptocurrencies, which may impact our existing offerings or our ability to provide future offerings.</w:t>
      </w:r>
    </w:p>
    <w:p>
      <w:pPr>
        <w:spacing w:after="0" w:line="1" w:lineRule="exact"/>
        <w:rPr>
          <w:rFonts w:ascii="Times New Roman" w:cs="Times New Roman" w:eastAsia="Times New Roman" w:hAnsi="Times New Roman"/>
          <w:sz w:val="18"/>
          <w:szCs w:val="18"/>
          <w:color w:val="auto"/>
        </w:rPr>
      </w:pPr>
    </w:p>
    <w:p>
      <w:pPr>
        <w:ind w:left="660" w:right="18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regulations governing treasury market structure, including potential clearing obligations or promotions of all-to-all cash models. In December 2023, the SEC adopted a rule that becomes effective in December 2026 for certain U.S. Treasury cash transactions and June 2027 for repo transactions mandating central clearing of U.S. Treasury securities and repurchase agreements. This will require infrastructure changes to facilitate access to clearing for all participants, including indirect participants, to ensure continued liquidity in these critical markets (i.e., ensure access to FICC's clearing and settlement services for indirect participants). The goal of CMESC is to help market participants comply with these clearing requirements.</w:t>
      </w:r>
    </w:p>
    <w:p>
      <w:pPr>
        <w:spacing w:after="0" w:line="25"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Basel III Endgame rules. In July 2023, the Federal Reserve Board, Federal Deposit Insurance Corporation, and Office of the Comptroller of the Currency jointly proposed changes to the regulatory capital framework for global systematically important banks (GSIBs), to implement international capital standards issued by the Basel Committee on Banking Supervision, which the Fed Vice Chair said will not be implemented as originally proposed. Thus, CME Group’s focus is more broadly on monitoring any new developments and implementations of the framework. The U.S. prudential regulators have proposed rules to implement the final aspects of the Basel III framework that would standardize further aspects of the capital framework, as well as more broadly apply the capital framework to banks with assets greater than $100 billion. Additionally, other areas of the U.S. bank capital framework have come into focus as potential changes to the G-SIB capital surcharge calculation worksheet have been introduced, which could increase capital requirements.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1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Stability Board (FSB) consultation proposing that central counterparties (CCPs) maintain separate, dedicated resources and tools for resolution. While the FSB cannot dictate the implementation of its standards, including in the U.S., it has historically exerted pressure on local jurisdictions to adopt its proposals. While the CFTC has not indicated any intention to support such a proposal, if it were supported in the U.S., this proposal could negatively impact cleared markets by increasing costs, reducing participation, and disincentivizing default management participation. The FSB consultation also supports early intervention by resolution authorities which could preempt CCP recovery efforts and the role of the CFTC.</w:t>
      </w:r>
    </w:p>
    <w:p>
      <w:pPr>
        <w:spacing w:after="0" w:line="25"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regulatory or policy actions that could result in changes to market structure for the clearing of derivative transactions, which may impact our business model or the competitive landscape of the industry.</w:t>
      </w:r>
    </w:p>
    <w:p>
      <w:pPr>
        <w:spacing w:after="0" w:line="1"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Operational Resilience Act, or DORA, is an EU regulation that requires EU financial services firms to meet requirements in respect of risk management for their use of information and communication technology (ICT) whether internal, or provided by a third party vendor. DORA establishes technical standards that EU financial entities must implement by January 2025 and imposes requirements relating to risk management, reporting, and ICT service provider oversight. As our subsidiary, CME Amsterdam BV, is an EU financial entity, it is directly subject to DORA requirements. In addition, some of CME Group's customers, being EU financial services firms, are also subject to DORA. In January 2025, the European Commission provided guidance clarifying that financial services provided by a financially regulated entity (including those regulated outside the EU), such as CME, CBOT, NYMEX and COMEX, are not ICT services under DORA. However, EU financial services firms may be required to impose certain risk management obligations on these entities relating to ICT services that are not considered financial services under DORA.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also see "Item 1A - Risk Factors" beginning on page 16 for additional information on our areas of regulatory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a highly skilled and experienced global workforce to meet our business objectives. As of December 31, 2024, our global employee population consisted of approximately 3,760 employees, with 60% (approximately 2,245) working in the U.S. and the remaining 40% (approximately 1,515) working in our various non-U.S. locations (Australia, Brazil, Canada, China, France, Hong Kong, India, Japan, Mexico, Netherlands, Singapore, South Korea, Switzerland and the U.K.).</w:t>
      </w:r>
    </w:p>
    <w:p>
      <w:pPr>
        <w:spacing w:after="0" w:line="7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provide our workforce with a compelling employee experience that allows us to attract and retain industry-leading talent. We are continually seeking new ways to challenge, develop and support our employees. Select highlights of our employee experience include the following:</w:t>
      </w:r>
    </w:p>
    <w:p>
      <w:pPr>
        <w:spacing w:after="0" w:line="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wide range of benefits designed to support our employees’ health and well-being, retirement needs and work/life balance.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compensation programs align employee rewards with shareholder interests and emphasize our pay-for-performance philosophy.</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variety of avenues for employees to grow their expertise, including tuition assistance for continuing education, onsite and virtual-led professional development training courses, access to external seminars and technical skills training and over 10,000 online educational courses. We also offer an integrated series of customized leadership development programs to prepare employees for each stage of their careers.</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Resource Groups (ERGs) help engage our global workforce and foster an inclusive culture. By creating communities of colleagues with shared interests, our ERGs help enhance the employee experience for all. Membership is open to all CME Group employees around the globe.</w:t>
      </w:r>
    </w:p>
    <w:p>
      <w:pPr>
        <w:spacing w:after="0" w:line="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conduct employee engagement surveys to better understand employee perspectives and improve our processes and offerings. We also monitor human capital metrics, such as voluntary turnover, internal placement for open roles and promotions, to understand where further workforce investments may be necessary. During 2024, our performance against these metrics was:</w:t>
      </w:r>
    </w:p>
    <w:p>
      <w:pPr>
        <w:spacing w:after="0" w:line="1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voluntary turnover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 of open roles filled with internal candidates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of employees promoted</w:t>
      </w:r>
    </w:p>
    <w:p>
      <w:pPr>
        <w:spacing w:after="0" w:line="1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Chief Human Resources Officer provides our senior management and Board with regular updates related to our workforce empowerment and employee experience.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CME Group's executive officers. Ages are as of February 12,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Terrence A. Duffy, </w:t>
      </w:r>
      <w:r>
        <w:rPr>
          <w:rFonts w:ascii="Times New Roman" w:cs="Times New Roman" w:eastAsia="Times New Roman" w:hAnsi="Times New Roman"/>
          <w:sz w:val="18"/>
          <w:szCs w:val="18"/>
          <w:b w:val="1"/>
          <w:bCs w:val="1"/>
          <w:color w:val="auto"/>
        </w:rPr>
        <w:t>66.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Duffy has served as our Chairman and Chief Executive Officer since 2016. Mr. Duffy previously served as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6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Sunil Cutinho, </w:t>
      </w:r>
      <w:r>
        <w:rPr>
          <w:rFonts w:ascii="Times New Roman" w:cs="Times New Roman" w:eastAsia="Times New Roman" w:hAnsi="Times New Roman"/>
          <w:sz w:val="18"/>
          <w:szCs w:val="18"/>
          <w:color w:val="auto"/>
        </w:rPr>
        <w:t>53. Mr. Cutinho has served as our Chief Information Officer since February 2022 and previously served as President of our clearing house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2014. He joined CME Group in 2002 and since then has held various positions of increasing responsibility within the organization, including as Managing Director, Deputy Head of CME Clearing from April 2014 through September 2014.</w:t>
      </w:r>
    </w:p>
    <w:p>
      <w:pPr>
        <w:spacing w:after="0" w:line="63"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Dennis, </w:t>
      </w:r>
      <w:r>
        <w:rPr>
          <w:rFonts w:ascii="Times New Roman" w:cs="Times New Roman" w:eastAsia="Times New Roman" w:hAnsi="Times New Roman"/>
          <w:sz w:val="18"/>
          <w:szCs w:val="18"/>
          <w:color w:val="auto"/>
        </w:rPr>
        <w:t>44. Mr. Dennis has served as Senior Managing Director, Global Head of Fixed Income since August 2024 and in his role is responsible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leading our SOFR and U.S. Treasuries business and BrokerTec. Prior to joining CME Group, Mr. Dennis served as the Chief Commercial Officer for ABN AMRO Clearing USA LLC, one of CME Group’s largest global futures clearing firms. Mr. Dennis previously served on the CME Group Board of Directors from May 2020 to July 2024.</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Lynne Fitzpatrick, </w:t>
      </w:r>
      <w:r>
        <w:rPr>
          <w:rFonts w:ascii="Times New Roman" w:cs="Times New Roman" w:eastAsia="Times New Roman" w:hAnsi="Times New Roman"/>
          <w:sz w:val="18"/>
          <w:szCs w:val="18"/>
          <w:color w:val="auto"/>
        </w:rPr>
        <w:t>46. Ms. Fitzpatrick has served as our President &amp; Chief Financial Officer since November 2024, when her role expanded to oversee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resources and transformation and execution, as well as her prior responsibilities for overseeing the company's corporate finance, accounting, investor relations, treasury, business development, corporate strategy, strategic investments, pricing and procurement functions. She previously served as Chief Financial Officer since April 2023, Deputy Chief Financial Officer since 2022 and Managing Director of Corporate Development and Treasurer of CME Group since 2017. Since joining the company in 2006, Ms. Fitzpatrick has held a variety of positions with increasing levels of responsibility within the finance organization. Prior to CME Group she worked as an investment banker at Credit Suisse and UBS. Ms. Fitzpatrick also serves as a director of S&amp;P Dow Jones Indices LLC.</w:t>
      </w:r>
    </w:p>
    <w:p>
      <w:pPr>
        <w:spacing w:after="0" w:line="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Marcus, </w:t>
      </w:r>
      <w:r>
        <w:rPr>
          <w:rFonts w:ascii="Times New Roman" w:cs="Times New Roman" w:eastAsia="Times New Roman" w:hAnsi="Times New Roman"/>
          <w:sz w:val="18"/>
          <w:szCs w:val="18"/>
          <w:color w:val="auto"/>
        </w:rPr>
        <w:t>56. Mr. Marcus has served as our Senior Managing Director and General Counsel since October 2022. Prior to joining CME Group,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Marcus most recently worked in private practice as a partner at Reed Smith LLP, where he specialized in derivatives regulation, litigation and enforcement. He previously served as General Counsel of the CFTC from 2013 to 2017. Mr. Marcus also served as the CFTC's Deputy General Counsel for Litigation and as an Assistant to the Solicitor General of the United States. His career also includes senior roles at other nationally recognized law firms and he began his career as a clerk for Judge Jose Cabranes of the U.S. Court of Appeals for the Second Circuit.</w:t>
      </w:r>
    </w:p>
    <w:p>
      <w:pPr>
        <w:spacing w:after="0" w:line="7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 McCourt, </w:t>
      </w:r>
      <w:r>
        <w:rPr>
          <w:rFonts w:ascii="Times New Roman" w:cs="Times New Roman" w:eastAsia="Times New Roman" w:hAnsi="Times New Roman"/>
          <w:sz w:val="18"/>
          <w:szCs w:val="18"/>
          <w:color w:val="auto"/>
        </w:rPr>
        <w:t>46. Mr. McCourt has served as Senior Managing Director, Global Head of Equities, FX and Alternate Products since August 2024.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Global Head of Financial and OTC Products since June 2023. Before that he was the global head of Equity and FX Products. He is responsible for leading the development and execution of the company’s global equity index, foreign exchange, cryptocurrency and alternative investment product strategies. He also serves on the S&amp;P Dow Jones Indices U.S. Advisory Panel. Before joining CME Group in 2013 as Global Head of Equity Products, Mr. McCourt worked for the Royal Bank of Scotland (RBS), where he was responsible for building and managing the Americas Index and Delta One trading book. Prior to RBS, he held a senior trading role with JPMorgan in New York, spending 10 years with the Equity Derivatives Group.</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Hilda Harris Piell, </w:t>
      </w:r>
      <w:r>
        <w:rPr>
          <w:rFonts w:ascii="Times New Roman" w:cs="Times New Roman" w:eastAsia="Times New Roman" w:hAnsi="Times New Roman"/>
          <w:sz w:val="18"/>
          <w:szCs w:val="18"/>
          <w:color w:val="auto"/>
        </w:rPr>
        <w:t>57. Ms. Piell has served as our Chief Human Resources Officer since 2007. A practicing attorney for fifteen years, Ms. Piell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positions of increasing responsibility in our Legal &amp; Market Regulation division, most recently as Managing Director and Senior Associate General Counsel. Prior to joining CME Group in 2000, Ms. Piell served as Associate Commercial Counsel at MCI Telecommunications (1996-2000) and Associate Litigation Attorney at Jenner &amp; Block (1992-1996). Her career also includes service as a clerk for a judge of the U.S. District Court for the Northern District of Illinois.</w:t>
      </w:r>
    </w:p>
    <w:p>
      <w:pPr>
        <w:spacing w:after="0" w:line="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Derek Sammann, </w:t>
      </w:r>
      <w:r>
        <w:rPr>
          <w:rFonts w:ascii="Times New Roman" w:cs="Times New Roman" w:eastAsia="Times New Roman" w:hAnsi="Times New Roman"/>
          <w:sz w:val="18"/>
          <w:szCs w:val="18"/>
          <w:color w:val="auto"/>
        </w:rPr>
        <w:t>56. Mr. Sammann has served as our Senior Managing Director, Global Head of Commodities Markets since November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our Senior Managing Director, Commodities and Options Products since 2014. He previously 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 Mr. Sammann serves as a member of the Board of Directors of the following entities: the Gulf Mercantile Exchange, the COMEX Board of Governors and the Commodities Markets Council, where he also serves as Treasurer. He also serves on the Shanghai Gold Exchange’s International Advisory Board, the Commodity Futures Trading Commission's Agricultural &amp; Energy and Environmental Markets Advisory Committees, and the Security Traders Association’s Listed Options Committee.</w:t>
      </w:r>
    </w:p>
    <w:p>
      <w:pPr>
        <w:spacing w:after="0" w:line="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Sprague, </w:t>
      </w:r>
      <w:r>
        <w:rPr>
          <w:rFonts w:ascii="Times New Roman" w:cs="Times New Roman" w:eastAsia="Times New Roman" w:hAnsi="Times New Roman"/>
          <w:sz w:val="18"/>
          <w:szCs w:val="18"/>
          <w:color w:val="auto"/>
        </w:rPr>
        <w:t>44. Ms. Sprague has served as our Chief Operating Officer and Global Head of Clearing since November 2024. She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Managing Director &amp; Global Head of Clearing and Post-Trade Services for CME Group since February 2022. She joined the company in 2002 and has held numerous roles and leadership positions in financial management and risk management since that time. During her tenure, she has played a key role in the company’s development of risk management policy. Since 2015, she served as Managing Director, Credit &amp; Liquidity Risk, Risk Policy &amp; Banking,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overseeing our clearing house's exposure to counterparty credit risk, liquidity risk management and financial performance, acceptable collateral and collateral services, risk management policies and procedures, financial operations, and banking.</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Tobin, </w:t>
      </w:r>
      <w:r>
        <w:rPr>
          <w:rFonts w:ascii="Times New Roman" w:cs="Times New Roman" w:eastAsia="Times New Roman" w:hAnsi="Times New Roman"/>
          <w:sz w:val="18"/>
          <w:szCs w:val="18"/>
          <w:color w:val="auto"/>
        </w:rPr>
        <w:t>61. Mr. Tobin has served as Managing Director and Chief Accounting Officer since 2015. Mr. Tobin most recently served as our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Corporate Finance since 2007. Prior to our merger with CBOT Holdings, Mr. Tobin served as the Director, Corporate Finance for CBOT Holdings and CBOT from 2002 to 2007. Prior to joining CBOT, Mr. Tobin served as a principal consultant with PricewaterhouseCoopers from 1997 to 2002. Mr. Tobin is a registered certified public accountant.</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Kendal Vroman, </w:t>
      </w:r>
      <w:r>
        <w:rPr>
          <w:rFonts w:ascii="Times New Roman" w:cs="Times New Roman" w:eastAsia="Times New Roman" w:hAnsi="Times New Roman"/>
          <w:sz w:val="18"/>
          <w:szCs w:val="18"/>
          <w:color w:val="auto"/>
        </w:rPr>
        <w:t>53. Mr. Vroman has served as our Chief Transformation Officer since November 2021. He previously served as Senior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International and Optimization Services since February 2020 and as our Senior Managing Director, Cash Markets and Optimization Service since 2018. Since joining the company in 2001, he has held a variety of senior leadership roles, including Managing Director, Planning and Execution; Global Head, Commodity Products and OTC Solutions, and Managing Director and Chief Corporate Development Officer.</w:t>
      </w:r>
    </w:p>
    <w:p>
      <w:pPr>
        <w:spacing w:after="0" w:line="6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Winkler, </w:t>
      </w:r>
      <w:r>
        <w:rPr>
          <w:rFonts w:ascii="Times New Roman" w:cs="Times New Roman" w:eastAsia="Times New Roman" w:hAnsi="Times New Roman"/>
          <w:sz w:val="18"/>
          <w:szCs w:val="18"/>
          <w:color w:val="auto"/>
        </w:rPr>
        <w:t>50. Ms. Winkler has served as our Chief Commercial Officer since 2016. She leads the company’s sales, product marketing,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and innovation lab functions. She also oversees the international business line and the data and analytics services business line. She previously served as 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 Dow Jones Indices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website is www.cmegroup.com.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may also be found on our website. The SEC also maintains an Internet site that contains reports, proxy and information statements, and other reports that we file or furnish with the SEC at http://www.sec.gov. Copies of these materials also are available to shareholders free of charge upon request to Shareholder Relations, officeofthesecretary@cmegroup.com. Information regarding our sustainability practices is available at the following: https://www.cmegroup.com/company/corporate-citizenship/esg.html, including our 2024 report when issued.</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5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7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economic, political and geopolitical market conditions, including the instability caused by wars;</w:t>
      </w:r>
    </w:p>
    <w:p>
      <w:pPr>
        <w:spacing w:after="0" w:line="35" w:lineRule="exact"/>
        <w:rPr>
          <w:rFonts w:ascii="Arial" w:cs="Arial" w:eastAsia="Arial" w:hAnsi="Arial"/>
          <w:sz w:val="22"/>
          <w:szCs w:val="22"/>
          <w:color w:val="auto"/>
        </w:rPr>
      </w:pPr>
    </w:p>
    <w:p>
      <w:pPr>
        <w:ind w:left="660" w:right="1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any direct or indirect restrictions on or increased costs associated with trading in our markets or our clearing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the industry and financial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trading volumes and volatility in the derivatives, cash and OTC markets and in their underlying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or supply in commodities underlying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monetary policies and the U.S. Federal Reserve and other international banks' forecasted interest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to our market participants and their appetite for risk-taking;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assets under our customers'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patterns, droughts, natural disasters and other catastrophes;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affecting our customer base or our ability to operate our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expansion in our customer base and within our industry.</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in the period after a material market disturbance, there may persist extreme uncertainties, which may lead to decreased volume due to factors such as reduced risk exposure, fluctuating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challenging business environment for us.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1A - Risk Factors - Risks Relating To Our Business" beginning on page 20 for additional information.</w:t>
      </w:r>
    </w:p>
    <w:p>
      <w:pPr>
        <w:spacing w:after="0" w:line="1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 fines or other consequences to our regulated status.</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primarily subject to the jurisdiction of the regulatory agencies in the U.S., U.K. and E.U. As a result of our global operations, we are also subject to the rules and regulations of other local jurisdictions in which we conduct business and offer our products and services, as appropriate.</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businesses and those of many of our clients have been and continue to be subject to extensive legislation and regulatory scrutiny, and we face the risk of continued increasing oversight and changes to our regulatory environment and business in the future and have incurred and expect to continue to incur significant costs to comply. Additional new laws or regulations or changes in enforcement practices applicable to our businesses or those of our clients could be imposed in the U.S. or other jurisdictions, which could change, or require us to change, our business practices or the structure of our business, including its current governance, risk oversight or regulatory structure, or impose significant costs on us by, for example, requiring more of our funds to be set aside for the guaranty fund or to meet other compliance requirements. This could adversely affect our ability to compete effectively with other institutions that are not affected in the same way or impact our clients' overall trading volume and demand for our market data and other services. Additionally, regulations imposed on financial institutions or market participants generally may adversely impact their trading activity in our markets. To the extent the legislative and regulatory environment becomes more onerous for us or less beneficial for us or our customers, our business, financial condition and operating results could be negatively affected.</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Legislation may be proposed, both domestically and internationally, that could, for example,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 with a resulting negative impact on our business, financial condition and operating results.</w:t>
      </w:r>
    </w:p>
    <w:p>
      <w:pPr>
        <w:spacing w:after="0" w:line="7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swap data repository, broker-dealer, multilateral trading facility or other regulatory status.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broker-dealer and MTF businesses, BrokerTec and EBS, are also extensively regulated in various jurisdictions.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comply with these regulatory obligations include potential liability and/or disciplinary action against the firm and individuals, monetary penalties and restrictions on future activities.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with FICC could adversely impact the willingness of such participants to continue trading on our platform. As part of maintaining its FICC membership, BrokerTec Americas is required to timely and fully meet all margin calls and other obligations established by FICC, and as such must maintain ready access to sufficient liquidity to satisfy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those obligations. BrokerTec Americas maintains access to liquidity resources it believes will satisfy these obligations in normal and stressed circumstances, but there can be no guarantee it will never experience a shortfall.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1 - Business - Regulatory Matters" beginning on page 12 for additional information on our areas of regulatory focus.</w:t>
      </w:r>
    </w:p>
    <w:p>
      <w:pPr>
        <w:spacing w:after="0" w:line="11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Some of our clearing house's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for our futures and options business is to operate an efficient and transparent vertically-integrated transaction execution, clearing and settlement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from an exchange-owned clearing house to a clearing house owned and controlled by clearing firms. If these legislative or regulatory changes are adopted, our business, financial condition and operating results could be adversely affected.</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5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Our industry is highly competitive, and we expect competition to continue to intensify. We encounter competition in all aspects of our business, including from entities having substantially greater capital and resources, offering a wide range of products and services and in some cases operating under a different</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Our competitors and potential competitors may have greater financial, marketing, technological and personnel resources than we do.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may:</w:t>
      </w:r>
    </w:p>
    <w:p>
      <w:pPr>
        <w:spacing w:after="0" w:line="158" w:lineRule="exact"/>
        <w:rPr>
          <w:sz w:val="20"/>
          <w:szCs w:val="20"/>
          <w:color w:val="auto"/>
        </w:rPr>
      </w:pPr>
    </w:p>
    <w:p>
      <w:pPr>
        <w:ind w:left="660" w:right="30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respond more quickly to competitive pressures and opportunities, including responses based upon their corporate governance structures, which may be more flexible and efficient than our corporate governance structure;</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that are preferred by our customers compared to those offered by CME Group;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risk transfer products that compete with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their products and services more competitively;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their network infrastructure and service offerings more efficiently;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better, more user-friendly or more reliable technology, including artificial intelligence;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greater advantage of acquisitions, alliances and other opportunities that provide a competitive advantage;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effectively market, promote and sell their products and services;</w:t>
      </w:r>
    </w:p>
    <w:p>
      <w:pPr>
        <w:spacing w:after="0" w:line="63"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leverage existing relationships with customers and alliance partners or exploit better recognized brand names to market and sell their services; or</w:t>
      </w:r>
    </w:p>
    <w:p>
      <w:pPr>
        <w:spacing w:after="0" w:line="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 regulatory disparities between traditional, regulated exchanges and alternative markets that benefit from a reduced regulatory burden and lower-cost business model.</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our products, markets and clearing services are not competitive or are viewed as less competitive, our business, financial condition and operating results could be adversely affected. A decline in our fees or loss of customers could lower our revenues, which would adversely affect our profitability.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see "Item 1 - Business - Competition" beginning on page 10 for additional information on the competitive environment and its potential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increase trading volume in our markets. To do so, we must maintain and expand our product offerings, our customer base and our trade execution facilities, our pre-and post-trade services and clearing facilities. Our success also depends on our ability to offer competitive prices and services in an increasingly price-sensitive business. For example, some of our competitors have engaged in aggressive pricing strategies in the 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to our profit margin.</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clearing firm clients must meet certain capital requirements and must deposit collateral to meet performance bond and guaranty fund requirements. There is no guarantee the collateral deposited will continue to maintain its value. To the extent a clearing member were to experience a decrease in capital and be unable to meet requirements, it may be required to decrease its trading activity.</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to maintain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role in the global marketplace places us at greater risk than other public companies for a cyber attack and other cyber-security risks. Our technology, our customers, our people and our third-party service providers are vulnerable to cyber-security threats, which could result in wrongful use of our data or our customers’ data or cause interruptions in our operations, our customers' operations, or our third-party service providers' operations, which could cause us to lose customers and trading volume and result in substantial liabilities. We also could be required to incur significant expense to protect or remediate damage to our systems and/or investigate any alleged attack.</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regard the secure storage and transmission of data and the ability to continuously transact and clear on our electronic trading platforms as critical elements of our operations and our operational resiliency. Our technology, our customers, our people and our third-party service providers may be vulnerable to targeted attacks, such as "phishing" attacks, unauthorized access, fraud, business email compromise, computer viruses, denial of service attacks, terrorism, "ransomware" attacks, attacks created through artificial intelligence, firewall or encryption failures or other security or operational risks. Criminal groups, political activist groups and nation-state actors have targeted the financial services industry in general, including as a result of wars, and</w:t>
      </w:r>
    </w:p>
    <w:p>
      <w:pPr>
        <w:spacing w:after="0" w:line="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role in the global marketplace places us at significant risk for a cyber attack and other information security threats. While to date we have not experienced cyber incidents that are individually, or in the aggregate, material, we and certain of our third party providers have experienced cyber attacks of varying degrees in the past.</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usage of mobile, web, and cloud technologies, such as those pursuant to our partnership with Google Cloud, may increase our risk of a cyber attack. Our security defenses may also be impacted or breached due to employee error, malfeasance, system errors or vulnerabilities. Additionally, outside parties may attempt to fraudulently induce employees, users, customers or our third party providers to disclose sensitive information in order to gain access to our technology systems and data, or our customers’ systems and data, or our third parties' systems and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or others. The regulatory environment related to information security, privacy, data collection, data usage and use of artificial intelligence is increasingly rigorous and complex, and any failure to comply may carry significant penalties and reputational damage.</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designed our cyber defense program to mitigate such attacks and security risks through administrative, physical and technical safeguards. As part of our global information security and privacy programs, we employ resources to prevent, detect and respond to cyber attacks and security risks that could impact our people, processes and technology infrastructure, including rapid response to zero-day vulnerabilities. However, our security measures or those of our third-party providers, including any cloud-based technologies, may prove insufficient depending upon the attack or threat posed. Any security attack or breach could result in system failures and delays, malfunctions in our operations, loss of customers or lower trading volume, loss of competitive position, damage to our reputation, disruption of our business, legal liability or regulatory fines and significant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which in turn may cause our revenues and earnings to decline and could have a material impact on our financial condition or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subject to litigation and financial losses that exceed our insurance policy limits or are not covered under any of our current policies.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financial services provider, we are subject to significant litigation risk and regulatory liability and penalties.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aspects of our business present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greater risk from terrorism, which poses physical security risks and cybersecurity risks, than other companies.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against us or our third party service providers, or on our industry generally. While we have implemented significant physical security protection measures, business continuity plans, and established backup sites to provide operational resiliency, in the event of an attack or a threat of an attack, these security measures and contingency plans may be inadequate to prevent significant disruptions in our business, technology or access to the infrastructure necessary to maintain our business. Such an attack may result in harm to our personnel or the closure of our facilities or render our backup data and recovery systems inoperable, or have similar consequences for our third party service providers. Damage to our facilities due to terrorist attacks may be significantly in excess of any amount of insurance coverage available, or we may not be able to insure against such damage at a reasonable price or at all. The threat of terrorist attacks also may negatively affect our ability to attract and retain employees. Any of these events could have a material adverse effect on our business, financial condition, and operating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could harm our business.</w:t>
      </w:r>
    </w:p>
    <w:p>
      <w:pPr>
        <w:spacing w:after="0" w:line="1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Maintaining our reputation and brand is critical to attracting and retaining customers, investors and employees and to maintaining our relationships with our regulators and other government officials. Negative publicity regarding our company or actual, alleged or perceived issues regarding our company, products or services, including social and environmental concerns relating to our company or certain commodity products and increased impact from climate change or criticism or market reaction to the performance of our market in periods of extreme volatility, could give rise to reputational risk, which could significantly harm our business prospects. These issues may include, but are not limited to, any of the risks discussed in this Item 1A, including risks from customer disputes, system failures or intrusions, cybersecurity attacks, failures to meet our regulatory obligations, failures of a clearing firm or other counterparty, issues relating to our third-party suppliers, alleged or actual fraud or misconduct or manipulative activity, or ineffective risk management.</w:t>
      </w:r>
    </w:p>
    <w:p>
      <w:pPr>
        <w:spacing w:after="0" w:line="5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markets depends on our ability to complete development of, successfully implement and maintain electronic trading and clearing systems that have the functionality, performance, availability and resilience, capacity, security and speed required by our customers.</w:t>
      </w:r>
    </w:p>
    <w:p>
      <w:pPr>
        <w:spacing w:after="0" w:line="5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The success of our business depends in large part on our ability to create interactive electronic marketplaces for a wide range of products that have the required functionality, performance, availability and resilience, capacity, security and speed to attract and retain customers. In 2024, 92% of our overall</w:t>
      </w:r>
    </w:p>
    <w:p>
      <w:pPr>
        <w:spacing w:after="0" w:line="1"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contract volume was generated through electronic trading on our CME Globex</w:t>
      </w:r>
      <w:r>
        <w:rPr>
          <w:sz w:val="20"/>
          <w:szCs w:val="20"/>
          <w:color w:val="auto"/>
        </w:rPr>
        <w:tab/>
      </w:r>
      <w:r>
        <w:rPr>
          <w:rFonts w:ascii="Times New Roman" w:cs="Times New Roman" w:eastAsia="Times New Roman" w:hAnsi="Times New Roman"/>
          <w:sz w:val="17"/>
          <w:szCs w:val="17"/>
          <w:color w:val="auto"/>
        </w:rPr>
        <w:t>electronic platform.</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reliable and cost-effective services to our customers;</w:t>
      </w:r>
    </w:p>
    <w:p>
      <w:pPr>
        <w:spacing w:after="0" w:line="35" w:lineRule="exact"/>
        <w:rPr>
          <w:rFonts w:ascii="Arial" w:cs="Arial" w:eastAsia="Arial" w:hAnsi="Arial"/>
          <w:sz w:val="22"/>
          <w:szCs w:val="22"/>
          <w:color w:val="auto"/>
        </w:rPr>
      </w:pPr>
    </w:p>
    <w:p>
      <w:pPr>
        <w:ind w:left="660" w:right="6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a timely manner, the required functionality to support electronic trading in a manner that is competitive with the functionality supported by other electronic markets;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competitiveness of our fee structure;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ISVs to write software that will allow our customers to effectively access our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developments or service offerings by competitors; and</w:t>
      </w:r>
    </w:p>
    <w:p>
      <w:pPr>
        <w:spacing w:after="0" w:line="6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justify the substantial capital investment we have made and will continue to make to enhance our electronic trading platforms and other technology offerings.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do not continue to enhance our electronic trading systems and technology offerings, including the development and migration of our markets and supporting operational and business functions to the CME Google Cloud platform and the private Google Cloud region, if we are unable to develop our trading systems and technology offerings to include other products and markets, or if they do not have the required functionality, performance, availability and resilience, capacity, security and speed desired by our customers, our ability to successfully compete and our revenues and profits will be adversely affected, which could have a material impact on our financial condition or results of operations.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we rely on our customers' ability to have the necessary back office functionality to support our new products and our trading and clearing functionality. To the extent our customers and/or their third party providers are not prepared and/or lack the resources or infrastructure, the success of our new initiatives may be compromised.</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systems failures or capacity constraints, our ability to conduct our operations and execute our business strategy could be materially harmed, and we could be subject to significant costs and liabilities.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9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disruptions in service to our customers;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and delays in our customers' trade execution and processing;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settlement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or inaccurate accounting, recording, or processing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customer claims;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sanctions.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assure that we will not experience system failures from power or telecommunications failures, acts of God, war or terrorism, human error on our part or on the part of our third-party providers or partners, natural disasters, fire, rising temperatures,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 have a material adverse effect on our business, financial condition and operating results.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Regulations relating to our trading and clearing systems generally require the handling of anticipated present and future peak trading volume. Heavy use of our systems during peak trading times or at times of unusual market volatility could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or speed. Increased trading volume and order messaging traffic may result in connectivity problems or erroneous reports that may affect users of our platforms.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340"/>
        <w:spacing w:after="0" w:line="312" w:lineRule="auto"/>
        <w:rPr>
          <w:sz w:val="20"/>
          <w:szCs w:val="20"/>
          <w:color w:val="auto"/>
        </w:rPr>
      </w:pPr>
      <w:r>
        <w:rPr>
          <w:rFonts w:ascii="Times New Roman" w:cs="Times New Roman" w:eastAsia="Times New Roman" w:hAnsi="Times New Roman"/>
          <w:sz w:val="17"/>
          <w:szCs w:val="17"/>
          <w:color w:val="auto"/>
        </w:rPr>
        <w:t>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could be adversely affected.</w:t>
      </w:r>
    </w:p>
    <w:p>
      <w:pPr>
        <w:spacing w:after="0" w:line="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6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We depend on a number of suppliers, such as banking, clearing and settlement organizations, telephone companies, internet service providers, data processors, cloud hosting providers, data center providers, and software and hardware vendors, for elements of our trading, clearing, and other systems, as</w:t>
      </w:r>
    </w:p>
    <w:p>
      <w:pPr>
        <w:spacing w:after="0" w:line="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well as communications and networking equipment, computer hardware and software and related support and maintenance. Although we conduct due diligence and monitor important suppliers and service providers (including the resiliency of their operations), we cannot provide assurances of their performance and any interruption or cessation of their supplies or services could negatively impact our operations or those of our customers, as well as affect our reputation, financial or regulatory posture.</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Many of our customers rely on third parties, such as ISVs, to provide them with front-end systems to access our trading platforms and other back office systems for their trade processing and risk management needs. While these service providers have undertaken to keep current and certify as to our enhancements and make corresponding changes to their software for our interfaces and functionality, we cannot guarantee that they will continue to make the necessary monetary, resource and time investments to keep up with our enhancements and changes.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extent any of our service providers or the organizations that provide services to our customers in connection with their trading activities cease to provide these services or cease to provide these services in an efficient, cost-effective manner, or fail to adequately expand their services to meet our needs and the needs of our customers, we could experience decreased trading volume, lower revenues and higher costs. In addition, while we may be entitled to recovery for breaches of, or liabilities otherwise incurred in connection with, our agreements with third-party suppliers and service providers, such recovery is limited by the terms of these agreements and may not compensate us in full.</w:t>
      </w:r>
    </w:p>
    <w:p>
      <w:pPr>
        <w:spacing w:after="0" w:line="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clearing house operations expose us to counterparties with differing risk profiles.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 Americas.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guarantee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clearing firm becomes insolvent.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offer a wide range of data services designed to support the trading, risk management, investment and business needs of our customers. Revenues from our market data and information services represented 12% of our total revenues during the years ended December 31, 2024 and December 31, 2023. Factors that may affect our performance and demand for our data include, but are not limited to:</w:t>
      </w:r>
    </w:p>
    <w:p>
      <w:pPr>
        <w:spacing w:after="0" w:line="9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existing customers utilizing our data and to attract new customers with our products and services;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challenging business environment for our customers, which may require them to reduce their usage of our market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new regulations, laws, rules or other government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that customers are appropriately licensed and are paying fees for the data used;</w:t>
      </w:r>
    </w:p>
    <w:p>
      <w:pPr>
        <w:spacing w:after="0" w:line="63"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intellectual property rights and identification of misappropriation and/or misuses of CME Group market data, including through the use of artificial intelligence;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developments and client preferences.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executing our growth strategy and maintaining our growth effectively.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execute on strategic initiatives to grow our business, including efforts to serve the OTC markets and to distribute our products and services on a global basis, and other initiatives to enter new markets.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and partnerships. Our growth strategy also may subject us to increased legal, compliance and regulatory obligations. Unless our growth results in an increase in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explore and pursue acquisitions and other strategic opportunities to strengthen our business and grow our company. We may make</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issue additional equity and/or debt as part of strategic partnerships with third parties, as was the case in connection with our partnership with Google Cloud. The issuance of additional equity in connection with any future transaction could be substantially dilutive to our existing shareholders. The issuance of additional debt could increase our leverage substantially.</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the extent we acquire a new business,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expanded global operations, we face certain risks inherent in doing business internationally. These risks include:</w:t>
      </w:r>
    </w:p>
    <w:p>
      <w:pPr>
        <w:spacing w:after="0" w:line="13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54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extensive and complex compliance requirements, regulations and oversight by regulators other than our primary functional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associated costs in managing multiple international locations;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businesses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and cultural differences;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compliance and monitoring programs might not be effective and may result in outcomes that could adversely affect our reputation, financial condition and operating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our business, we discuss matters with our regulators, including during supervisory engagements and regulatory examinations, and we are subject to their inquiry and oversight. Our regulators have broad enforcement and supervisory powers, including, for example, the power to censure, fine, issue cease-and-desist orders, prohibit us from engaging in some of our businesses or suspend or revoke our regulatory designations or the registration of our officers or employees who violate applicable laws or regulations. Our ability to manage our risks and comply with applicable laws and regulations in the jurisdictions where we operate is largely dependent on our establishment and maintenance of effective risk management, 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regulatory standing, financial condition and operating results. In extreme cases, these outcomes could adversely affect our ability to conduct our business.</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risk management, compliance and monitoring policies, procedures and programs that are designed to prevent, detect, deter, monitor and manage our risks, including enterprise risk, compliance and internal audit programs, but such policies, procedures and programs may not be fully effective in their design or operation. Some of our risk management processes depend upon evaluation of information regarding markets, customers, employees, third parties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guarantee that our policies and procedures will always be effective or that we will always be successful in evaluating, monitoring or managing the risks to which we are or may be exposed.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harmed by misconduct or errors that are difficult to detect and deter.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continue to be highly publicized cases involving fraud or other misconduct or manipulative activity by employees of financial services firms and other market participants. Improper trading activity on our platforms by participants could include activities such as spoofing, layering, wash trading and manipulation. Misconduct by our employees and agents could include hiding unauthorized activities from us, improper or unauthorized activities on behalf of customers or the company, improper securities trading activities, circumvention of controls and procedures, improper use of assets, improper use and unauthorized disclosure of data or confidential information of the company or its customers or third parties, improper use of artificial intelligence or failure to provide effective oversight over artificial intelligence, among other potential misconduct.</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It is not always possible to deter misconduct, and the precautions we take to prevent and detect this activity may not be effective in all cases. If we were found to have not met our regulatory oversight and compliance obligations, we could be subject to regulatory sanctions, enforcement actions, financial penalties and restrictions on our activities for failure to properly identify, monitor and respond to potentially problematic activity, and such outcomes could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trading activities in our markets could affect our brand and reputation and reduce the number of participants trading in our markets. If that should occur, we could face a corresponding decline in trading volume and revenue.</w:t>
      </w:r>
    </w:p>
    <w:p>
      <w:pPr>
        <w:spacing w:after="0" w:line="5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contract volume and revenue is based on indexes derived from third-party price reporting agencies. If such third parties take actions that result in the loss of protection for those intellectual property rights or changes in intellectual property laws yield that result, it could have a negative impact on our contract volume and revenues.</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is dependent on proprietary technology and intellectual property that we own or license from third parties. We own the rights to a large number of trademarks, service marks, domain names and trade names in the U.S., Europe, and other parts of the world. We have registered many of our most important trademarks in the U.S.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patents, trademarks, copyright, database rights, trade secrets, restrictions on disclosure, and other methods. Notwithstanding the precautions we take to protect our proprietary technology and intellectual property rights, it is possible that employees or third parties may copy, misappropriate, or otherwise obtain and use our proprietary technology without authorization or otherwise infringe on our rights. The use of certain artificial intelligence technology can give rise to intellectual property risks, including claims that the data used to train, or in connection with certain models infringes the intellectual property rights of the owner of such data. In addition, in the future, we may have to rely on litigation to enforce our intellectual property rights, protect our trade secrets, challenge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guarantee that we are or will be aware of all patents containing claims that may pose a risk of infringement by our products and services. In addition, some patent applications in the U.S.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INVESTMENT IN OUR CLASS A COMMON STOCK</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$3.4 billion of total indebtedness and we had excess borrowing capacity for general corporate purposes under our existing facilities of approximately $2.3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For example, our indebtedness may:</w:t>
      </w:r>
    </w:p>
    <w:p>
      <w:pPr>
        <w:spacing w:after="0" w:line="117" w:lineRule="exact"/>
        <w:rPr>
          <w:sz w:val="20"/>
          <w:szCs w:val="20"/>
          <w:color w:val="auto"/>
        </w:rPr>
      </w:pPr>
    </w:p>
    <w:p>
      <w:pPr>
        <w:ind w:left="660" w:right="38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or challenges relating to our business and industry;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against any less leveraged competitors.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particularly given changes in interest rates, could increase the risks described above to the extent that we incur additional debt. Our regulated businesses are also required to maintain minimum capital requirements set by their applicable regulators.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Please see "Item 7 - Management's Discussion and Analysis of Financial Condition and Results of Operations — Regulatory Requirements" beginning on page 47 for additional information regarding capital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 could increase the cost of our funding from the capital markets.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As a result, there can be no assurance that we will maintain our current ratings. In the past, we have experienced ratings downgrades. Our failure to maintain our ratings could adversely affect the cost and other terms upon which we are able to obtain</w:t>
      </w:r>
    </w:p>
    <w:p>
      <w:pPr>
        <w:spacing w:after="0" w:line="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average rate per contract for our derivatives business is subject to fluctuation due to a number of factors. As a result, our average rate per contract in any particular period may not be a reliable indication of our future average rate per contract.</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Nine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influence over the operation of our business.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Nine of our directors own, or are officers or directors of firms that own trading rights on our exchanges. We are dependent on the revenues from the trading and clearing activities of our exchange members. In 2024, 85% of our derivatives contract volume was derived from our members. This dependence may give them influence over how we operate our business.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of our members and clearing firms derive a substantial portion of their income and profit from their trading or clearing activities on or through our exchanges. In addition, trading rights on our exchanges have substantial independent value. The amount of profit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and prior attempts to do so did not receive the necessary shareholder approvals. In connection with these rights, our ability to take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certain actions that we may deem to be in the best interests of the company and its shareholders, including actions relating to certain pricing decisions, may be limited by the rights of our members.</w:t>
      </w:r>
    </w:p>
    <w:p>
      <w:pPr>
        <w:spacing w:after="0" w:line="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a highly regulated global financial services company, we understand the substantial operational risks for companies in our industry as well as the importance of protecting the information and data of our clients, third parties and employees and the resilience of our systems. As such, our Global Informational Security (GIS) Program is designed and operated to mitigate information security risks and threats to the company. Its intent is to safeguard the confidentiality, integrity and availability of our information and services. The GIS Program is designed to strengthen the integrity of the global markets we support, protect CME Group’s information assets, maintain client, third party and employee trust, support our pursuit of strategic objectives, contribute to shareholder value and preserve our reputation and brand. We implement technical, physical and administrative safeguards to protect the confidential and sensitive information of our clients, third parties, employees and other information under CME Group’s stewardship. We manage cybersecurity risk to the organization as part of our business strategy, risk management and financial functions in alignment with our overall Enterprise Risk Management Program and regularly engage with the risk committee of the board of directors and the board of directors as a whole regarding the effectiveness of the GIS Program and the management of our cybersecurity risks.</w:t>
      </w:r>
    </w:p>
    <w:p>
      <w:pPr>
        <w:spacing w:after="0" w:line="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GIS Program is led by CME Group’s Chief Information Security Officer (CISO), who has worked in various roles in information security for over 20 years and has led our GIS Program for more than five years since joining the company in 2016 in a senior role in GIS. The CISO reports to our Chief Information Officer (CIO), a member of our Management Team. Our GIS team is comprised of over 200 full-time employees, many of whom hold cybersecurity, risk, or management certifications, such as Certified Information Systems Security Professional, Certified Information Security Manager, Certified in Risk and Information Systems Control, Series 99, Certified Information Systems Auditor, Project Management Professional, various cloud provider certifications and various levels of ITIL certifications. As part of our GIS Program, CME Group operates a Cyber Defense Center that virtually links 24/7 to our international cybersecurity teams and serves as a global hub for cybersecurity risk management activities, including log collection, event monitoring, threat detection and incident response, resiliency, operations, vulnerability management and the proactive collection and processing of both open source and proprietary threat and intelligence feeds allowing the company to efficiently manage, investigate and respond to cybersecurity events. Our GIS team conducts analyses and aims to prevent, detect and respond to systemic events that might threaten our company, industry or the economy.</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GIS Program includes a Cyber Defense team, which manages the Incident Response Plan (IRP), and consists of subject matter experts from GIS and Information Governance, who work together to monitor and respond to cybersecurity incidents. The IRP outlines our cyber and incident response policies and governs our incident response lifecycle, which divides overall incident response into serial phases. The Crisis Management Team (CMT) is responsible for oversight during an incident, in conjunction with the Cyber Coordination Team (CCT). The CCT manages responses to cybersecurity and compliance incidents, collaborating with subject matter experts from various departments in response to specific incidents. When an incident reaches a certain threshold of severity, our CISO and CIO escalate the matter to our Chief Operating Officer, who is another member of our Management Team, to determine next steps, as well as possible customer and external communication. Throughout the incident response process, the Legal team is engaged, as appropriate, and helps consider whether disclosure is required once a determination is made in connection with the company’s leadership and the CMT.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identify, assess and manage material risks from cybersecurity threats through our GIS Program as follows:</w:t>
      </w:r>
    </w:p>
    <w:p>
      <w:pPr>
        <w:spacing w:after="0" w:line="158" w:lineRule="exact"/>
        <w:rPr>
          <w:sz w:val="20"/>
          <w:szCs w:val="20"/>
          <w:color w:val="auto"/>
        </w:rPr>
      </w:pPr>
    </w:p>
    <w:p>
      <w:pPr>
        <w:ind w:left="660" w:right="60" w:hanging="328"/>
        <w:spacing w:after="0" w:line="239"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We deploy a defense-in-depth strategy, acknowledging the importance of people, processes and technology in upholding information security. The strategy incorporates multiple layers of controls, including, monitoring, vulnerability management, identity and access management and security assessments.</w:t>
      </w:r>
    </w:p>
    <w:p>
      <w:pPr>
        <w:spacing w:after="0" w:line="37" w:lineRule="exact"/>
        <w:rPr>
          <w:rFonts w:ascii="Arial" w:cs="Arial" w:eastAsia="Arial" w:hAnsi="Arial"/>
          <w:sz w:val="22"/>
          <w:szCs w:val="22"/>
          <w:color w:val="auto"/>
        </w:rPr>
      </w:pPr>
    </w:p>
    <w:p>
      <w:pPr>
        <w:ind w:left="660" w:right="20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is aligned with the National Institute of Standards and Technology Cybersecurity Framework (NIST) and other technical standards and frameworks.</w:t>
      </w:r>
    </w:p>
    <w:p>
      <w:pPr>
        <w:spacing w:after="0" w:line="1" w:lineRule="exact"/>
        <w:rPr>
          <w:rFonts w:ascii="Times New Roman" w:cs="Times New Roman" w:eastAsia="Times New Roman" w:hAnsi="Times New Roman"/>
          <w:sz w:val="18"/>
          <w:szCs w:val="18"/>
          <w:color w:val="auto"/>
        </w:rPr>
      </w:pPr>
    </w:p>
    <w:p>
      <w:pPr>
        <w:ind w:left="660" w:right="5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robust cybersecurity defense response plan that provides a documented framework for handling security incidents and facilitates coordination across multiple parts of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threat intelligence and operate a Cyber Defense Center, which acts as our hub of information sharing and threat intelligence analysis.</w:t>
      </w:r>
    </w:p>
    <w:p>
      <w:pPr>
        <w:spacing w:after="0" w:line="6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external expertise and reviews into our cybersecurity risk management program and continue to engage leading professional consulting firms to assist our company in incorporating cybersecurity best practices.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8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annual cybersecurity awareness and ongoing phishing training, and we routinely conduct cybersecurity attack simulation exercises, which includes participation from various levels of management.</w:t>
      </w:r>
    </w:p>
    <w:p>
      <w:pPr>
        <w:spacing w:after="0" w:line="1"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risk-based approach, we conduct due diligence reviews of our third party providers for potential cybersecurity risks to the company. We also maintain a cross-functional Third Party Risk Management program, which partners with our GIS, Information Governance, and Operational Resilience teams, among others, to manage and monitor third party risk presented by CME Group vendors and certain third parties of third parties (fourth parties). The teams conduct initial due diligence on vendors and monitor cyber-related incidents and known vulnerabilities with the goal of enhancing processes, improving risk management and partnering on exit planning and testing for certain vendors associated with essential functions.</w:t>
      </w:r>
    </w:p>
    <w:p>
      <w:pPr>
        <w:spacing w:after="0" w:line="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insurance against certain cybersecurity and privacy risks and attacks.</w:t>
      </w:r>
    </w:p>
    <w:p>
      <w:pPr>
        <w:spacing w:after="0" w:line="6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active participant in the financial services industry and government forums and information sharing programs, designed to improve both internal and sector cybersecurity defense. These valuable external partnerships are established and maintained in order to gain more timely, comprehensive and actionable threat information across geographies and industries and to facilitate the exchange of best practices and security techniques. They allow for a high degree of collaboration and cooperation with local, state, federal, and international law enforcement and intelligence agencies, industry groups, and other private sector chief information security officers.</w:t>
      </w:r>
    </w:p>
    <w:p>
      <w:pPr>
        <w:spacing w:after="0" w:line="21"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the design and effectiveness of our information security controls and processes through a program of testing performed by internal and independent third-party teams. Remediation of gaps and opportunities identified through testing are tracked through to closure. Testing activities support a variety of regulatory requirements and external industry certifications held by CME Group.</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board provides oversight of cybersecurity risks and has designated primary responsibility to the risk committee which oversees our information security programs, including cybersecurity, and is actively involved in monitoring the progress of key cybersecurity initiatives. Our board and risk committee receive regular updates on the activities and effectiveness of our GIS Program, including reports on incident response plan testing exercises and results of compliance testing and third-party evaluation results. Our CISO provides quarterly, or as needed, reports and updates to our board and risk committee on the company's cybersecurity risk management program and meets with the risk committee at least annually in a private session. The CISO has an indirect reporting line to the risk committee. We also engage with leading professional consulting firms to provide periodic updates to the board on cybersecurity-related risks in the evolving threat landscape and to provide education on best practices for board oversight of our GIS Program.</w:t>
      </w:r>
    </w:p>
    <w:p>
      <w:pPr>
        <w:spacing w:after="0" w:line="8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To date, the company is not aware of risks from cybersecurity threats, including as a result of any previous cybersecurity incidents, that have materially affected or are reasonably likely to materially affect the company, including our business strategy, results of operations or financial condition.</w:t>
      </w:r>
    </w:p>
    <w:p>
      <w:pPr>
        <w:spacing w:after="0" w:line="32"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See "Item 1A - Risk Factors" beginning on page 16 for additional information on cyber attacks and other cybersecurity risks the company faces. </w:t>
      </w:r>
      <w:r>
        <w:rPr>
          <w:rFonts w:ascii="Times New Roman" w:cs="Times New Roman" w:eastAsia="Times New Roman" w:hAnsi="Times New Roman"/>
          <w:sz w:val="18"/>
          <w:szCs w:val="18"/>
          <w:b w:val="1"/>
          <w:bCs w:val="1"/>
          <w:color w:val="auto"/>
        </w:rPr>
        <w:t>ITEM 2. PROPERTIES</w:t>
      </w:r>
    </w:p>
    <w:p>
      <w:pPr>
        <w:spacing w:after="0" w:line="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20 South Wacker Drive, Chicago, IL, where we lease approximately 530,000 square feet of general office space. This lease expires in 2032. Our European headquarters are located at the London Fruit &amp; Wool Exchange at 1 Duval Square, London, where we lease approximately 120,000 square feet of general office space. This lease expires in 2038.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our largest data center from CyrusOne in Aurora, IL. This lease expires in 2031.</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above properties, we have other offices and data centers in various locations around the globe. The company’s management believes that its properties are suitable for the purposes for which they are used and our current needs. Please see note 5. Property and note 11. Leases to the consolidated financial statements for more information.</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"Legal and Regulatory Matters" in note 12. Contingencies to the consolidated financial statements beginning on page 76 for CME Group’s legal proceedings disclosure, which is incorporated herein by reference.</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840" w:right="22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SHAREHOLDER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on Nasdaq under the ticker symbol "CME." As of February 12, 2025, there were approximately 3,870 holders of record of our Class A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Class B common stock is not listed on a national securities exchange or traded in an organized OTC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February 12, 2025, there were approximately 1,480 holders of record of our Class B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2021, we issued and sold in a private placement approximately 4.6 million shares of Series G Non-Voting Convertible Preferred Stock. Series G Non-Voting Convertible Preferred Stock is not listed on a national securities exchange or traded in an organized OTC market. These shares are convertible to Class A common stock at the discretion of the holder at a specified conversion rate, which is initially 1:1. Series G Non-Voting Convertible Preferred Stock has the same equitable interest in our earnings and the same dividend payments per share as our Class A shares on an as converted basis. As of February 12, 2025, there was one holder of record of our Series G Non-Voting Convertible Preferred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on CME Group Inc.'s Class A common stock relative to the cumulative total returns of the S&amp;P 500 index and a customized peer group of five companies that include: Cboe Global Markets Inc, Deutsche Boerse Ag, Intercontinental Exchange Inc, London Stock Exchange Group Plc and Nasdaq Inc. An investment of $100 (with reinvestment of all dividends) is assumed to have been made in our Class A common stock, in the peer group and the S&amp;P 500 index on December 31, 2019 and its relative performance is tracked through December 31,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469265</wp:posOffset>
            </wp:positionV>
            <wp:extent cx="5863590" cy="4869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Group Inc.</w:t>
            </w:r>
          </w:p>
        </w:tc>
        <w:tc>
          <w:tcPr>
            <w:tcW w:w="20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93.66</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121.26</w:t>
            </w:r>
          </w:p>
        </w:tc>
        <w:tc>
          <w:tcPr>
            <w:tcW w:w="9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122.76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0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2"/>
              </w:rPr>
              <w:t>118.40</w:t>
            </w:r>
          </w:p>
        </w:tc>
        <w:tc>
          <w:tcPr>
            <w:tcW w:w="9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152.39</w:t>
            </w:r>
          </w:p>
        </w:tc>
        <w:tc>
          <w:tcPr>
            <w:tcW w:w="9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124.79</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157.59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117.40</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140.56</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122.06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148.62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00" w:type="dxa"/>
            <w:vAlign w:val="bottom"/>
          </w:tcPr>
          <w:p>
            <w:pPr>
              <w:spacing w:after="0"/>
              <w:rPr>
                <w:sz w:val="13"/>
                <w:szCs w:val="13"/>
                <w:color w:val="auto"/>
              </w:rPr>
            </w:pPr>
          </w:p>
        </w:tc>
        <w:tc>
          <w:tcPr>
            <w:tcW w:w="25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58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of Shares (or Units) that May Yet</w:t>
            </w:r>
          </w:p>
        </w:tc>
        <w:tc>
          <w:tcPr>
            <w:tcW w:w="0" w:type="dxa"/>
            <w:vAlign w:val="bottom"/>
          </w:tcPr>
          <w:p>
            <w:pPr>
              <w:spacing w:after="0"/>
              <w:rPr>
                <w:sz w:val="1"/>
                <w:szCs w:val="1"/>
                <w:color w:val="auto"/>
              </w:rPr>
            </w:pPr>
          </w:p>
        </w:tc>
      </w:tr>
      <w:tr>
        <w:trPr>
          <w:trHeight w:val="14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in 2024</w:t>
            </w:r>
          </w:p>
        </w:tc>
        <w:tc>
          <w:tcPr>
            <w:tcW w:w="17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 Units)</w:t>
            </w:r>
          </w:p>
        </w:tc>
        <w:tc>
          <w:tcPr>
            <w:tcW w:w="146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58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23"/>
                <w:szCs w:val="23"/>
                <w:b w:val="1"/>
                <w:bCs w:val="1"/>
                <w:color w:val="auto"/>
                <w:w w:val="96"/>
                <w:vertAlign w:val="superscript"/>
              </w:rPr>
              <w:t>(1)</w:t>
            </w: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58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Plans or Programs (in millions)</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233.42</w:t>
            </w:r>
          </w:p>
        </w:tc>
        <w:tc>
          <w:tcPr>
            <w:tcW w:w="15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233.54</w:t>
            </w: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20" w:hanging="652"/>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an aggregate of 16,069 shares of Class A common stock surrendered to satisfy employee tax obligations upon the vesting of restricted stock.</w:t>
      </w:r>
    </w:p>
    <w:p>
      <w:pPr>
        <w:spacing w:after="0" w:line="200" w:lineRule="exact"/>
        <w:rPr>
          <w:sz w:val="20"/>
          <w:szCs w:val="20"/>
          <w:color w:val="auto"/>
        </w:rPr>
      </w:pPr>
    </w:p>
    <w:p>
      <w:pPr>
        <w:spacing w:after="0" w:line="2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organized as follows:</w:t>
      </w:r>
    </w:p>
    <w:p>
      <w:pPr>
        <w:spacing w:after="0" w:line="100" w:lineRule="exact"/>
        <w:rPr>
          <w:sz w:val="20"/>
          <w:szCs w:val="20"/>
          <w:color w:val="auto"/>
        </w:rPr>
      </w:pPr>
    </w:p>
    <w:p>
      <w:pPr>
        <w:ind w:left="660" w:right="30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Summary</w:t>
      </w:r>
      <w:r>
        <w:rPr>
          <w:rFonts w:ascii="Times New Roman" w:cs="Times New Roman" w:eastAsia="Times New Roman" w:hAnsi="Times New Roman"/>
          <w:sz w:val="18"/>
          <w:szCs w:val="18"/>
          <w:color w:val="auto"/>
        </w:rPr>
        <w:t>: Includes an overview of our business; current economic, competitive and regulatory trends relevant to our business;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business strategy; and our primary sources of operating and non-operating revenues and expenses.</w:t>
      </w:r>
    </w:p>
    <w:p>
      <w:pPr>
        <w:spacing w:after="0" w:line="33"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Provides an explanation of accounting policies that may have a significant impact on our financial results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assumptions and risks associated with those policies.</w:t>
      </w:r>
    </w:p>
    <w:p>
      <w:pPr>
        <w:spacing w:after="0" w:line="19"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Includes an analysis of our 2024 financial results and a discussion of any known events or trends that are likely to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results.</w:t>
      </w:r>
    </w:p>
    <w:p>
      <w:pPr>
        <w:spacing w:after="0" w:line="33"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Includes a discussion of our future cash requirements, capital resources, significant planned expenditures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arrangements.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offer our customers the opportunity to trade futures contracts and options contracts on a range of products, including those based on interest rates, equity indexes, foreign exchange, energy, metals and agricultural commodities.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contracts are cleared at third-party clearing houses.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Our customers continue to use our markets as an effective and transparent means to manage risk and meet their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Trading activity in our centralized markets has fluctuated due to the ongoing uncertainty in the financial markets, fluctuations in the availability of credit, variations in the amount of assets under management as well as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Federal Reserve Bank’s interest rate policy. We continue to maintain high quality and diverse products as well as various clearing and market data services, which support our customers in any economic environment.</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Competitive Environment. </w:t>
      </w:r>
      <w:r>
        <w:rPr>
          <w:rFonts w:ascii="Times New Roman" w:cs="Times New Roman" w:eastAsia="Times New Roman" w:hAnsi="Times New Roman"/>
          <w:sz w:val="18"/>
          <w:szCs w:val="18"/>
          <w:color w:val="auto"/>
        </w:rPr>
        <w:t>Our industry is competitive and we continue to encounter competition in all aspects of our business. We expect competition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intensify, especially in light of ongoing regulatory development in the financial services industry. Competition is influenced by our brand and reputation; the efficiency and security of our clearing, settlement and support services; depth and liquidity of our markets; capital and margin efficiencies;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and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compete in a large and expanding financial services trading, clearing and settlement marketplace globally. As markets continue to evolve, we will continue to adapt our trading technology and clearing services to meet the needs of our customers. The competitive environment to which we are subject is discussed in "Item 1 - Business" beginning on page 10.</w:t>
      </w:r>
    </w:p>
    <w:p>
      <w:pPr>
        <w:spacing w:after="0" w:line="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Regulatory Environment. </w:t>
      </w:r>
      <w:r>
        <w:rPr>
          <w:rFonts w:ascii="Times New Roman" w:cs="Times New Roman" w:eastAsia="Times New Roman" w:hAnsi="Times New Roman"/>
          <w:sz w:val="18"/>
          <w:szCs w:val="18"/>
          <w:color w:val="auto"/>
        </w:rPr>
        <w:t>Our exchange-traded derivatives exchanges and other businesses are regulated and we serve a customer base that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regulated institutions and individuals. Developments in the regulatory environment 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 Business" beginning on page 12.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strategy focuses on maximizing futures and options growth globally, diversifying our business and revenues and delivering unparalleled customer efficiencies and operational excellence, including through our partnership with Google Cloud. This strategy allows us to continue to develop into a more broadly diversified financial exchange that provides trading and clearing solutions across a wide range of products and asset classes. Our strategic initiatives are discussed in "Item 1 - Business" beginning on page 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Clearing and transaction fees. </w:t>
      </w:r>
      <w:r>
        <w:rPr>
          <w:rFonts w:ascii="Times New Roman" w:cs="Times New Roman" w:eastAsia="Times New Roman" w:hAnsi="Times New Roman"/>
          <w:sz w:val="18"/>
          <w:szCs w:val="18"/>
          <w:color w:val="auto"/>
        </w:rPr>
        <w:t>A majority of our revenue is derived from clearing and transaction fees, which include electronic trading fees, surcharges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privately negotiated transactions and other volume-related charges for exchange-traded and over-the-counter (OTC)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While volume has the most significant impact on our clearing and transaction fees revenue, there are four other factors that also influence this source of revenue:</w:t>
      </w:r>
    </w:p>
    <w:p>
      <w:pPr>
        <w:spacing w:after="0" w:line="54" w:lineRule="exact"/>
        <w:rPr>
          <w:sz w:val="20"/>
          <w:szCs w:val="20"/>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structure;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venue;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trades executed by customers who are members compared with non-member customers.</w:t>
      </w:r>
    </w:p>
    <w:p>
      <w:pPr>
        <w:spacing w:after="0" w:line="115" w:lineRule="exact"/>
        <w:rPr>
          <w:sz w:val="20"/>
          <w:szCs w:val="20"/>
          <w:color w:val="auto"/>
        </w:rPr>
      </w:pPr>
    </w:p>
    <w:p>
      <w:pPr>
        <w:ind w:left="34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Rate structure. </w:t>
      </w:r>
      <w:r>
        <w:rPr>
          <w:rFonts w:ascii="Times New Roman" w:cs="Times New Roman" w:eastAsia="Times New Roman" w:hAnsi="Times New Roman"/>
          <w:sz w:val="18"/>
          <w:szCs w:val="18"/>
          <w:color w:val="auto"/>
        </w:rPr>
        <w:t>Customers benefit from volume discounts and limits on fees as part of our effort to increase liquidity in certain products. We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65" w:lineRule="exact"/>
        <w:rPr>
          <w:sz w:val="20"/>
          <w:szCs w:val="20"/>
          <w:color w:val="auto"/>
        </w:rPr>
      </w:pPr>
    </w:p>
    <w:p>
      <w:pPr>
        <w:ind w:left="34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We offer exchange-traded futures and options contracts as well as cleared-only interest rate swap contracts. We also offer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spot and forward contracts and fixed income products. Rates are varied by product in order to optimize revenue on existing products and to encourage contract volume upon introduction of new products.</w:t>
      </w:r>
    </w:p>
    <w:p>
      <w:pPr>
        <w:spacing w:after="0" w:line="65"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Venue. </w:t>
      </w:r>
      <w:r>
        <w:rPr>
          <w:rFonts w:ascii="Times New Roman" w:cs="Times New Roman" w:eastAsia="Times New Roman" w:hAnsi="Times New Roman"/>
          <w:sz w:val="18"/>
          <w:szCs w:val="18"/>
          <w:color w:val="auto"/>
        </w:rPr>
        <w:t>Our exchange and platforms are an international marketplace that brings together buyers and sellers mainly through our electronic trading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through open 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customers or for themselves. Beginning in July 2023, open outcry trading is now limited to Secured Overnight Financing Rate (SOFR) options products following the permanent closure of most of our open outcry pits.</w:t>
      </w:r>
    </w:p>
    <w:p>
      <w:pPr>
        <w:spacing w:after="0" w:line="54"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66" w:lineRule="exact"/>
        <w:rPr>
          <w:sz w:val="20"/>
          <w:szCs w:val="20"/>
          <w:color w:val="auto"/>
        </w:rPr>
      </w:pPr>
    </w:p>
    <w:p>
      <w:pPr>
        <w:ind w:left="340" w:right="2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Member/non-member mix. </w:t>
      </w:r>
      <w:r>
        <w:rPr>
          <w:rFonts w:ascii="Times New Roman" w:cs="Times New Roman" w:eastAsia="Times New Roman" w:hAnsi="Times New Roman"/>
          <w:sz w:val="17"/>
          <w:szCs w:val="17"/>
          <w:color w:val="auto"/>
        </w:rPr>
        <w:t>Generally, member customers are charged lower fees than our non-member customers. Holding all other factors constant,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decreases if the percentage of trades executed by members increases, and increases if the percentage of non-member trades increases.</w:t>
      </w:r>
    </w:p>
    <w:p>
      <w:pPr>
        <w:spacing w:after="0" w:line="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Clearing and transaction fees for cash markets business</w:t>
      </w:r>
      <w:r>
        <w:rPr>
          <w:rFonts w:ascii="Times New Roman" w:cs="Times New Roman" w:eastAsia="Times New Roman" w:hAnsi="Times New Roman"/>
          <w:sz w:val="18"/>
          <w:szCs w:val="18"/>
          <w:color w:val="auto"/>
        </w:rPr>
        <w:t>. Our cash markets business provides matching services whereby we match a buyer and seller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BrokerTec Americas also generates revenue from a matched principal business. This business serves as a fully matched counterparty to offsetting positions entered into by clients on our electronic trading platform to facilitate anonymity and access to clearing and settlement. Revenue is generated from this business generally on a transaction fee basis.</w:t>
      </w:r>
    </w:p>
    <w:p>
      <w:pPr>
        <w:spacing w:after="0" w:line="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Revenue is also derived from other sources, including market data and information services and other various services related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We receive market data and information services revenue from the dissemination of our market data to subscribers.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can obtain access to our market data services either directly or through third-party distributors.</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7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 includes access and communication fees. Access and communication fees are connectivity fees charged to members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7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revenues also include fees for collateral management, equity subscription fees and fees for trade order routing through agreements from various strategic relationships as well as other services to members and clearing firms.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expenses do not vary directly with changes in our contract volume. However, licensing and other fee agreements can vary directly with certain equity, energy and swap volumes.</w:t>
      </w:r>
    </w:p>
    <w:p>
      <w:pPr>
        <w:spacing w:after="0" w:line="5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Compensation and benefits expense is our most significant expense and includes employee wages, bonuses,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benefits and employer taxes. Changes in this expense are driven by fluctuations in the number of employees, increases in wages as a result of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performance share grants is based on either the share price on the date of the grant or a model of expected future stock prices.</w:t>
      </w:r>
    </w:p>
    <w:p>
      <w:pPr>
        <w:spacing w:after="0" w:line="11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Professional fees and outside services. </w:t>
      </w:r>
      <w:r>
        <w:rPr>
          <w:rFonts w:ascii="Times New Roman" w:cs="Times New Roman" w:eastAsia="Times New Roman" w:hAnsi="Times New Roman"/>
          <w:sz w:val="18"/>
          <w:szCs w:val="18"/>
          <w:color w:val="auto"/>
        </w:rPr>
        <w:t>This expense includes fees for consulting services received on strategic and technology initiatives;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long-lived assets such as buildings,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furniture, fixtures and equipment. This expense also includes the amortization of purchased and internally developed software.</w:t>
      </w:r>
    </w:p>
    <w:p>
      <w:pPr>
        <w:spacing w:after="0" w:line="4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amortization of intangible assets obtained in our acquisitions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6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w:t>
      </w:r>
      <w:r>
        <w:rPr>
          <w:rFonts w:ascii="Times New Roman" w:cs="Times New Roman" w:eastAsia="Times New Roman" w:hAnsi="Times New Roman"/>
          <w:sz w:val="18"/>
          <w:szCs w:val="18"/>
          <w:color w:val="auto"/>
        </w:rPr>
        <w:t>We incur additional ongoing expenses for technology, licensing and other fee agreements and various other activities necessary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w:t>
      </w:r>
    </w:p>
    <w:p>
      <w:pPr>
        <w:spacing w:after="0" w:line="51" w:lineRule="exact"/>
        <w:rPr>
          <w:sz w:val="20"/>
          <w:szCs w:val="20"/>
          <w:color w:val="auto"/>
        </w:rPr>
      </w:pPr>
    </w:p>
    <w:p>
      <w:pPr>
        <w:ind w:left="660" w:right="16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cloud consumption, functionality and redundancy requirements. It also may be impacted by growth in electronic contract volume and changes in the number of telecommunications hubs and connections which allow customers outside the U.S. to access our electronic platforms directly.</w:t>
      </w:r>
    </w:p>
    <w:p>
      <w:pPr>
        <w:spacing w:after="0" w:line="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13"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occupancy and building operations expenses including rent, maintenance, real estate taxes, utilities and other related costs related to leased property in Chicago, New York, the U.K., and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Income and expenses incurred through activities outside of our core operations are considered non-operating. These activities include non-core investing and financing activities.</w:t>
      </w:r>
    </w:p>
    <w:p>
      <w:pPr>
        <w:spacing w:after="0" w:line="54" w:lineRule="exact"/>
        <w:rPr>
          <w:sz w:val="20"/>
          <w:szCs w:val="20"/>
          <w:color w:val="auto"/>
        </w:rPr>
      </w:pPr>
    </w:p>
    <w:p>
      <w:pPr>
        <w:ind w:left="660" w:right="2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and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21" w:lineRule="exact"/>
        <w:rPr>
          <w:rFonts w:ascii="Times New Roman" w:cs="Times New Roman" w:eastAsia="Times New Roman" w:hAnsi="Times New Roman"/>
          <w:sz w:val="18"/>
          <w:szCs w:val="18"/>
          <w:color w:val="auto"/>
        </w:rPr>
      </w:pPr>
    </w:p>
    <w:p>
      <w:pPr>
        <w:ind w:left="660" w:right="640" w:hanging="328"/>
        <w:spacing w:after="0" w:line="27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borrowing costs expense includes charges associated with various short-term and long-term funding facilities, including commitment fees on lines of credit agreements.</w:t>
      </w:r>
    </w:p>
    <w:p>
      <w:pPr>
        <w:spacing w:after="0" w:line="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in net earnings (losses) of unconsolidated subsidiaries includes income and losses from our investments in S&amp;P Dow Jones Indices LLC, OSTTRA, Shanghai CFETS-NEX International Money Broking Co., Ltd. and Gulf Mercantile Exchange.</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includes expenses related to the distribution of a portion of interest earned on performance bond collateral reinvestment to the clearing firms, gains and losses on derivative contracts and other various income and expenses outside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notes to our consolidated financial statements include disclosure of our significant accounting policies. In establishing these policies within the framework of accounting principles generally accepted in the United States (U.S.),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Valuation of financial instruments.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67" w:lineRule="exact"/>
        <w:rPr>
          <w:sz w:val="20"/>
          <w:szCs w:val="20"/>
          <w:color w:val="auto"/>
        </w:rPr>
      </w:pPr>
    </w:p>
    <w:p>
      <w:pPr>
        <w:ind w:left="660" w:right="4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the fair value of financial assets and liabilities, see note 2. Summary of Significant Accounting Policies and note 17. Fair Value Measurements to the consolidated financial statements.</w:t>
      </w:r>
    </w:p>
    <w:p>
      <w:pPr>
        <w:spacing w:after="0" w:line="5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We review goodwill for impairment on a quarterly basis and whenever events or circumstances indicate that its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 In addition, the carrying value of goodwill, as denominated in foreign currencies, is adjusted each reporting period as a result of movements in foreign currency exchange rates relative to the U.S. dollar. Such foreign currency translation adjustments are recorded in accumulated other comprehensive income (loss) within shareholders' equity.</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carrying value of the amortizing asset to its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definite-lived intangible assets.</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A significant portion of our revenue is derived from the clearing and transaction fees we assess on each contract executed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trading venues and cleared through our clearing house. Clearing and transaction fees are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recognized as revenue when a buy and sell order are matched, novated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We also earn revenue from the dissemination of market data to subscribers, distributors, and other third-party licensees of market data. Market data and information services fee revenue is generally recognized on a monthly basis as the customers receive and consume the benefit of the market data services.</w:t>
      </w:r>
    </w:p>
    <w:p>
      <w:pPr>
        <w:spacing w:after="0" w:line="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Calculation of the income tax provision includes an estimate of the income taxes that will be paid for the current year, as well as an estimate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third-party expertise where appropriate. We recognize potential liabilities for anticipated tax audit issues in the U.S.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Internal use software costs. </w:t>
      </w:r>
      <w:r>
        <w:rPr>
          <w:rFonts w:ascii="Times New Roman" w:cs="Times New Roman" w:eastAsia="Times New Roman" w:hAnsi="Times New Roman"/>
          <w:sz w:val="18"/>
          <w:szCs w:val="18"/>
          <w:color w:val="auto"/>
        </w:rPr>
        <w:t>Certain internal and external costs that are incurred in connection with developing or obtaining software for internal use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We also enter into software hosting arrangements for software projects maintained or developed in the cloud. Software development costs incurred during the planning or maintenance stages of a software project are expensed as incurred, while certain costs incurred during the application development stage are capitalized and are amortized over the estimated useful life of the software, which is generally two to four years, but up to eight years for certain trading and clearing applications, depending upon expected useful lives. Amortization of capitalized costs begins only when the software becomes ready for its intended use. In addition, software assets are assessed for impairment when events or circumstances indicate that the carrying values may not be recoverable or that a reduction in the estimated useful lives is warranted.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years presented. For a comparison of our results of operations for the fiscal years ended December 31, 2023 to December 31, 2022, see "Part II, Item 7 - Management's Discussion and Analysis of Financial Condition and Results of Operations" of our Annual Report on Form 10-K for the fiscal year ended December 31, 2023, filed with the SEC on February 28,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700" w:type="dxa"/>
            <w:vAlign w:val="bottom"/>
          </w:tcPr>
          <w:p>
            <w:pPr>
              <w:spacing w:after="0"/>
              <w:rPr>
                <w:sz w:val="2"/>
                <w:szCs w:val="2"/>
                <w:color w:val="auto"/>
              </w:rPr>
            </w:pPr>
          </w:p>
        </w:tc>
        <w:tc>
          <w:tcPr>
            <w:tcW w:w="122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2"/>
                <w:szCs w:val="2"/>
                <w:color w:val="auto"/>
              </w:rPr>
            </w:pP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6,130.1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5,578.9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700" w:type="dxa"/>
            <w:vAlign w:val="bottom"/>
          </w:tcPr>
          <w:p>
            <w:pPr>
              <w:spacing w:after="0"/>
              <w:rPr>
                <w:sz w:val="19"/>
                <w:szCs w:val="19"/>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2,198.6</w:t>
            </w:r>
          </w:p>
        </w:tc>
        <w:tc>
          <w:tcPr>
            <w:tcW w:w="42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2,143.2</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609.9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717.9</w:t>
            </w: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rate</w:t>
            </w:r>
          </w:p>
        </w:tc>
        <w:tc>
          <w:tcPr>
            <w:tcW w:w="1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3,525.8</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3,226.2</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CME Group</w:t>
            </w:r>
          </w:p>
        </w:tc>
        <w:tc>
          <w:tcPr>
            <w:tcW w:w="1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9.67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8.86</w:t>
            </w: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700" w:type="dxa"/>
            <w:vAlign w:val="bottom"/>
          </w:tcPr>
          <w:p>
            <w:pPr>
              <w:spacing w:after="0"/>
              <w:rPr>
                <w:sz w:val="20"/>
                <w:szCs w:val="20"/>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3,690.5</w:t>
            </w:r>
          </w:p>
        </w:tc>
        <w:tc>
          <w:tcPr>
            <w:tcW w:w="420" w:type="dxa"/>
            <w:vAlign w:val="bottom"/>
          </w:tcPr>
          <w:p>
            <w:pPr>
              <w:spacing w:after="0"/>
              <w:rPr>
                <w:sz w:val="20"/>
                <w:szCs w:val="20"/>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3,453.8</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873"/>
        </w:trPr>
        <w:tc>
          <w:tcPr>
            <w:tcW w:w="5060" w:type="dxa"/>
            <w:vAlign w:val="bottom"/>
          </w:tcPr>
          <w:p>
            <w:pPr>
              <w:spacing w:after="0"/>
              <w:rPr>
                <w:sz w:val="24"/>
                <w:szCs w:val="24"/>
                <w:color w:val="auto"/>
              </w:rPr>
            </w:pPr>
          </w:p>
        </w:tc>
        <w:tc>
          <w:tcPr>
            <w:tcW w:w="17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2"/>
                <w:szCs w:val="2"/>
                <w:color w:val="auto"/>
              </w:rPr>
            </w:pPr>
          </w:p>
        </w:tc>
        <w:tc>
          <w:tcPr>
            <w:tcW w:w="10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w:t>
      </w:r>
    </w:p>
    <w:p>
      <w:pPr>
        <w:spacing w:after="0" w:line="10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interest rate swaps.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r>
      <w:tr>
        <w:trPr>
          <w:trHeight w:val="23"/>
        </w:trPr>
        <w:tc>
          <w:tcPr>
            <w:tcW w:w="4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9"/>
        </w:trPr>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2024-2023</w:t>
            </w:r>
          </w:p>
        </w:tc>
      </w:tr>
      <w:tr>
        <w:trPr>
          <w:trHeight w:val="23"/>
        </w:trPr>
        <w:tc>
          <w:tcPr>
            <w:tcW w:w="48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6,685.0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6,098.5</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4,623.3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4,220.8</w:t>
            </w: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0.692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0.692</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estimate the following net increase in clearing and transaction fees based on a change in total contract volume and a change in average rate per contract during 2024 compared with 2023.</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change in total contract volume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due to change in average rate per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Year-over-</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2024-2023</w:t>
      </w:r>
    </w:p>
    <w:p>
      <w:pPr>
        <w:spacing w:after="0" w:line="61" w:lineRule="exact"/>
        <w:rPr>
          <w:sz w:val="20"/>
          <w:szCs w:val="20"/>
          <w:color w:val="auto"/>
        </w:rPr>
      </w:pPr>
    </w:p>
    <w:p>
      <w:pPr>
        <w:ind w:left="940" w:hanging="940"/>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405.7</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w:t>
      </w:r>
    </w:p>
    <w:p>
      <w:pPr>
        <w:spacing w:after="0" w:line="43" w:lineRule="exact"/>
        <w:rPr>
          <w:sz w:val="20"/>
          <w:szCs w:val="20"/>
          <w:color w:val="auto"/>
        </w:rPr>
      </w:pPr>
    </w:p>
    <w:p>
      <w:pPr>
        <w:ind w:left="940" w:hanging="940"/>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720"/>
            <w:col w:w="1420"/>
          </w:cols>
          <w:pgMar w:left="320" w:top="118" w:right="359" w:bottom="1440" w:gutter="0" w:footer="0" w:header="0"/>
          <w:type w:val="continuous"/>
        </w:sectPr>
      </w:pPr>
    </w:p>
    <w:p>
      <w:pPr>
        <w:spacing w:after="0" w:line="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Volume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15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Market volatility within certain financial markets remained high throughout 2024. Interest rate volatility was higher as a result of mixed inflation levels and market uncertainty surrounding the Federal Reserve’s interest rate policy decisions. The Federal Open Markets Committee (FOMC) cut the federal funds rate multiple times throughout 2024 and issued cautious guidance for the future. In addition, the energy markets saw an increase in volatility as a result of continued geopolitical tensions in the Middle East and Eastern Europe as well as more weather uncertainty in 2024 compared to 2023. We also expanded our ongoing sales efforts across many of the product lines to increase our sales growth across the globe. We believe these factors contributed to the increase in total volume in 2024 compared with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We no longer offer Eurodollar contract trading as of June 2023.</w:t>
      </w: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140" w:type="dxa"/>
            <w:vAlign w:val="bottom"/>
            <w:vMerge w:val="restart"/>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auto"/>
            </w:tcBorders>
            <w:vMerge w:val="continue"/>
          </w:tcPr>
          <w:p>
            <w:pPr>
              <w:spacing w:after="0"/>
              <w:rPr>
                <w:sz w:val="16"/>
                <w:szCs w:val="16"/>
                <w:color w:val="auto"/>
              </w:rPr>
            </w:pPr>
          </w:p>
        </w:tc>
        <w:tc>
          <w:tcPr>
            <w:tcW w:w="41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4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4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4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2,654</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2,545</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4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957</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1,580</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1,726</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4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3,248</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2,701</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4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1,977</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1,834</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1,044</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838</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4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714</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 T-Bond</w:t>
            </w:r>
          </w:p>
        </w:tc>
        <w:tc>
          <w:tcPr>
            <w:tcW w:w="4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415</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4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414</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200" w:type="dxa"/>
            <w:vAlign w:val="bottom"/>
          </w:tcPr>
          <w:p>
            <w:pPr>
              <w:spacing w:after="0"/>
              <w:rPr>
                <w:sz w:val="24"/>
                <w:szCs w:val="24"/>
                <w:color w:val="auto"/>
              </w:rPr>
            </w:pPr>
          </w:p>
        </w:tc>
        <w:tc>
          <w:tcPr>
            <w:tcW w:w="4140" w:type="dxa"/>
            <w:vAlign w:val="bottom"/>
          </w:tcPr>
          <w:p>
            <w:pPr>
              <w:jc w:val="right"/>
              <w:ind w:right="2531"/>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2024 compared with 2023, overall interest rate contract volume increased as a result of general market uncertainty. We believe this was a result of mixed inflation results that occurred throughout the year, as well as the U.S. presidential and congressional elections in November. We also believe there was uncertainty regarding the Federal Reserve's interest policy decisions. The Federal Reserve cut interest rates three times in 2024 and issued cautious guidance for 2025. The increase in overall interest rate contract volume was also due to our ongoing sales efforts to increase global participation.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30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4,016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4,154</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33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2,065</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1,829</w:t>
            </w: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308</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316</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Equity index contract volume increased slightly in 2024 compared with 2023. We believe the increase in Nasdaq-100 contract volume was due to higher volatility within the technology sector as a result of market speculation about artificial intelligence initiatives. The increase in volume was partially offset by lower overall equity volatility within the S&amp;P 500, which is more diversified than the tech heavy Nasdaq-100. We also believe the increase in volume is due our additional client outreach efforts throughout the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vMerge w:val="restart"/>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258</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4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192</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185</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4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4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114</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Overall foreign exchange contract volume increased in 2024 when compared with 2023, which we believe is due to uncertainty surrounding the Federal Reserve and other global central banks' interest rate policy decisions. The Federal Reserve cut interest rates three times in 2024, but issued cautious guidance moving forward as a result of continued uncertainty surrounding inflation. We believe these factors led to higher overall foreign exchange contract volume in 2024 compared with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agricultural commodity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vMerge w:val="restart"/>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511</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444</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4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367</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w:t>
            </w: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228</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2024 when compared with 2023, overall commodity contract volume increased due to higher overall market volatility. We believe this is a result of continued weather uncertainty due to a drier than average 2024 growing season. In addition, poor weather conditions throughout the Black Sea region led to increased uncertainty surrounding soybean and wheat yields. We also believe the increase in volume is due to our initiatives to increase cross selling among key customers and optimization of our incentive programs to promote volume growth of new and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energy products.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1,167</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811</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601</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336</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Overall energy contract volume increased in 2024 when compared with 2023. We believe the increase in volume is due to uncertainty in the global energy markets caused by multiple geopolitical conflicts in the Middle East and Eastern Europe. In addition, uncertain weather conditions throughout the year led to an increase in overall natural gas volume. We also believe the increase in volume is due our additional client outreach efforts throughout the year.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431</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356</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133</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114</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123</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Overall metal contract volume increased in 2024 when compared with 2023, which we believe was attributable to higher overall market volatility. Market uncertainty surrounding Federal Reserve's interest rate policy decisions as well as uncertainty surrounding the U.S. presidential and congressional elections led to an overall increase in demand for gold and other precious metals as safe-haven investments. In addition, copper contract volume increased largely due to an increase in demand for artificial intelligence data centers and renewable infrastructure. We also believe the increase in volume was due to increased sales efforts, specifically with retail clients and our international sales efforts for copper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Rate per Contract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average rate per contract remained consistent in 2024 when compared with 2023. The average rate per contract was impacted by an increase in our fee structure, which went into effect on February 1, 2024. The overall increase due to the rise in fees was offset by a decrease resulting from higher member trading as a percentage of total volume as well as our tiered volume pricing structure.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Total clearing and transaction fees revenue in 2024 included $276.7 million of transaction fees attributable to the cash markets business, compared with $284.7 million in 2023. This revenue primarily includes transaction fees from BrokerTecs's fixed income volume and EBS foreign exchange volume.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160" w:type="dxa"/>
            <w:vAlign w:val="bottom"/>
          </w:tcPr>
          <w:p>
            <w:pPr>
              <w:spacing w:after="0"/>
              <w:rPr>
                <w:sz w:val="2"/>
                <w:szCs w:val="2"/>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2"/>
                <w:szCs w:val="2"/>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145.1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152.1</w:t>
            </w: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131.6</w:t>
            </w:r>
          </w:p>
        </w:tc>
        <w:tc>
          <w:tcPr>
            <w:tcW w:w="42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132.6</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years ended 2024 and 2023 for key cash markets products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billions)</w:t>
            </w:r>
          </w:p>
        </w:tc>
        <w:tc>
          <w:tcPr>
            <w:tcW w:w="2700" w:type="dxa"/>
            <w:vAlign w:val="bottom"/>
          </w:tcPr>
          <w:p>
            <w:pPr>
              <w:spacing w:after="0"/>
              <w:rPr>
                <w:sz w:val="2"/>
                <w:szCs w:val="2"/>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2"/>
                <w:szCs w:val="2"/>
                <w:color w:val="auto"/>
              </w:rPr>
            </w:pPr>
          </w:p>
        </w:tc>
        <w:tc>
          <w:tcPr>
            <w:tcW w:w="120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Repos</w:t>
            </w:r>
          </w:p>
        </w:tc>
        <w:tc>
          <w:tcPr>
            <w:tcW w:w="2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293.6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7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290.1</w:t>
            </w:r>
          </w:p>
        </w:tc>
        <w:tc>
          <w:tcPr>
            <w:tcW w:w="42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326.5</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106.1</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7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59.5</w:t>
            </w:r>
          </w:p>
        </w:tc>
        <w:tc>
          <w:tcPr>
            <w:tcW w:w="42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56.7</w:t>
            </w: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60"/>
        <w:spacing w:after="0" w:line="375" w:lineRule="auto"/>
        <w:rPr>
          <w:sz w:val="20"/>
          <w:szCs w:val="20"/>
          <w:color w:val="auto"/>
        </w:rPr>
      </w:pPr>
      <w:r>
        <w:rPr>
          <w:rFonts w:ascii="Times New Roman" w:cs="Times New Roman" w:eastAsia="Times New Roman" w:hAnsi="Times New Roman"/>
          <w:sz w:val="18"/>
          <w:szCs w:val="18"/>
          <w:color w:val="auto"/>
        </w:rPr>
        <w:t xml:space="preserve">Overall average daily notional values and transactions revenues for the cash markets business were slightly lower in 2024 when compared with 2023. </w:t>
      </w:r>
      <w:r>
        <w:rPr>
          <w:rFonts w:ascii="Times New Roman" w:cs="Times New Roman" w:eastAsia="Times New Roman" w:hAnsi="Times New Roman"/>
          <w:sz w:val="18"/>
          <w:szCs w:val="18"/>
          <w:b w:val="1"/>
          <w:bCs w:val="1"/>
          <w:i w:val="1"/>
          <w:iCs w:val="1"/>
          <w:color w:val="auto"/>
        </w:rPr>
        <w:t>Concentration of Revenue</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One clearing firm represented at least 10% of our clearing and transaction fees in 2024.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In 2024 when compared with 2023, the increase in market data and information services revenue was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price increases for certain products as well as an increase in usage for certain products.</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Approximately 30% of our market data and information services revenue in 2024 was earned from the two largest resellers of our market data. Despite this concentration, we consider exposure to significant risk of revenue loss to be minimal. In the event that one of these vendors no longer distributes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In 2024 when compared with 2023, the increase in other revenue was largely attributable to higher custody fees as well as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co-location and other connectivity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2"/>
                <w:szCs w:val="2"/>
                <w:color w:val="auto"/>
              </w:rPr>
            </w:pPr>
          </w:p>
        </w:tc>
        <w:tc>
          <w:tcPr>
            <w:tcW w:w="134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1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Compared With 2023</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$55.4 million in 2024 when compared with 2023. The following table shows the estimated impact of key factors resulting in the net increase in operating expenses.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Year-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over-Year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8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Expenses</w:t>
            </w:r>
          </w:p>
        </w:tc>
        <w:tc>
          <w:tcPr>
            <w:tcW w:w="0" w:type="dxa"/>
            <w:vAlign w:val="bottom"/>
          </w:tcPr>
          <w:p>
            <w:pPr>
              <w:spacing w:after="0"/>
              <w:rPr>
                <w:sz w:val="1"/>
                <w:szCs w:val="1"/>
                <w:color w:val="auto"/>
              </w:rPr>
            </w:pPr>
          </w:p>
        </w:tc>
      </w:tr>
      <w:tr>
        <w:trPr>
          <w:trHeight w:val="228"/>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separation and restructuring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operating expenses increased in 2024 when compared with 2023 due to the following reasons:</w:t>
      </w:r>
    </w:p>
    <w:p>
      <w:pPr>
        <w:spacing w:after="0" w:line="117" w:lineRule="exact"/>
        <w:rPr>
          <w:sz w:val="20"/>
          <w:szCs w:val="20"/>
          <w:color w:val="auto"/>
        </w:rPr>
      </w:pPr>
    </w:p>
    <w:p>
      <w:pPr>
        <w:ind w:left="660" w:right="30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expenses related to technology support services was primarily driven by higher software license fees and third party services to support the ongoing Google Cloud transformation project.</w:t>
      </w:r>
    </w:p>
    <w:p>
      <w:pPr>
        <w:spacing w:after="0" w:line="1"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expense was higher primarily due to an increase in volume for certain equity products and improved revenue performance related to certain other incentive arrangements.</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employer taxes was higher due to an increase in headcount during the year, which was primarily attributable to additional headcount in the company's international locations.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expenses in 2024 when compared with 2023 were due to the following reasons:</w:t>
      </w:r>
    </w:p>
    <w:p>
      <w:pPr>
        <w:spacing w:after="0" w:line="6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building operations expense decreased due to lower rent expenses and real estate taxes driven by reduced office space.</w:t>
      </w:r>
    </w:p>
    <w:p>
      <w:pPr>
        <w:spacing w:after="0" w:line="63"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professional fees and outside services were largely due to a decrease in consulting costs associated with the Google Cloud Migration, which began in late 2021, as well as lower legal fees during 2024.</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separation and restructuring costs decreased year over year largely due to a reduction in force of 3% of employees during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2"/>
                <w:szCs w:val="2"/>
                <w:color w:val="auto"/>
              </w:rPr>
            </w:pPr>
          </w:p>
        </w:tc>
        <w:tc>
          <w:tcPr>
            <w:tcW w:w="12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5,275.3</w:t>
            </w:r>
          </w:p>
        </w:tc>
        <w:tc>
          <w:tcPr>
            <w:tcW w:w="230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(159.4)</w:t>
            </w:r>
          </w:p>
        </w:tc>
        <w:tc>
          <w:tcPr>
            <w:tcW w:w="2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296.9</w:t>
            </w:r>
          </w:p>
        </w:tc>
        <w:tc>
          <w:tcPr>
            <w:tcW w:w="2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(4,694.9)</w:t>
            </w:r>
          </w:p>
        </w:tc>
        <w:tc>
          <w:tcPr>
            <w:tcW w:w="2300" w:type="dxa"/>
            <w:vAlign w:val="bottom"/>
            <w:tcBorders>
              <w:bottom w:val="single" w:sz="8" w:color="CCEEFF"/>
            </w:tcBorders>
          </w:tcPr>
          <w:p>
            <w:pPr>
              <w:ind w:left="18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717.9</w:t>
            </w:r>
          </w:p>
        </w:tc>
        <w:tc>
          <w:tcPr>
            <w:tcW w:w="230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Investment income</w:t>
      </w:r>
      <w:r>
        <w:rPr>
          <w:rFonts w:ascii="Times New Roman" w:cs="Times New Roman" w:eastAsia="Times New Roman" w:hAnsi="Times New Roman"/>
          <w:sz w:val="18"/>
          <w:szCs w:val="18"/>
          <w:color w:val="auto"/>
        </w:rPr>
        <w:t>. In 2024 when compared with 2023, there was a decrease in earnings from reinvested cash performance bond and guaranty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due to lower average reinvestment balances. In 2024 and 2023, earnings from cash performance bond and guaranty fund contributions were $3,943.8 million and $5,073.9 million, respectively. In addition, there was a decrease in net realized and unrealized gains on investments.</w:t>
      </w:r>
    </w:p>
    <w:p>
      <w:pPr>
        <w:spacing w:after="0" w:line="6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S&amp;P/DJI and OSTTRA business ventures contributed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equity in net earnings of unconsolidated subsidiaries in 2024 when compared with 2023.</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 2024 when compared with 2023, we recognized lower expense related to the distribution of interest earned on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 collateral reinvestments to the clearing firms in conjunction with lower interest income earned on our reinvestment during the period due to lower average reinvestment balances in 2024. In 2024 and 2023, expenses related to the distribution of interest earned on collateral reinvestments were $3,669.4 million and $4,717.5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 for the periods presented: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7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2"/>
                <w:szCs w:val="2"/>
                <w:color w:val="auto"/>
              </w:rPr>
            </w:pPr>
          </w:p>
        </w:tc>
        <w:tc>
          <w:tcPr>
            <w:tcW w:w="13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jc w:val="right"/>
              <w:ind w:right="5419"/>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22.4 %</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22.3 %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effective tax rate remained relatively consistent in 2024 when compared with the same period in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historically met our funding requirements with cash generated by our ongoing operations. However, we have used our commercial paper program from time to time to fund large short-term funding needs. While our cost structure is generally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Cash will also be required for non-cancellable purchase obligations as at December 31, 2024. Commitments include material contractual purchase obligations that are non-cancellable. Purchase obligations relate to advertising, licensing, hardware, software and maintenance as well as telecommunication services. Aside from the table below, we have certain other arrangements that have a perpetual term for which we pay a minimum of $5.0 million per year. At December 31, 2024, future minimum payments due under purchase obligations were payable as follows (in millions):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2028-2029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Future capital expenditures for technology are anticipated as we continue to support our growth through increased system capacity, performance improvements, integration of acquired platforms and improvements to some of our office spaces. Each year, capital expenditures are incurred for improvements to and modification of our offices, remote data centers, telecommunications network and other operating equipment. In 2025, we expect capital expenditures to total approximately $90.0 million, net of any leasehold improvement allowances. We continue to monitor our capital needs and may revise our forecasted expenditures as necessary in the future.</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December 2024, the board of directors approved a share repurchase program, which authorizes us to repurchase up to $3.0 billion of CME Group Class A common stock at prevailing market prices. As of December 31, 2024, there have been no shares repurchased under this program.</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We are also required to comply with restrictions contained in the general corporation laws of our state of incorporation, which could limit our ability to declare and pay dividends. On February 6, 2025, the company declared a regular quarterly dividend of $1.25 per share for all outstanding common and preferred shares. The dividend will be payable on March 26, 2025 to shareholders of record on March 7, 2025. Assuming no changes in the number of shares outstanding, the first quarter dividend payment will total approximately $455.0 million. The board of directors also declared an additional, annual variable dividend of $5.80 per share on December 5, 2024 paid on January 16, 2025 to the shareholders of record on December 27, 2024. In general, the amount of the annual variable dividend will be determined at the end of each year, and the level will increase or decrease from year to year based on operating results, capital expenditures, potential merger and acquisition activity and other forms of capital return, including regular dividends and share buybacks during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from operating, investing and financing activities.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0" w:type="dxa"/>
            <w:vAlign w:val="bottom"/>
          </w:tcPr>
          <w:p>
            <w:pPr>
              <w:spacing w:after="0"/>
              <w:rPr>
                <w:sz w:val="2"/>
                <w:szCs w:val="2"/>
                <w:color w:val="auto"/>
              </w:rPr>
            </w:pPr>
          </w:p>
        </w:tc>
        <w:tc>
          <w:tcPr>
            <w:tcW w:w="114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2"/>
                <w:szCs w:val="2"/>
                <w:color w:val="auto"/>
              </w:rPr>
            </w:pPr>
          </w:p>
        </w:tc>
        <w:tc>
          <w:tcPr>
            <w:tcW w:w="118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3,690.5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3,453.8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0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5,076.5</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(48,339.3)</w:t>
            </w: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higher in 2024 compared with 2023, largely due to an increase in revenue resulting from fee increases and an increase in overall volumes.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cash used in investing activities in 2024 compared with 2023 was due to lower overall proceeds on sales of investments in 2024 compared to 2023. In addition, the increase in cash used was also due to higher additions in property, plant and equipment.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higher in 2024 when compared with 2023 mainly due to an increase in cash performance bonds and guaranty fund contributions. This was partially offset by an increase in dividends paid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outstanding as of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(2)</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40" w:hanging="328"/>
        <w:spacing w:after="0" w:line="298"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on the notes effectively became fixed at a rate of 3.11%.</w:t>
      </w:r>
    </w:p>
    <w:p>
      <w:pPr>
        <w:spacing w:after="0" w:line="42" w:lineRule="exact"/>
        <w:rPr>
          <w:rFonts w:ascii="Times New Roman" w:cs="Times New Roman" w:eastAsia="Times New Roman" w:hAnsi="Times New Roman"/>
          <w:sz w:val="16"/>
          <w:szCs w:val="16"/>
          <w:color w:val="auto"/>
        </w:rPr>
      </w:pPr>
    </w:p>
    <w:p>
      <w:pPr>
        <w:ind w:left="660" w:right="580" w:hanging="328"/>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form of cash or U.S. Treasury securities as well as the performance bond assets (pursuant to the CME rulebook) can be used to collateralize the facility. At December 31, 2024, guaranty fund contributions available to collateralize the facility totaled $10.1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7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December 31, 2024, we have excess borrowing capacity for general corporate purposes of approximately $2.3 billion under our multi-currency revolving senior credit facility.</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that it uses to pay dividends to its shareholders.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December 31, 2024, the letters of credit totaled $400.0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68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w:t>
            </w:r>
          </w:p>
        </w:tc>
        <w:tc>
          <w:tcPr>
            <w:tcW w:w="3680" w:type="dxa"/>
            <w:vAlign w:val="bottom"/>
            <w:shd w:val="clear" w:color="auto" w:fill="CCEEFF"/>
          </w:tcPr>
          <w:p>
            <w:pPr>
              <w:jc w:val="center"/>
              <w:ind w:left="2079"/>
              <w:spacing w:after="0"/>
              <w:rPr>
                <w:sz w:val="20"/>
                <w:szCs w:val="20"/>
                <w:color w:val="auto"/>
              </w:rPr>
            </w:pPr>
            <w:r>
              <w:rPr>
                <w:rFonts w:ascii="Times New Roman" w:cs="Times New Roman" w:eastAsia="Times New Roman" w:hAnsi="Times New Roman"/>
                <w:sz w:val="18"/>
                <w:szCs w:val="18"/>
                <w:color w:val="auto"/>
                <w:w w:val="99"/>
              </w:rPr>
              <w:t>A1+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680" w:type="dxa"/>
            <w:vAlign w:val="bottom"/>
          </w:tcPr>
          <w:p>
            <w:pPr>
              <w:jc w:val="center"/>
              <w:ind w:left="2079"/>
              <w:spacing w:after="0"/>
              <w:rPr>
                <w:sz w:val="20"/>
                <w:szCs w:val="20"/>
                <w:color w:val="auto"/>
              </w:rPr>
            </w:pPr>
            <w:r>
              <w:rPr>
                <w:rFonts w:ascii="Times New Roman" w:cs="Times New Roman" w:eastAsia="Times New Roman" w:hAnsi="Times New Roman"/>
                <w:sz w:val="18"/>
                <w:szCs w:val="18"/>
                <w:color w:val="auto"/>
              </w:rPr>
              <w:t>P1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Management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Cash and cash equivalents, excluding restricted cash, totaled $2.9 billion at both December 31, 2024 and December 31, 2023.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 Cash performance bonds and guarantee fund contribution assets are deemed to be restricted cash.</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$12.2 million additional contribution will be necessary in 2025 to meet our funding goal. However, the amount of the actual contribution is contingent on various factors, including the actual rate of return on our plan assets during 2025 and the December 31, 2025 discount rate.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Requirements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CME is regulated by the CFTC as a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the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broker-dealer in November 2017 following notification to the Financial Industry Regulatory Authority and the SEC. A company operating under the (k)(2)(i) exemption is not required to lock up customer funds as would otherwise be required under Exchange Act Rule 15c3-3.</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and foreign currency exchange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Debt outstanding at December 31, 2024 consisted of fixed-rate borrowings of $3.4 billion. Changes in interest rates impact the fair values of fixed-rate debt, but do not impact earnings or cash flows. We did not have any variable-rate borrowings at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CME Clearing House</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clearing house acts as the counterparty to all trades consummated on our exchange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8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Despite our safeguards, we cannot guarantee that these measures will be sufficient to protect us from a default or that we will not be materially and adversely affected in the event of a significant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two separate financial safeguard packages:</w:t>
      </w:r>
    </w:p>
    <w:p>
      <w:pPr>
        <w:spacing w:after="0" w:line="1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all futures, options and OTC swap contracts other than cleared interest rate swap contracts (base package);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cleared interest rate swap contracts.</w:t>
      </w:r>
    </w:p>
    <w:p>
      <w:pPr>
        <w:spacing w:after="0" w:line="11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non-defaulting clearing firms within the respective financial safeguard package to satisfy the deficit.</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 in the unlikely event of default.</w:t>
      </w:r>
    </w:p>
    <w:p>
      <w:pPr>
        <w:spacing w:after="0" w:line="8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December 31, 2024, aggregate performance bond deposits for clearing firms for both financial safeguard packages was $291.5 billion, including cash performance bond deposits, non-cash deposits, Interest Earnings Facility funds and letters of credit. A defaulting firm's performance bond deposits can be used in the event of default of that clearing firm.</w:t>
      </w:r>
    </w:p>
    <w:p>
      <w:pPr>
        <w:spacing w:after="0" w:line="68"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color w:val="auto"/>
        </w:rPr>
        <w:t>The following shows the available assets at December 31, 2024 in the event of a payment default by a clearing firm for the base financial safeguard package after first utilizing the defaulting firm's available assets:</w:t>
      </w:r>
    </w:p>
    <w:tbl>
      <w:tblPr>
        <w:tblLayout w:type="fixed"/>
        <w:tblInd w:w="0" w:type="dxa"/>
        <w:tblCellMar>
          <w:top w:w="0" w:type="dxa"/>
          <w:left w:w="0" w:type="dxa"/>
          <w:bottom w:w="0" w:type="dxa"/>
          <w:right w:w="0" w:type="dxa"/>
        </w:tblCellMar>
      </w:tblPr>
      <w:tr>
        <w:trPr>
          <w:trHeight w:val="149"/>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80" w:type="dxa"/>
            <w:vAlign w:val="bottom"/>
          </w:tcPr>
          <w:p>
            <w:pPr>
              <w:spacing w:after="0"/>
              <w:rPr>
                <w:sz w:val="12"/>
                <w:szCs w:val="12"/>
                <w:color w:val="auto"/>
              </w:rPr>
            </w:pPr>
          </w:p>
        </w:tc>
        <w:tc>
          <w:tcPr>
            <w:tcW w:w="152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95"/>
        </w:trPr>
        <w:tc>
          <w:tcPr>
            <w:tcW w:w="692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8"/>
        </w:trPr>
        <w:tc>
          <w:tcPr>
            <w:tcW w:w="6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Designated corporate contributions for futures and options</w:t>
            </w:r>
            <w:r>
              <w:rPr>
                <w:rFonts w:ascii="Times New Roman" w:cs="Times New Roman" w:eastAsia="Times New Roman" w:hAnsi="Times New Roman"/>
                <w:sz w:val="23"/>
                <w:szCs w:val="23"/>
                <w:color w:val="auto"/>
                <w:vertAlign w:val="superscript"/>
              </w:rPr>
              <w:t>(1)</w:t>
            </w:r>
          </w:p>
        </w:tc>
        <w:tc>
          <w:tcPr>
            <w:tcW w:w="2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8,254.3</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22,699.2</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660" w:right="20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spacing w:after="0" w:line="16" w:lineRule="exact"/>
        <w:rPr>
          <w:rFonts w:ascii="Times New Roman" w:cs="Times New Roman" w:eastAsia="Times New Roman" w:hAnsi="Times New Roman"/>
          <w:sz w:val="16"/>
          <w:szCs w:val="16"/>
          <w:color w:val="auto"/>
        </w:rPr>
      </w:pPr>
    </w:p>
    <w:p>
      <w:pPr>
        <w:ind w:left="660" w:right="14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2" w:lineRule="exact"/>
        <w:rPr>
          <w:rFonts w:ascii="Times New Roman" w:cs="Times New Roman" w:eastAsia="Times New Roman" w:hAnsi="Times New Roman"/>
          <w:sz w:val="16"/>
          <w:szCs w:val="16"/>
          <w:color w:val="auto"/>
        </w:rPr>
      </w:pPr>
    </w:p>
    <w:p>
      <w:pPr>
        <w:ind w:left="660" w:right="100" w:hanging="652"/>
        <w:spacing w:after="0" w:line="23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firm as provided in the rules governing the guaranty fund. We could assess non-defaulting clearing firms 275% of their existing guaranty fund requirements in the event of a single default, and up to a maximum of 550% of their existing guaranty fund requirements in the event of a default by multiple clearing firms,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firms' assessment obligations since they would no longer be able to satisfy their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for the interest rate swap financial safeguard package at December 31, 2024 in the event of a payment default by a clearing firm that clears interest rate swap contracts, after first utilizing the defaulting firm's available assets: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tcPr>
          <w:p>
            <w:pPr>
              <w:spacing w:after="0"/>
              <w:rPr>
                <w:sz w:val="13"/>
                <w:szCs w:val="13"/>
                <w:color w:val="auto"/>
              </w:rPr>
            </w:pPr>
          </w:p>
        </w:tc>
        <w:tc>
          <w:tcPr>
            <w:tcW w:w="15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Designated corporate contributions for interest rate swap contracts</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80" w:hanging="652"/>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spacing w:after="0" w:line="16"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16" w:lineRule="exact"/>
        <w:rPr>
          <w:rFonts w:ascii="Times New Roman" w:cs="Times New Roman" w:eastAsia="Times New Roman" w:hAnsi="Times New Roman"/>
          <w:sz w:val="16"/>
          <w:szCs w:val="16"/>
          <w:color w:val="auto"/>
        </w:rPr>
      </w:pPr>
    </w:p>
    <w:p>
      <w:pPr>
        <w:ind w:left="660" w:right="60" w:hanging="652"/>
        <w:spacing w:after="0" w:line="259"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firms as provided in the rules governing the interest rate swap guaranty fund. Assessment powers are calculated to reflect the potential obligation that each clearing member could be called for based on potential failure of the third and fourth largest clearing member; however, the total amount available would be reduced by the defaulted clearing firms' assessment obligations since they would no longer be able to satisfy their obligations.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BrokerTec Americas Matched Principal Business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day that can vary based on the size of unsettled transactions and any adverse market changes. At December 31, 2024, the balance of the collateral at FICC was $230.0 million, which was included in other current assets on the consolidated balance sheet.</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day following execution and, prior to settlement, BrokerTec Americas is exposed to the risk of loss in the event a counterparty fails to meet its obligations. If that were to occur, BrokerTec Americas would have the right to cover or liquidate the open position but could incur a loss as a result of market movements.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Risk</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7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Aggregate transaction gains (losses) for 2024, 2023 and 2022 were $(3.0) million, $(12.9) million and $13.2 million, respectively. We expect the foreign currency gain/loss to continue to fluctuate as long as we continue to hold monetary assets and liabilities at those subsidiaries. Market uncertainty could potentially lead to significant volatility with foreign currency exchange rates, which could result in additional foreign currency gain/loss.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Risk</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foreign currency translation risk related to the translation of our foreign consolidated and unconsolidated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for 2024, 2023 and 2022 were $(61.0) million, $70.8 million and $(195.4) million,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 Related to Customer Collateral</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$9.0 and $7.1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(includes $6.3 and $5.2 in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94,890.2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129,706.1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102,968.2</w:t>
            </w: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December 31, 2024 and 2023; 4,584 issued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2024 and 2023</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as of December 31, 2024 and 2023,</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359,602 and 359,231 shares issued and outstanding as of December 31, 2024 and 2023,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December 31,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 and 2023</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22,334.7</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4,455.2</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129,706.1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5,019.4</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w:t>
            </w: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358,713</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359,181</w:t>
            </w: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176"/>
        </w:trPr>
        <w:tc>
          <w:tcPr>
            <w:tcW w:w="72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and prior service costs included in compensation</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benefits expense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72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effective portion of net (gains) losses on cash flow hedges included in</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(gain) loss included in other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2,504.2</w:t>
            </w: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84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4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5,151.9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2,691.0</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of $8.50 per common share and per preferred</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(3,096.1)</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issued restricted Class A common stock</w:t>
            </w: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to Board of Directors</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4,746.8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 xml:space="preserve">CONSOLIDATED STATEMENTS OF EQUITY </w:t>
      </w:r>
      <w:r>
        <w:rPr>
          <w:rFonts w:ascii="Times New Roman" w:cs="Times New Roman" w:eastAsia="Times New Roman" w:hAnsi="Times New Roman"/>
          <w:sz w:val="17"/>
          <w:szCs w:val="17"/>
          <w:color w:val="auto"/>
        </w:rPr>
        <w:t>(continued)</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980"/>
        <w:spacing w:after="0" w:line="268" w:lineRule="auto"/>
        <w:rPr>
          <w:sz w:val="20"/>
          <w:szCs w:val="20"/>
          <w:color w:val="auto"/>
        </w:rPr>
      </w:pPr>
      <w:r>
        <w:rPr>
          <w:rFonts w:ascii="Times New Roman" w:cs="Times New Roman" w:eastAsia="Times New Roman" w:hAnsi="Times New Roman"/>
          <w:sz w:val="18"/>
          <w:szCs w:val="18"/>
          <w:color w:val="auto"/>
        </w:rPr>
        <w:t>Balance at December 31, 2022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Dividends of $9.65 per common share and preferred share Vesting of issued restricted Class A common stock Shares issued to Board of Directors</w:t>
      </w:r>
    </w:p>
    <w:p>
      <w:pPr>
        <w:ind w:right="480"/>
        <w:spacing w:after="0" w:line="284" w:lineRule="auto"/>
        <w:rPr>
          <w:sz w:val="20"/>
          <w:szCs w:val="20"/>
          <w:color w:val="auto"/>
        </w:rPr>
      </w:pPr>
      <w:r>
        <w:rPr>
          <w:rFonts w:ascii="Times New Roman" w:cs="Times New Roman" w:eastAsia="Times New Roman" w:hAnsi="Times New Roman"/>
          <w:sz w:val="18"/>
          <w:szCs w:val="18"/>
          <w:color w:val="auto"/>
        </w:rPr>
        <w:t>Shares issued under Employee Stock Purchase Plan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0" w:type="dxa"/>
            <w:vAlign w:val="bottom"/>
            <w:vMerge w:val="continue"/>
          </w:tcPr>
          <w:p>
            <w:pPr>
              <w:spacing w:after="0"/>
              <w:rPr>
                <w:sz w:val="11"/>
                <w:szCs w:val="11"/>
                <w:color w:val="auto"/>
              </w:rPr>
            </w:pPr>
          </w:p>
        </w:tc>
        <w:tc>
          <w:tcPr>
            <w:tcW w:w="80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0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6"/>
        </w:trPr>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0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4,746.8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3,226.2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(3,517.8)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4,455.2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-1362710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-1062355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-770890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-479425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-187960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140"/>
            <w:col w:w="6880"/>
          </w:cols>
          <w:pgMar w:left="340" w:top="887" w:right="339" w:bottom="1440" w:gutter="0" w:footer="0" w:header="0"/>
          <w:type w:val="continuous"/>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 xml:space="preserve">CONSOLIDATED STATEMENTS OF EQUITY </w:t>
      </w:r>
      <w:r>
        <w:rPr>
          <w:rFonts w:ascii="Times New Roman" w:cs="Times New Roman" w:eastAsia="Times New Roman" w:hAnsi="Times New Roman"/>
          <w:sz w:val="17"/>
          <w:szCs w:val="17"/>
          <w:color w:val="auto"/>
        </w:rPr>
        <w:t>(continued)</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40"/>
        <w:spacing w:after="0" w:line="268" w:lineRule="auto"/>
        <w:rPr>
          <w:sz w:val="20"/>
          <w:szCs w:val="20"/>
          <w:color w:val="auto"/>
        </w:rPr>
      </w:pPr>
      <w:r>
        <w:rPr>
          <w:rFonts w:ascii="Times New Roman" w:cs="Times New Roman" w:eastAsia="Times New Roman" w:hAnsi="Times New Roman"/>
          <w:sz w:val="18"/>
          <w:szCs w:val="18"/>
          <w:color w:val="auto"/>
        </w:rPr>
        <w:t>Balance at December 31, 2023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Dividends of $10.40 per common share and preferred share</w:t>
      </w:r>
    </w:p>
    <w:p>
      <w:pPr>
        <w:spacing w:after="0" w:line="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Vesting of issued restricted Class A common stock Shares issued to Board of Directors</w:t>
      </w:r>
    </w:p>
    <w:p>
      <w:pPr>
        <w:ind w:right="140"/>
        <w:spacing w:after="0" w:line="284" w:lineRule="auto"/>
        <w:rPr>
          <w:sz w:val="20"/>
          <w:szCs w:val="20"/>
          <w:color w:val="auto"/>
        </w:rPr>
      </w:pPr>
      <w:r>
        <w:rPr>
          <w:rFonts w:ascii="Times New Roman" w:cs="Times New Roman" w:eastAsia="Times New Roman" w:hAnsi="Times New Roman"/>
          <w:sz w:val="18"/>
          <w:szCs w:val="18"/>
          <w:color w:val="auto"/>
        </w:rPr>
        <w:t>Shares issued under Employee Stock Purchase Plan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60" w:type="dxa"/>
            <w:vAlign w:val="bottom"/>
            <w:vMerge w:val="continue"/>
          </w:tcPr>
          <w:p>
            <w:pPr>
              <w:spacing w:after="0"/>
              <w:rPr>
                <w:sz w:val="11"/>
                <w:szCs w:val="11"/>
                <w:color w:val="auto"/>
              </w:rPr>
            </w:pPr>
          </w:p>
        </w:tc>
        <w:tc>
          <w:tcPr>
            <w:tcW w:w="800" w:type="dxa"/>
            <w:vAlign w:val="bottom"/>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4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6"/>
        </w:trPr>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4,455.2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3,525.8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(3,795.2)</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4,185.8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-1482725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-1182370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-770890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-479425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-187960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400"/>
            <w:col w:w="6960"/>
          </w:cols>
          <w:pgMar w:left="340" w:top="887" w:right="339" w:bottom="1440" w:gutter="0" w:footer="0" w:header="0"/>
          <w:type w:val="continuous"/>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and unrealized (gains)/losses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3,056.0</w:t>
            </w: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sales of available-for-sale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business ventures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 ventures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S&amp;P Dow Jones Indices LLC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 including call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(25,381.7)</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160,789.8</w:t>
            </w:r>
          </w:p>
        </w:tc>
        <w:tc>
          <w:tcPr>
            <w:tcW w:w="0" w:type="dxa"/>
            <w:vAlign w:val="bottom"/>
          </w:tcPr>
          <w:p>
            <w:pPr>
              <w:spacing w:after="0"/>
              <w:rPr>
                <w:sz w:val="1"/>
                <w:szCs w:val="1"/>
                <w:color w:val="auto"/>
              </w:rPr>
            </w:pPr>
          </w:p>
        </w:tc>
      </w:tr>
      <w:tr>
        <w:trPr>
          <w:trHeight w:val="160"/>
        </w:trPr>
        <w:tc>
          <w:tcPr>
            <w:tcW w:w="670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4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0" w:type="dxa"/>
            <w:vAlign w:val="bottom"/>
          </w:tcPr>
          <w:p>
            <w:pPr>
              <w:spacing w:after="0"/>
              <w:rPr>
                <w:sz w:val="1"/>
                <w:szCs w:val="1"/>
                <w:color w:val="auto"/>
              </w:rPr>
            </w:pP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restricted cash (within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restricted cash (within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84"/>
        </w:trPr>
        <w:tc>
          <w:tcPr>
            <w:tcW w:w="6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135,249.2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7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Declaration of annual variable dividend, payable in January 2025, January 2024 and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January 2023</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Inc. (CME Group) exchanges offer the widest range of global benchmark products across all major asset classes based on interest rates, equity indexes, foreign exchange (FX), agricultural, energy and metal commodities. We offer futures and options across asset classes as well as cash, repo fixed income and OTC FX trading through the CME Globex platform. In addition, it operates one of the world’s leading central counterparty clearing houses. CME Group offers clearing, settlement and guarantees for all products cleared through the clearing house, which is operated by CME.</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consolidated financial statements are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and include the accounts of the company and its subsidiaries. All intercompany transactions and balances have been eliminated.</w:t>
      </w:r>
    </w:p>
    <w:p>
      <w:pPr>
        <w:spacing w:after="0" w:line="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and highly liquid investments with a maturity of three months or less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w:t>
      </w:r>
    </w:p>
    <w:p>
      <w:pPr>
        <w:spacing w:after="0" w:line="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Investments. </w:t>
      </w:r>
      <w:r>
        <w:rPr>
          <w:rFonts w:ascii="Times New Roman" w:cs="Times New Roman" w:eastAsia="Times New Roman" w:hAnsi="Times New Roman"/>
          <w:sz w:val="18"/>
          <w:szCs w:val="18"/>
          <w:color w:val="auto"/>
        </w:rPr>
        <w:t>The company maintains short-term and long-term investments, classified as equity method investments, available-for-sale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equity investments in privately-held entities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Additionally, the company maintains long-term investments accounted for under the equity method, which requires that the company recognize its share of net income (loss) and other comprehensive income (loss) in the investee as an adjustment to the carrying amount of the investment each reporting period.</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at least quarterly, as well as whenever facts or circumstances exist which indicate that the carrying value of an investment is greater than its fair value. For investments not carried at fair value, the carrying value of the investment is reduced to its fair value and a corresponding impairment expense is charged to earnings, if events and circumstances indicate that a markdown to fair value is warranted. Declines in the fair value of available-for-sale debt securities that are deemed to represent indicators of impairment are charged to earnings as a realized loss.</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company uses a three-level classification hierarchy of fair value measurements that establishes the quality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7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Derivative Investments. </w:t>
      </w:r>
      <w:r>
        <w:rPr>
          <w:rFonts w:ascii="Times New Roman" w:cs="Times New Roman" w:eastAsia="Times New Roman" w:hAnsi="Times New Roman"/>
          <w:sz w:val="18"/>
          <w:szCs w:val="18"/>
          <w:color w:val="auto"/>
        </w:rPr>
        <w:t>The company occasionally uses derivative instruments to limit exposure to changes in interest rates and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Derivatives are recorded at fair value on the consolidated balance sheets. For those derivatives that meet the criteria for hedge accounting and are classified as effective cash flow hedges, changes in the fair value of derivative financial instruments are initially recorded in other comprehensive income and subsequently reclassified into earnings when the hedged item affects income. The company assesses, both at the inception of each hedge and on an ongoing basis, whether the derivative financial instruments that are designated as cash flow hedging transactions are highly effective in offsetting changes in cash flows of the hedged items. For any hedges no longer deemed effective or for which hedge accounting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is not applied, changes in fair value of the derivative instruments are recognized in earnings within other non-operating income (expense). There were no outstanding derivative instruments at December 31, 2024.</w:t>
      </w:r>
    </w:p>
    <w:p>
      <w:pPr>
        <w:spacing w:after="0" w:line="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comprised of trade receivables and unbilled revenue. All accounts receivable are stated at net realizable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Exposure to 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management's assessment of future expected losses over the life of the receivable, historical trends and the current economic environment within which we operate.</w:t>
      </w:r>
    </w:p>
    <w:p>
      <w:pPr>
        <w:spacing w:after="0" w:line="7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Bonds and Guaranty Fund Contributions. </w:t>
      </w:r>
      <w:r>
        <w:rPr>
          <w:rFonts w:ascii="Times New Roman" w:cs="Times New Roman" w:eastAsia="Times New Roman" w:hAnsi="Times New Roman"/>
          <w:sz w:val="18"/>
          <w:szCs w:val="18"/>
          <w:color w:val="auto"/>
        </w:rPr>
        <w:t>Performance bonds and guaranty fund contributions held for clearing firms may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securities or other non-cash deposits.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investments in highly rated government securities, money market funds or through CME's Interest Earning Facility (IEF) program. Any interest earned on these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 The cash performance bonds and guaranty fund contributions are considered restricted cash as the cash deposits cannot be used for the company's operations or to satisfy any operational liabilities. Cash performance bonds and guaranty fund contributions are included as restricted cash and restricted cash equivalents on the consolidated statements of cash flows.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Non-cash performance bonds can also include letters of credit. Because the benefits and risks of ownership accrue to the clearing firm, non-cash performance bonds and guaranty fund contributions are not reflected on the consolidated balance sheets.</w:t>
      </w:r>
    </w:p>
    <w:p>
      <w:pPr>
        <w:spacing w:after="0" w:line="7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Property is stated at cost, less accumulated depreciation and amortization. Depreciation and amortization are calculated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generally over one to twenty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obtaining, or implementing computer software for internal use which meet the requirements for capitalization are amortized on a straight-line basis over the estimated useful life of the software, generally two to four years, but up to eight years for certain trading and clearing applications, depending upon expected useful lives.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accounts for our leases of office space as operating leases. Landlord allowances are recorded as a direct reduction to the capitalized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asset, which is reported in other assets and amortized to rent expense over the term of the lease. Both lease and direct non-lease costs are accounted for as a single lease component for purposes of capitalization on the consolidated balance sheets.The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over the fair value of the net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reviews goodwill for impairment at least quarterly and whenever events or circumstances indicate that the carrying value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performs an impairment assessment of indefinite-lived intangible assets at least quarterly or whenever events or circumstances indicate that their carrying values may not be recoverable.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carrying value of the amortizing asset to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amortizing intangible assets.</w:t>
      </w:r>
    </w:p>
    <w:p>
      <w:pPr>
        <w:spacing w:after="0" w:line="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accounts for business combinations using the acquisition method. The method requires the acquirer to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The company recognizes the funded status of defined benefit postretirement plans on its consolidated balance sheets.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6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Foreign Currency Translation and Re-measurement</w:t>
      </w:r>
      <w:r>
        <w:rPr>
          <w:rFonts w:ascii="Times New Roman" w:cs="Times New Roman" w:eastAsia="Times New Roman" w:hAnsi="Times New Roman"/>
          <w:sz w:val="18"/>
          <w:szCs w:val="18"/>
          <w:color w:val="auto"/>
        </w:rPr>
        <w:t>. Foreign currency denominated monetary assets and liabilities are re-measured into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using period-end exchange rates. Gains and losses from foreign currency transactions and re-measurement of monetary assets and liabilities into the functional currency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recognition policies for specific sources of revenue are discussed below.</w:t>
      </w:r>
    </w:p>
    <w:p>
      <w:pPr>
        <w:spacing w:after="0" w:line="119"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upon successful execution of the trade, which represents completion of our trade matching, novation and clearing activities.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company, a fee adjustment is provided to the clearing firm. A reserve is established for estimated fee adjustments to reflect corrections to customer exchange trading privileges. The reserve is based on the historical pattern of adjustments processed as well as management's estimate of future adjustment activity. This reserve has historically been immaterial. The company believes the reserve is adequate to cover estimated adjustments as of December 31, 2024 and 2023.</w:t>
      </w:r>
    </w:p>
    <w:p>
      <w:pPr>
        <w:spacing w:after="0" w:line="77"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earned for the dissemination of market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72" w:lineRule="exact"/>
        <w:rPr>
          <w:sz w:val="20"/>
          <w:szCs w:val="20"/>
          <w:color w:val="auto"/>
        </w:rPr>
      </w:pPr>
    </w:p>
    <w:p>
      <w:pPr>
        <w:jc w:val="both"/>
        <w:ind w:left="4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include access and communication fees, fees for collateral management, equity membership subscription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trade order routing through agreements from various strategic relationships as well as other services to customers. Revenue is recognized as services are provided.</w:t>
      </w:r>
    </w:p>
    <w:p>
      <w:pPr>
        <w:spacing w:after="0" w:line="65" w:lineRule="exact"/>
        <w:rPr>
          <w:sz w:val="20"/>
          <w:szCs w:val="20"/>
          <w:color w:val="auto"/>
        </w:rPr>
      </w:pPr>
    </w:p>
    <w:p>
      <w:pPr>
        <w:ind w:left="46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Revenue. </w:t>
      </w:r>
      <w:r>
        <w:rPr>
          <w:rFonts w:ascii="Times New Roman" w:cs="Times New Roman" w:eastAsia="Times New Roman" w:hAnsi="Times New Roman"/>
          <w:sz w:val="18"/>
          <w:szCs w:val="18"/>
          <w:color w:val="auto"/>
        </w:rPr>
        <w:t>One clearing firm represented at least approximately 10% of the company's clearing and transaction fee revenue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 but no clearing firms represented at least approximately 10% of the company's clearing and transaction fee revenue in 2023. Should a clearing firm withdraw from the company, management believes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54"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color w:val="auto"/>
        </w:rPr>
        <w:t>The two largest resellers of market data represented approximately 30% of market data and information services revenue in 2024, 32% in 2023, and 33% in 2022.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The company accounts for share-based payments at fair value, which is based on the grant date price of the equity awards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Forfeitures are recognized in the period in which they occur.</w:t>
      </w:r>
    </w:p>
    <w:p>
      <w:pPr>
        <w:spacing w:after="0" w:line="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Marketing Costs. </w:t>
      </w:r>
      <w:r>
        <w:rPr>
          <w:rFonts w:ascii="Times New Roman" w:cs="Times New Roman" w:eastAsia="Times New Roman" w:hAnsi="Times New Roman"/>
          <w:sz w:val="18"/>
          <w:szCs w:val="18"/>
          <w:color w:val="auto"/>
        </w:rPr>
        <w:t>Marketing costs are incurred for the production and communication of advertising as well as other marketing activities. These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expensed when incurred, except for costs related to the production of broadcast advertising, which are expensed when the first broadcast occurs.</w:t>
      </w:r>
    </w:p>
    <w:p>
      <w:pPr>
        <w:spacing w:after="0" w:line="4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arise from temporary differences between the tax basis and book basis of assets and liabilities. A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recognizes interest and penalties related to uncertain tax positions in income tax expense.</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The company reports the results of its operations as one operating segment primarily comprised of the businesses of CME, CBOT,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NYMEX, COMEX and our cash markets business. The individual operations of the company do not meet the criteria for classification as separate reporting segments.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following accounting pronouncements were issued during 2024:</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final guidance requiring public business entities to provide disclosures, in tabular format, of each relevant expense line item on the face of the income statement in continuing operations as disaggregated into the following: purchases of inventory, employee compensation, depreciation, intangible asset amortization and depreciation, depletion and amortization of capitalized acquisition, exploration and development costs recognized as part of oil- and gas-producing activities, or other amounts of depletion expense. Specified expenses, gains, or losses that are already disclosed under existing U.S. GAAP are required to be included in the disaggregated income statement expense line item disclosures, and any remaining amounts need to be described qualitatively. The disclosures are effective beginning in 2027, and required on an annual and interim basis. Entities may apply the guidance prospectively or retrospectively. Early adoption is permitted. Adoption of this guidance is not expected to have a material impact on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3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2024, 2023 and 2022:</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4,044.3</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2024 were not materially impacted by any other factors. The balance of contract liabilities was $15.6 million and $13.2 million as of December 31,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PERFORMANCE BONDS AND GUARANTY FUND CONTRIBUTIONS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funds are held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clearing firm is required to deposit and maintain balances in the form of cash, U.S. government securities, certain foreign government securities, bank letters of credit or other approved collateral to satisfy performance bond and guaranty fund requirements. All non-cash deposits and certain cash deposits with foreign currency exposure are marked-to-market and haircut on a daily basis. Securities deposited by the clearing firms are not reflected on the consolidated financial statements and the clearing house does not earn any interest on these deposits. These balances may fluctuate significantly over time due to investment choices available to clearing firms and changes in the amount of contributions required. Cash performance bonds and guaranty fund contributions are included as restricted cash and restricted cash equivalents on the consolidated statements of cash flows.</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clearing house marks-to-market open positions at least once a day (twice a day for futures and options contracts), and requires payment from clearing firms whose positions have lost value and makes payments to clearing firms whose positions have gained value. The clearing house has the capability to mark-to-market more frequently as market conditions warrant.</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extremely unlikely scenario of simultaneous default by every clearing firm who has open positions with unrealized losses, the maximum exposure at the time of default related to positions other than interest rate swap contracts would be one half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During 2024, the clearing house transferred an average of approximately $5.7 billion a day through the clearing system for settlement from clearing firms whose positions had lost value to clearing firms whose positions had gained value. The clearing house reduces its exposure through maintenance performance bond requirements and guaranty fund contributions. For futures and options products, the clearing firms' collateral requirements are sized to cover at least one day of anticipated price movements. For cleared swap products, the clearing firms' collateral requirements are sized to cover at least five days of anticipated price movements.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2024.</w:t>
      </w:r>
    </w:p>
    <w:p>
      <w:pPr>
        <w:spacing w:after="0" w:line="7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by the Financial Stability Oversight Council and is authorized to maintain cash accounts at the Federal Reserve Bank of Chicago. At December 31, 2024 and 2023, the clearing house maintained $87.4 billion and $79.3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and 2023, earnings from cash performance bond and guaranty fund contributions were $3,943.8 million and $5,073.9 million, respectively. In 2024 and 2023, expense related to the distribution of interest earned on collateral reinvestments were $3,669.4 million and $4,717.5 million,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 margin account would be allocated equally between CME and OCC.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CME has a cross-margin arrangement with Fixed Income Clearing Corporation (FICC) whereby certain of the clearing firms' offsetting positions with CME and FICC are subject to reduced performance bond requirements. Clearing firms maintain separate performance bond deposits with each clearing house, but based on the net offsetting positions between CME and FICC, each clearing house may reduce that firm's performance bond requirements. If a participating firm defaults, the gain or loss on the liquidation of the firm’s open positions and the proceeds from the liquidation of the cross margin account would be allocated between CME and FICC pursuant to a publicly-available cross-margining agreement.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clearing firm for futures and options is required to deposit and maintain specified guaranty fund contributions in the form of cash or U.S. Treasury securities (base guaranty fund).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 potential losses after first utilizing $100.0 million of corporate contributions designated by CME to be used in the event of a default of a clearing firm for the base guaranty fund.</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clearing house maintains a separate guaranty fund to support the clearing firms that clear interest rate swap products (cleared interest rate swaps contract guaranty fund).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2024, guaranty fund contributions available to collateralize the facility were $10.1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maintains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The company currently does not have any borrowings outstanding under these facilities.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CME also maintains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The company currently does not have any foreign currency trades outstanding under this facility.</w:t>
      </w:r>
    </w:p>
    <w:p>
      <w:pPr>
        <w:spacing w:after="0" w:line="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clearing house is required under the U.S. Commodity Exchange Act to segregate cash and securities deposited by clearing firms from its clearing member customers. In addition, the clearing house requires segregation of all funds deposited by its clearing firms from operating funds.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non-cash deposits held as performance bonds and guaranty fund contributions at fair value at December 31,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Non-Cash</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Non-Cash</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180,866.3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Guaranty fund contributions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Cross-margin arrangements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189,092.5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IEF funds include customer-directed investments in IEF funds that are not included on the consolidated balance sheets.</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collateral for delivery and accrued interest earned on collateral reinvestment due to the clearing firms.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Cross-margin arrangements include collateral for the cross-margin accounts with OCC and FICC.</w:t>
      </w:r>
    </w:p>
    <w:p>
      <w:pPr>
        <w:spacing w:after="0" w:line="1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Cash performance bonds may include intraday settlement, if any, that is owed to the clearing firms and paid the following business day. The balance of intraday settlements was $198.4 million and $237.5 million at December 31, 2024 and 2023, respectively. Intraday settlements may be invested on an overnight basis and are offset by an equal liability owed to clearing firms.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to cash, securities and other non-cash deposits, irrevocable letters of credit may be used as performance bond deposits for clearing firms. At December 31, 2024 and 2023, these letters of credit, which are not included in the accompanying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Letters of Credit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cash, securities and letters of credit posted as performance bonds are only available to meet the financial obligations of that clearing firm to the clearing house.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property accounts at December 31, 2024 and 2023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6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1 - 10 years</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2 - 20 years</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6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1 - 7 years</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66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rPr>
              <w:t>2 - 8 years</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660" w:type="dxa"/>
            <w:vAlign w:val="bottom"/>
            <w:shd w:val="clear" w:color="auto" w:fill="CCEEFF"/>
          </w:tcPr>
          <w:p>
            <w:pPr>
              <w:spacing w:after="0"/>
              <w:rPr>
                <w:sz w:val="19"/>
                <w:szCs w:val="19"/>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660" w:type="dxa"/>
            <w:vAlign w:val="bottom"/>
            <w:tcBorders>
              <w:bottom w:val="single" w:sz="8" w:color="CCEEFF"/>
            </w:tcBorders>
          </w:tcPr>
          <w:p>
            <w:pPr>
              <w:spacing w:after="0"/>
              <w:rPr>
                <w:sz w:val="19"/>
                <w:szCs w:val="19"/>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1"/>
                <w:szCs w:val="11"/>
                <w:color w:val="auto"/>
              </w:rPr>
            </w:pPr>
          </w:p>
        </w:tc>
        <w:tc>
          <w:tcPr>
            <w:tcW w:w="12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2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95"/>
        </w:trPr>
        <w:tc>
          <w:tcPr>
            <w:tcW w:w="3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Assets—Other, Net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4"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originally assigned useful lives for the amortizable intangible assets as of December 31, 2024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3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5 - 30 years</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5 - 9 years</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3 - 24.5 years</w:t>
            </w:r>
          </w:p>
        </w:tc>
      </w:tr>
    </w:tbl>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$221.7 million, $226.6 million and $227.7 million for the years ended December 31, 2024, 2023 and 2022, respectively. As of December 31, 2024, the future estimated amortization expense related to amortizable intangible assets is expected to be as follows: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Pr>
          <w:p>
            <w:pPr>
              <w:spacing w:after="0"/>
              <w:rPr>
                <w:sz w:val="21"/>
                <w:szCs w:val="21"/>
                <w:color w:val="auto"/>
              </w:rPr>
            </w:pP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Pr>
          <w:p>
            <w:pPr>
              <w:spacing w:after="0"/>
              <w:rPr>
                <w:sz w:val="19"/>
                <w:szCs w:val="19"/>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Pr>
          <w:p>
            <w:pPr>
              <w:spacing w:after="0"/>
              <w:rPr>
                <w:sz w:val="19"/>
                <w:szCs w:val="19"/>
                <w:color w:val="auto"/>
              </w:rPr>
            </w:pP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19"/>
                <w:szCs w:val="19"/>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19"/>
                <w:szCs w:val="19"/>
                <w:color w:val="auto"/>
              </w:rPr>
            </w:pPr>
          </w:p>
        </w:tc>
      </w:tr>
      <w:tr>
        <w:trPr>
          <w:trHeight w:val="234"/>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20" w:type="dxa"/>
            <w:vAlign w:val="bottom"/>
          </w:tcPr>
          <w:p>
            <w:pPr>
              <w:spacing w:after="0"/>
              <w:rPr>
                <w:sz w:val="20"/>
                <w:szCs w:val="20"/>
                <w:color w:val="auto"/>
              </w:rPr>
            </w:pPr>
          </w:p>
        </w:tc>
      </w:tr>
      <w:tr>
        <w:trPr>
          <w:trHeight w:val="400"/>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years ended December 31, 2024 and 2023</w:t>
            </w: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
        </w:trPr>
        <w:tc>
          <w:tcPr>
            <w:tcW w:w="9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20" w:type="dxa"/>
            <w:vAlign w:val="bottom"/>
            <w:shd w:val="clear" w:color="auto" w:fill="CCEEFF"/>
          </w:tcPr>
          <w:p>
            <w:pPr>
              <w:spacing w:after="0"/>
              <w:rPr>
                <w:sz w:val="19"/>
                <w:szCs w:val="19"/>
                <w:color w:val="auto"/>
              </w:rPr>
            </w:pPr>
          </w:p>
        </w:tc>
      </w:tr>
      <w:tr>
        <w:trPr>
          <w:trHeight w:val="230"/>
        </w:trPr>
        <w:tc>
          <w:tcPr>
            <w:tcW w:w="9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20" w:type="dxa"/>
            <w:vAlign w:val="bottom"/>
            <w:shd w:val="clear" w:color="auto" w:fill="CCEEFF"/>
          </w:tcPr>
          <w:p>
            <w:pPr>
              <w:spacing w:after="0"/>
              <w:rPr>
                <w:sz w:val="19"/>
                <w:szCs w:val="19"/>
                <w:color w:val="auto"/>
              </w:rPr>
            </w:pPr>
          </w:p>
        </w:tc>
      </w:tr>
      <w:tr>
        <w:trPr>
          <w:trHeight w:val="230"/>
        </w:trPr>
        <w:tc>
          <w:tcPr>
            <w:tcW w:w="9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various long-term investments as described below. The investments are recorded in other assets on the consolidated balance sheets.</w:t>
      </w:r>
    </w:p>
    <w:p>
      <w:pPr>
        <w:spacing w:after="0" w:line="12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GME Holdings Limited. </w:t>
      </w:r>
      <w:r>
        <w:rPr>
          <w:rFonts w:ascii="Times New Roman" w:cs="Times New Roman" w:eastAsia="Times New Roman" w:hAnsi="Times New Roman"/>
          <w:sz w:val="18"/>
          <w:szCs w:val="18"/>
          <w:color w:val="auto"/>
        </w:rPr>
        <w:t>The company owns a 33% interest in GME Holdings Limited (GME Holdings), and accounts for its investment in GME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using the equity method of accounting. Dubai Mercantile Exchange (DME) was rebranded as the Gulf Mercantile Exchange (GME) in 2024 to reflect its position as the key regional commodities exchange in the Middle East. In June 2024, the company invested $3.5 million in GME Holdings in exchange for 3.5 million additional shares of GME. This transaction was immediately followed by a secondary share sale to a third party of 15.5 million shares for $15.5 million, which ultimately reduced our stake in GME Holdings from 50% to 33%. The company recognized a net gain of $9.2 million on the transaction as recorded in other non-operating income on the consolidated statements of income during 2024. The carrying amount of the company's investment in GME Holdings was $11.6 million at December 31, 2024. The company and GME Holdings maintain an agreement for Gulf Mercantile Exchange futures contracts to be exclusively traded on the CME Globex platform.</w:t>
      </w:r>
    </w:p>
    <w:p>
      <w:pPr>
        <w:spacing w:after="0" w:line="7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OSTTRA. </w:t>
      </w:r>
      <w:r>
        <w:rPr>
          <w:rFonts w:ascii="Times New Roman" w:cs="Times New Roman" w:eastAsia="Times New Roman" w:hAnsi="Times New Roman"/>
          <w:sz w:val="18"/>
          <w:szCs w:val="18"/>
          <w:color w:val="auto"/>
        </w:rPr>
        <w:t>The company owns a 50% equity interest in OSTTRA, which is a joint venture withe IHS Markit. OSTTRA performs trade processing and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mitigation services. The company accounts for its investment using the equity method of accounting. The carrying amount of the company's investment in OSTTRA was $1.2 billion at December 31, 2024.</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S&amp;P Dow Jones Indices LLC. </w:t>
      </w:r>
      <w:r>
        <w:rPr>
          <w:rFonts w:ascii="Times New Roman" w:cs="Times New Roman" w:eastAsia="Times New Roman" w:hAnsi="Times New Roman"/>
          <w:sz w:val="18"/>
          <w:szCs w:val="18"/>
          <w:color w:val="auto"/>
        </w:rPr>
        <w:t>In June 2022, the company invested $410.0 million in S&amp;P Dow Jones Indices LLC, which S&amp;P Dow Jones Indices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as part of the consideration for its acquisition of the IHS Markit index business. The company continues to own a 27% interest in S&amp;P Dow Jones Indices LLC and accounts for its investment in S&amp;P Dow Jones Indices LLC using the equity method of accounting. The carrying amount of the company's investment in S&amp;P Dow Jones Indices LLC was $1.3 billion at December 31, 2024. The company has long-term exclusive licensing agreements with S&amp;P Dow Jones Indices LLC to list products based on the Standard &amp; Poor's Indices and Dow Jones Indices.</w:t>
      </w:r>
    </w:p>
    <w:p>
      <w:pPr>
        <w:spacing w:after="0" w:line="71"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Shanghai CFETS-NEX International Money Broking Co., Ltd. </w:t>
      </w:r>
      <w:r>
        <w:rPr>
          <w:rFonts w:ascii="Times New Roman" w:cs="Times New Roman" w:eastAsia="Times New Roman" w:hAnsi="Times New Roman"/>
          <w:sz w:val="18"/>
          <w:szCs w:val="18"/>
          <w:color w:val="auto"/>
        </w:rPr>
        <w:t>The company owns a 33% interest in Shanghai CFETS-NEX International Money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Broking Co., Ltd. (CFETS) and accounts for its investment in CFETS using the equity method of accounting. The carrying amount of the company's investment in CFETS was $58.4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December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 stated rate of 3.00%</w:t>
            </w:r>
          </w:p>
        </w:tc>
        <w:tc>
          <w:tcPr>
            <w:tcW w:w="3240" w:type="dxa"/>
            <w:vAlign w:val="bottom"/>
            <w:shd w:val="clear" w:color="auto" w:fill="CCEEFF"/>
          </w:tcPr>
          <w:p>
            <w:pPr>
              <w:jc w:val="right"/>
              <w:ind w:right="3009"/>
              <w:spacing w:after="0"/>
              <w:rPr>
                <w:sz w:val="20"/>
                <w:szCs w:val="20"/>
                <w:color w:val="auto"/>
              </w:rPr>
            </w:pPr>
            <w:r>
              <w:rPr>
                <w:rFonts w:ascii="Times New Roman" w:cs="Times New Roman" w:eastAsia="Times New Roman" w:hAnsi="Times New Roman"/>
                <w:sz w:val="12"/>
                <w:szCs w:val="12"/>
                <w:color w:val="auto"/>
                <w:w w:val="99"/>
              </w:rPr>
              <w:t>(1)</w:t>
            </w:r>
          </w:p>
        </w:tc>
        <w:tc>
          <w:tcPr>
            <w:tcW w:w="340" w:type="dxa"/>
            <w:vAlign w:val="bottom"/>
            <w:shd w:val="clear" w:color="auto" w:fill="CCEEFF"/>
          </w:tcPr>
          <w:p>
            <w:pPr>
              <w:spacing w:after="0"/>
              <w:rPr>
                <w:sz w:val="22"/>
                <w:szCs w:val="2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22"/>
                <w:szCs w:val="22"/>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rPr>
                <w:sz w:val="12"/>
                <w:szCs w:val="12"/>
                <w:color w:val="auto"/>
              </w:rPr>
            </w:pPr>
          </w:p>
        </w:tc>
        <w:tc>
          <w:tcPr>
            <w:tcW w:w="3580" w:type="dxa"/>
            <w:vAlign w:val="bottom"/>
            <w:gridSpan w:val="2"/>
            <w:shd w:val="clear" w:color="auto" w:fill="CCEEFF"/>
          </w:tcPr>
          <w:p>
            <w:pPr>
              <w:jc w:val="right"/>
              <w:ind w:right="13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3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460" w:hanging="652"/>
        <w:spacing w:after="0" w:line="280"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outstanding consisted of the following at December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9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8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p>
      <w:pPr>
        <w:spacing w:after="0" w:line="157" w:lineRule="exact"/>
        <w:rPr>
          <w:sz w:val="20"/>
          <w:szCs w:val="20"/>
          <w:color w:val="auto"/>
        </w:rPr>
      </w:pPr>
    </w:p>
    <w:p>
      <w:pPr>
        <w:ind w:left="20" w:right="2520"/>
        <w:spacing w:after="0" w:line="373" w:lineRule="auto"/>
        <w:rPr>
          <w:sz w:val="20"/>
          <w:szCs w:val="20"/>
          <w:color w:val="auto"/>
        </w:rPr>
      </w:pPr>
      <w:r>
        <w:rPr>
          <w:rFonts w:ascii="Times New Roman" w:cs="Times New Roman" w:eastAsia="Times New Roman" w:hAnsi="Times New Roman"/>
          <w:sz w:val="18"/>
          <w:szCs w:val="18"/>
          <w:color w:val="auto"/>
        </w:rPr>
        <w:t>$500.0 million fixed rate notes due June 2028, stated rate of 3.75% $750.0 million fixed rate notes due March 2032, stated rate of 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1517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 xml:space="preserve">$750.0 million fixed rate notes due September 2043, stated rate of 5.30%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15175"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49" w:lineRule="exact"/>
        <w:rPr>
          <w:sz w:val="20"/>
          <w:szCs w:val="20"/>
          <w:color w:val="auto"/>
        </w:rPr>
      </w:pPr>
    </w:p>
    <w:p>
      <w:pPr>
        <w:ind w:left="20" w:right="2660"/>
        <w:spacing w:after="0" w:line="406" w:lineRule="auto"/>
        <w:rPr>
          <w:sz w:val="20"/>
          <w:szCs w:val="20"/>
          <w:color w:val="auto"/>
        </w:rPr>
      </w:pPr>
      <w:r>
        <w:rPr>
          <w:rFonts w:ascii="Times New Roman" w:cs="Times New Roman" w:eastAsia="Times New Roman" w:hAnsi="Times New Roman"/>
          <w:sz w:val="18"/>
          <w:szCs w:val="18"/>
          <w:color w:val="auto"/>
        </w:rPr>
        <w:t>$700.0 million fixed rate notes due June 2048, stated rate of 4.15% Total long-term debt</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414"/>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34"/>
        </w:trPr>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418"/>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418"/>
        </w:trPr>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5" w:lineRule="exact"/>
        <w:rPr>
          <w:sz w:val="20"/>
          <w:szCs w:val="20"/>
          <w:color w:val="auto"/>
        </w:rPr>
      </w:pPr>
    </w:p>
    <w:p>
      <w:pPr>
        <w:sectPr>
          <w:pgSz w:w="11900" w:h="16838" w:orient="portrait"/>
          <w:cols w:equalWidth="0" w:num="2">
            <w:col w:w="7520" w:space="720"/>
            <w:col w:w="3000"/>
          </w:cols>
          <w:pgMar w:left="320" w:top="118" w:right="339" w:bottom="1440" w:gutter="0" w:footer="0" w:header="0"/>
          <w:type w:val="continuous"/>
        </w:sectPr>
      </w:pPr>
    </w:p>
    <w:p>
      <w:pPr>
        <w:ind w:left="660" w:right="460" w:hanging="652"/>
        <w:spacing w:after="0" w:line="280"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70" w:lineRule="exact"/>
        <w:rPr>
          <w:rFonts w:ascii="Times New Roman" w:cs="Times New Roman" w:eastAsia="Times New Roman" w:hAnsi="Times New Roman"/>
          <w:sz w:val="16"/>
          <w:szCs w:val="16"/>
          <w:color w:val="auto"/>
        </w:rPr>
      </w:pPr>
    </w:p>
    <w:p>
      <w:pPr>
        <w:ind w:left="660" w:right="460" w:hanging="652"/>
        <w:spacing w:after="0" w:line="280"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and long-term debt maturities, at par value were as follows as of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316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 w:type="dxa"/>
            <w:vAlign w:val="bottom"/>
          </w:tcPr>
          <w:p>
            <w:pPr>
              <w:spacing w:after="0"/>
              <w:rPr>
                <w:sz w:val="20"/>
                <w:szCs w:val="20"/>
                <w:color w:val="auto"/>
              </w:rPr>
            </w:pPr>
          </w:p>
        </w:tc>
      </w:tr>
      <w:tr>
        <w:trPr>
          <w:trHeight w:val="873"/>
        </w:trPr>
        <w:tc>
          <w:tcPr>
            <w:tcW w:w="3160" w:type="dxa"/>
            <w:vAlign w:val="bottom"/>
          </w:tcPr>
          <w:p>
            <w:pPr>
              <w:spacing w:after="0"/>
              <w:rPr>
                <w:sz w:val="24"/>
                <w:szCs w:val="24"/>
                <w:color w:val="auto"/>
              </w:rPr>
            </w:pPr>
          </w:p>
        </w:tc>
        <w:tc>
          <w:tcPr>
            <w:tcW w:w="688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69</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subject to regulation under a wide variety of U.S., federal, state and foreign tax laws and regulations. Income before income taxes and the income tax provision consisted of the following for the years ended December 31, 2024,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3,291.7</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4,541.4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Reconciliation of the U.S. federal income tax rate (statutory tax rate) to the effective tax rate is as follows: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94"/>
        </w:trPr>
        <w:tc>
          <w:tcPr>
            <w:tcW w:w="6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Benefit Rate</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2024, 2023 and 2022, the effective tax rates were higher than the statutory tax rate. The increases to the effective tax rate for the state taxes were partially offset by the foreign-derived intangible income (FDII)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deferred income tax assets (liabilities)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expenses, compensation, leases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Reported 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domestic income tax loss carryforwards of $25.1 million of which $22.1 million will expire between 2030 and 2036 and $3.0 million can be carried forward indefinitely. These amounts primarily relate to losses from the acquisition of NEX Group plc and the acquisition of Pivot, Inc. No valuation allowance was recorded at December 31, 2024 and a valuation allowance of $0.4 million was recorded at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unrecognized tax benefits at December 31,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264.1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tax impacts in other jurisdictions</w:t>
            </w:r>
          </w:p>
        </w:tc>
        <w:tc>
          <w:tcPr>
            <w:tcW w:w="9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238.1</w:t>
            </w:r>
          </w:p>
        </w:tc>
        <w:tc>
          <w:tcPr>
            <w:tcW w:w="4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251.9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penalties related to uncertain tax positions</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penalties recognized on the consolidated statements of income</w:t>
            </w:r>
          </w:p>
        </w:tc>
        <w:tc>
          <w:tcPr>
            <w:tcW w:w="98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it is reasonably possible that within the next twelve months, unrecognized tax benefits will change by a significant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resulting from the lapse of statutes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taxes in Illinois and multiple other state, local and foreign jurisdictions. As of December 31, 2024, substantially all federal income tax matters have been concluded through 2016 other than the Section 199 deduction. On April 15, 2024, the company filed a court case with the U.S. court of Federal Claims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related to the Section 199 deduction. All United Kingdom income tax matters have been concluded through 2017, and substantially all state income tax matters have been concluded through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Plans. </w:t>
      </w:r>
      <w:r>
        <w:rPr>
          <w:rFonts w:ascii="Times New Roman" w:cs="Times New Roman" w:eastAsia="Times New Roman" w:hAnsi="Times New Roman"/>
          <w:sz w:val="18"/>
          <w:szCs w:val="18"/>
          <w:color w:val="auto"/>
        </w:rPr>
        <w:t>CME maintains a non-contributory defined benefit cash balance pension plan for eligible employees. CME's plan provides for a pay-based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projected benefit obligation: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accumulated benefit obligation was $335.6 million and $323.2 million at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fair value of plan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major category of plan assets as of December 31, 2024 and 2023 is indicated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Foreign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December 31, 2024, the fair value of pension plan assets exceeded the pension benefit obligation by $3.5 million and the excess was recorded as a non-current pension asset in other assets. At December 31, 2023, the fair value of pension plan assets had a shortfall of the projected benefit obligation by $0.7 million and the shortfall was recorded as a non-current pension liability in other liabilities.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CME's funding goal is to have its pension plan 100% funded at each year-end on a projected benefit obligation basis, while also satisfying any minimum required contribution and obtaining the maximum tax deduction. Year-end 2024 assumptions have been used to project the assets and liabilities from December 31, 2024 to December 31, 2025. The company anticipates based on this projection that an additional contribution of $12.2 million in 2025 will be necessary for it to meet its funding goal.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However, the amount of the actual contribution is contingent on various factors, including the actual rate of return on the plan assets during 2025 and the December 31, 2025 discount rate.</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components of net pension expense and the assumptions used to determine the end-of-year projected benefit obligation and net pension expense in aggregate at December 31, 2024, 2023 and 2022 are indicated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(24.1)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Pension Expense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Assumptions Used to Determine End-of-Year Benefit Obligation: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crediting rate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2024 and 2023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60" w:type="dxa"/>
            <w:vAlign w:val="bottom"/>
          </w:tcPr>
          <w:p>
            <w:pPr>
              <w:ind w:left="8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6"/>
                <w:szCs w:val="16"/>
                <w:color w:val="auto"/>
              </w:rPr>
            </w:pPr>
          </w:p>
        </w:tc>
        <w:tc>
          <w:tcPr>
            <w:tcW w:w="13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45.7 %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9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37.4</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37.5</w:t>
            </w: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equity</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12.6</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13.6</w:t>
            </w:r>
          </w:p>
        </w:tc>
      </w:tr>
    </w:tbl>
    <w:p>
      <w:pPr>
        <w:spacing w:after="0" w:line="19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2025, management expects the fixed income asset class to be approximately 50% of the portfolio. The target allocation for the equity asset classes is expected to be approximately 50% of the portfolio.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times, the company may determine that it is necessary to place some assets in cash equivalent investments in order to pay expected plan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this, the actual asset allocation for the plan may not fall within the target allocation ranges from time to time.</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balance and activity of actuarial losses for the pension plan, which are included in other comprehensive income (loss), for 2024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0" w:type="dxa"/>
            <w:vAlign w:val="bottom"/>
          </w:tcPr>
          <w:p>
            <w:pPr>
              <w:spacing w:after="0"/>
              <w:rPr>
                <w:sz w:val="1"/>
                <w:szCs w:val="1"/>
                <w:color w:val="auto"/>
              </w:rPr>
            </w:pPr>
          </w:p>
        </w:tc>
      </w:tr>
      <w:tr>
        <w:trPr>
          <w:trHeight w:val="195"/>
        </w:trPr>
        <w:tc>
          <w:tcPr>
            <w:tcW w:w="9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9"/>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as a component of net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2024, anticipated benefit payments from the plan in future years are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Savings Plans. </w:t>
      </w:r>
      <w:r>
        <w:rPr>
          <w:rFonts w:ascii="Times New Roman" w:cs="Times New Roman" w:eastAsia="Times New Roman" w:hAnsi="Times New Roman"/>
          <w:sz w:val="18"/>
          <w:szCs w:val="18"/>
          <w:color w:val="auto"/>
        </w:rPr>
        <w:t>CME maintains a defined contribution savings plan pursuant to Section 401(k) of the Internal Revenue Code, whereby all U.S.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participants and have the option to contribute to this plan. CME matches employee contributions up to 3% of the employee's base salary and may make additional discretionary contributions.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plan for U.S. employees, the company maintains defined contribution savings plans for employees in international locations.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Aggregate expense for all of the defined contribution savings plans amounted to $20.8 million, $19.7 million and $18.3 million in 2024, 2023 and 2022, respectively.</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CME Non-Qualified Plans. </w:t>
      </w:r>
      <w:r>
        <w:rPr>
          <w:rFonts w:ascii="Times New Roman" w:cs="Times New Roman" w:eastAsia="Times New Roman" w:hAnsi="Times New Roman"/>
          <w:sz w:val="18"/>
          <w:szCs w:val="18"/>
          <w:color w:val="auto"/>
        </w:rPr>
        <w:t>CME maintains non-qualified plans, under which participants may make assumed investment choices with respect to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their behalf. Although not required to do so, CME invests such contributions in assets that mirror the assumed investment choices. The balances in these plans are subject to the claims of general creditors of the company and totaled $104.2 million and $101.3 million at December 31, 2024 and 2023, respectively. Although the value of the plans is recorded as an asset in marketable securities on the consolidated balance sheets, there is an equal and offsetting 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7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Savings Plan. </w:t>
      </w:r>
      <w:r>
        <w:rPr>
          <w:rFonts w:ascii="Times New Roman" w:cs="Times New Roman" w:eastAsia="Times New Roman" w:hAnsi="Times New Roman"/>
          <w:sz w:val="18"/>
          <w:szCs w:val="18"/>
          <w:color w:val="auto"/>
        </w:rPr>
        <w:t>CME maintains a supplemental plan to provide benefits for employees who have been impacted by statutory limits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qualified pension and savings plan. Employees in this plan are subject to the vesting requirements of the underlying qualified plans.</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A deferred compensation plan is maintained by CME, under which eligible employees and members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contribute a percentage of their compensation and defer income taxes thereon until the time of distribution.</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COMEX Members' Retirement Plan and Benefits. </w:t>
      </w:r>
      <w:r>
        <w:rPr>
          <w:rFonts w:ascii="Times New Roman" w:cs="Times New Roman" w:eastAsia="Times New Roman" w:hAnsi="Times New Roman"/>
          <w:sz w:val="18"/>
          <w:szCs w:val="18"/>
          <w:color w:val="auto"/>
        </w:rPr>
        <w:t>COMEX maintains a non-qualified retirement and benefit plan under the COMEX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 and Benefits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2024, 2023 and 2022. At December 31, 2024 and 2023, the obligation for the MRRP totaled $7.3 million and $8.7 million, respectively. Assets with a fair value of $9.0 million and $10.8 million have been allocated to this plan at December 31, 2024 and 2023, respectively, and are included in marketable securities and cash and cash equivalents on the consolidated balance sheets. The balances in this plan are subject to the claims of general creditors of COMEX.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leases for datacenters and corporate offices. The operating leases have remaining lease terms of up to 13 years, 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include options to extend or renew the leases for up to an additional five years, and some of which include options to early terminate the leases in less than 12 months. 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w:t>
      </w:r>
    </w:p>
    <w:p>
      <w:pPr>
        <w:spacing w:after="0" w:line="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short-term and long-term) on the consolidated balance sheets. The discount rate applied to the lease payments represents the company's incremental borrowing rate. The company has elected to utilize the short-term lease exception as prescribed in the leasing standard, such that the company has not capitalized on the balance sheet a lease asset or lease liability for leasing arrangements with a contractual term of 12 months or less from the lease commencement date.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for the years ended December 31,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2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years ended December 31, 2024 and 2023: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2"/>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as of December 31,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146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272.0</w:t>
            </w:r>
          </w:p>
        </w:tc>
      </w:tr>
      <w:tr>
        <w:trPr>
          <w:trHeight w:val="270"/>
        </w:trPr>
        <w:tc>
          <w:tcPr>
            <w:tcW w:w="7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289.3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344.0</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334.0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390.7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c>
          <w:tcPr>
            <w:tcW w:w="12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shd w:val="clear" w:color="auto" w:fill="CCEEFF"/>
          </w:tcPr>
          <w:p>
            <w:pPr>
              <w:spacing w:after="0"/>
              <w:rPr>
                <w:sz w:val="19"/>
                <w:szCs w:val="19"/>
                <w:color w:val="auto"/>
              </w:rPr>
            </w:pPr>
          </w:p>
        </w:tc>
      </w:tr>
      <w:tr>
        <w:trPr>
          <w:trHeight w:val="432"/>
        </w:trPr>
        <w:tc>
          <w:tcPr>
            <w:tcW w:w="7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Future minimum lease payments were as follows as of December 31, 2024 for operating and finance leases: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9"/>
                <w:szCs w:val="19"/>
                <w:color w:val="auto"/>
              </w:rPr>
            </w:pPr>
          </w:p>
        </w:tc>
      </w:tr>
      <w:tr>
        <w:trPr>
          <w:trHeight w:val="229"/>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6"/>
        </w:trPr>
        <w:tc>
          <w:tcPr>
            <w:tcW w:w="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3"/>
        </w:trPr>
        <w:tc>
          <w:tcPr>
            <w:tcW w:w="72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The court heard oral argument on that motion on January 31, 2025. Should the case proceed past summary judgment in whole or in part, the Court has set the matter for a jury trial starting on July 7, 2025. Plaintiffs have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produced an expert report estimating damages through June 30, 2023, and claiming that additional damages in an unspecified amount continue to accrue on a daily basis through final judgment. The defendants believe that the damages report is invalid under Illinois law and on that basis have filed a motion to exclude the expert from offering an opinion at trial and a motion to decertify the class.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December 31, 2024 and 2023.</w:t>
      </w:r>
    </w:p>
    <w:p>
      <w:pPr>
        <w:spacing w:after="0" w:line="1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GUARANTEES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May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one-year period after May 2025 unless either party provides advance notice of its intent to terminate. CME can maintain collateral in the form of irrevocable standby letters of credit. At December 31, 2024, CME was contingently liable to SGX on irrevocable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agricultural products and who suffer losses to their segregated account balances due to their CME clearing member becoming insolvent.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Fund, farmers and ranchers are eligible for up to $25,000 per participant. Farming and ranching cooperatives are eligible for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per cooperative. The Fund has an aggregate maximum payment amount of $100.0 million. Since its establishment, the Fund has made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$2.0 million, which leaves $98.0 million available for future claims. If payments to participants were to exceed this amount,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be pro-rated. Clearing firms and customers must register in advance with the company and provide certain documentation in order to substantiate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eligibility. The company believes that its guarantee liability is nominal and therefore has not recorded any liability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The following table presents information regarding capital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4,584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authorized</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359,602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B-1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B-2 common stock authorized,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B-3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B-4 common stock authorized,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CME Group has approximately 4.6 million shares of Series G Non-Voting Convertible Preferred Stock (Series G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The Series G preferred stock is non-voting and is convertible into Class A common stock at a specified conversion rate, which is initially 1:1. The Series G preferred stock ranks on a parity basis with the Class A common stock with respect to dividend and liquidation rights and therefore participates in the earnings and losses of CME Group on the same basis as Class A common stock.</w:t>
      </w:r>
    </w:p>
    <w:p>
      <w:pPr>
        <w:spacing w:after="0" w:line="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Associated Trading Rights. </w:t>
      </w:r>
      <w:r>
        <w:rPr>
          <w:rFonts w:ascii="Times New Roman" w:cs="Times New Roman" w:eastAsia="Times New Roman" w:hAnsi="Times New Roman"/>
          <w:sz w:val="18"/>
          <w:szCs w:val="18"/>
          <w:color w:val="auto"/>
        </w:rPr>
        <w:t>Members of CME, CBOT, NYMEX and COMEX own or lease trading rights which entitle them access to open outcry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Core Rights. </w:t>
      </w:r>
      <w:r>
        <w:rPr>
          <w:rFonts w:ascii="Times New Roman" w:cs="Times New Roman" w:eastAsia="Times New Roman" w:hAnsi="Times New Roman"/>
          <w:sz w:val="18"/>
          <w:szCs w:val="18"/>
          <w:color w:val="auto"/>
        </w:rPr>
        <w:t>Holders of CME Group Class B common shares have the right to approve changes in specified rights relating to the trading privileges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7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With the exception of the matters reserved to holders of CME Group Class B common stock, holders of CME Group common stock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on all matters for which a vote of common shareholders is required. In these votes, each holder of shares of Class A or Class B common stock of CME Group has one vote per share. The holder of Series G preferred stock does not have any voting rights.</w:t>
      </w:r>
    </w:p>
    <w:p>
      <w:pPr>
        <w:spacing w:after="0" w:line="6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Each class of CME Group Class B common stock is subject to transfer restrictions contained in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Group. These transfer restrictions prohibit the sale or transfer of any shares of Class B common stock separate from the sale of the associated trading rights.</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CME Group board of directors is currently comprised of 22 members. Holders of Class B-1, Class B-2 and Class B-3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6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Holders of Class A and Class B common stock and Series G preferred stock of CME Group are entitled to receive proportionately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if any, as may be declared by the CME Group board of directors.</w:t>
      </w:r>
    </w:p>
    <w:p>
      <w:pPr>
        <w:spacing w:after="0" w:line="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CME Group Omnibus Stock Plan. </w:t>
      </w:r>
      <w:r>
        <w:rPr>
          <w:rFonts w:ascii="Times New Roman" w:cs="Times New Roman" w:eastAsia="Times New Roman" w:hAnsi="Times New Roman"/>
          <w:sz w:val="18"/>
          <w:szCs w:val="18"/>
          <w:color w:val="auto"/>
        </w:rPr>
        <w:t>CME Group has adopted an Omnibus Stock Plan under which stock-based awards may be made to employees. A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40.2 million Class A common stock shares have been reserved for awards under the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Awards totaling 25.9 million shares have been granted and are outstanding or have been exercised under this plan at December 31, 2024 (See note 15 for further discussion).</w:t>
      </w:r>
    </w:p>
    <w:p>
      <w:pPr>
        <w:spacing w:after="0" w:line="50"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Director Stock Plan. </w:t>
      </w:r>
      <w:r>
        <w:rPr>
          <w:rFonts w:ascii="Times New Roman" w:cs="Times New Roman" w:eastAsia="Times New Roman" w:hAnsi="Times New Roman"/>
          <w:sz w:val="18"/>
          <w:szCs w:val="18"/>
          <w:color w:val="auto"/>
        </w:rPr>
        <w:t>CME Group has adopted a Director Stock Plan under which awards are made to non-executive directors as part of their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Effective May 4, 2022, the number of Class A available shares reserved under the plan was increased from 625,000 to 725,000, and approximately 488,223 shares have been awarded through December 31, 2024.</w:t>
      </w:r>
    </w:p>
    <w:p>
      <w:pPr>
        <w:spacing w:after="0" w:line="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CME Group has adopted an Employee Stock Purchase Plan (ESPP) under which employees may purchase Class A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90% of the market value of the shares using after-tax payroll deductions. Effective May 4, 2022, the number of Class A shares reserved under the plan was increased from 500,000 to 800,000, of which approximately 510,567 shares have been purchased through December 31, 2024 (See note 15 for further discussion).</w:t>
      </w:r>
    </w:p>
    <w:p>
      <w:pPr>
        <w:spacing w:after="0" w:line="68"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In December 2024, the Board of Directors approved a share repurchase program, which authorizes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$3.0 billion of CME Group Class A common stock at prevailing market prices. As of December 31, 2024, there have been no shares repurchased under this program.</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any repurchases and the number of shares repurchased under the share repurchase program are within the discretion of CME Group and may be affected by various factors, including general market and economic conditions; the market price of the Class A common stock; CME Group’s earnings, financial condition, capital requirements and levels of indebtedness; legal requirements; and other considerations. The share repurchase program has no expiration date, does not obligate CME Group to acquire any particular amount of Class A common stock and may be modified, suspended or terminated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PAYMENTS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adopted an Omnibus Stock Plan under which stock-based awards may be made to employees. A total of 40.2 million Class A shares have been reserved for awards under the plan. Awards totaling 25.9 million shares have been granted and are outstanding or have been exercised under the plan as of December 31, 2024. Awards granted generally vest over a four-year period, with 25% vesting one year after the grant date and on that same date in each of the following three years.</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Total compensation expense for all stock-related awards (including ESPP) and total income tax benefit recognized on the consolidated statements of income for these awards at December 31, 2024, 2023 and 2022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2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recognized</w:t>
            </w:r>
          </w:p>
        </w:tc>
        <w:tc>
          <w:tcPr>
            <w:tcW w:w="3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8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At December 31, 2024, there was $139.6 million of total unrecognized compensation expense related to employee stock-based compensation arrangements that had not yet vested. The total unrecognized expense is expected to be recognized over a weighted average period of 2.2 years.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2024, the company granted 342,716 shares of restricted Class A common stock and restricted stock units with respect to 12,812 shares of Class A common stock. Restricted common stock and restricted stock units generally have a vesting period of two to four years. The fair value related to these grants was $77.7 million, which is recognized as compensation expense on an accelerated basis over the vesting period. Dividends are accrued on restricted Class A common stock and restricted stock units and are paid once the restricted stock vests. In 2024, the company also granted 129,381 performance shares. The fair value related to these grants was $33.4 million, which is recognized as compensation expense on a straight-lined basis over the vesting period. The vesting of these shares is contingent on meeting stated performance or market conditions, generally measured over a three-year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restricted stock units and performance shares activity for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1"/>
                <w:szCs w:val="11"/>
                <w:color w:val="auto"/>
              </w:rPr>
            </w:pPr>
          </w:p>
        </w:tc>
        <w:tc>
          <w:tcPr>
            <w:tcW w:w="1260" w:type="dxa"/>
            <w:vAlign w:val="bottom"/>
          </w:tcPr>
          <w:p>
            <w:pPr>
              <w:jc w:val="center"/>
              <w:ind w:right="19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1,099,880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484,909</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(182,736)</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1,087,358</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restricted stock units and performance shares that vested during 2024, 2023 and 2022 was $61.4 million, $49.6 million and $52.2 million, respectively.</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2024, 2023 and 2022, a total of 37,466, 40,960 and 41,722 shares, respectively, of Class A common stock were issued to participating employees. These shares are subject to a six-month holding period. Annual expense of $0.8 million for the purchase discount was recognized in 2024, 2023 and 2022.</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Non-executive directors receive an annual award of Class A common stock with a value equal to $145,000. Non-executive directors could also elect to receive some or all of the cash portion of their annual stipend, up to $95,000, in shares of stock based on the closing price at the date of distribution. As a result, 18,901 shares, 19,966 shares and 18,836 shares of Class A common stock were issued to non-executive directors during 2024, 2023 and 2022, respectively. These shares are not subject to any vesting restrictions. Expense of $3.6 million related to these stock-based payments was recognized for the years ended December 31, 2024, 2023 and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4"/>
                <w:szCs w:val="24"/>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2"/>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1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11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recorded at fair value on the consolidated balance sheets as of December 31, 2024 and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asset's fair value measurement.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4"/>
        </w:trPr>
        <w:tc>
          <w:tcPr>
            <w:tcW w:w="1020" w:type="dxa"/>
            <w:vAlign w:val="bottom"/>
            <w:tcBorders>
              <w:top w:val="single" w:sz="8" w:color="0000FF"/>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5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During 2024, the company recognized net unrealized losses of $6.6 million on equity investments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The fair value of these investments were estimated to be $11.6 million at December 31, 2024. This fair value assessments were based on quantitative factors, including observable price changes. The fair value measurements of these investments are considered level 3 and non-recurring. This investment is included in other assets on the consolidated balance sheet.</w:t>
      </w:r>
    </w:p>
    <w:p>
      <w:pPr>
        <w:spacing w:after="0" w:line="4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fair values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0" w:type="dxa"/>
            <w:vAlign w:val="bottom"/>
          </w:tcPr>
          <w:p>
            <w:pPr>
              <w:spacing w:after="0"/>
              <w:rPr>
                <w:sz w:val="16"/>
                <w:szCs w:val="16"/>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3"/>
        </w:trPr>
        <w:tc>
          <w:tcPr>
            <w:tcW w:w="6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w:t>
            </w:r>
          </w:p>
        </w:tc>
        <w:tc>
          <w:tcPr>
            <w:tcW w:w="2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747.0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2600" w:type="dxa"/>
            <w:vAlign w:val="bottom"/>
          </w:tcPr>
          <w:p>
            <w:pPr>
              <w:spacing w:after="0"/>
              <w:rPr>
                <w:sz w:val="19"/>
                <w:szCs w:val="19"/>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487.1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646.4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2600" w:type="dxa"/>
            <w:vAlign w:val="bottom"/>
          </w:tcPr>
          <w:p>
            <w:pPr>
              <w:spacing w:after="0"/>
              <w:rPr>
                <w:sz w:val="19"/>
                <w:szCs w:val="19"/>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752.4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581.1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w:t>
      </w:r>
    </w:p>
    <w:p>
      <w:pPr>
        <w:spacing w:after="0" w:line="68"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the senior leadership team that includes the Chairman and Chief Executive Officer, Chief Information Officer, Senior Managing Director Global Head of Fixed Income, President and Chief Financial Officer, Senior Managing Director and General Counsel, Senior Managing Director Global Head Equities, FX, and Alternative Products, Chief Human Resources Officer, Senior Managing Director Global Head of Commodities Markets, Chief Operating Officer and Global Head of Clearing, Chief Transformation Officer, and Chief Commercial Officer. The members of the senior leadership team represent a cross-functional group of management, which evaluates the company’s operating results in order to evaluate performance and make decisions about the company’s operating matters.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 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Series G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stock awards were as follows for the years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years presented:</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overdistributed earnings allocated to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Effect of stock options and stock awards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period covered by this report that have materially affected, or are reasonably likely to materially affect, the company's internal control over financial reporting. There were no changes in the company’s internal control over financial reporting which occurred during the fourth quarter of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believes that, as of December 31, 2024, our internal control over financial reporting is effective. The effectiveness of our internal control over financial reporting as of December 31, 2024 has been audited by Ernst &amp; Young LLP (PCAOB ID 42), an independent registered public accounting firm, as stated in the report on page 87.</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CME Group Inc. and subsidiaries (the Company) as of December 31, 2024 and 2023, the related consolidated statements of income, comprehensive income, equity and cash flows for each of the three years in the period ended December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52"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9 to the consolidated financial statements, the Company had unrecognized income tax benefits of $251.6</w:t>
      </w:r>
    </w:p>
    <w:p>
      <w:pPr>
        <w:spacing w:after="0" w:line="18" w:lineRule="exact"/>
        <w:rPr>
          <w:sz w:val="20"/>
          <w:szCs w:val="20"/>
          <w:color w:val="auto"/>
        </w:rPr>
      </w:pPr>
    </w:p>
    <w:p>
      <w:pPr>
        <w:jc w:val="both"/>
        <w:ind w:left="1680" w:hanging="1659"/>
        <w:spacing w:after="0" w:line="238" w:lineRule="auto"/>
        <w:tabs>
          <w:tab w:leader="none" w:pos="16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million related to uncertain tax positions as of December 31, 2024. Uncertainty in a tax position may arise due to the application of complex tax regulations. The Company uses significant judgment to (1) determine whether, based on the technical merits, the tax position is more likely than not to be sustained upon examination and (2) measure the amount of the tax benefit that qualifies for recognition.</w:t>
      </w:r>
    </w:p>
    <w:p>
      <w:pPr>
        <w:spacing w:after="0" w:line="212" w:lineRule="exact"/>
        <w:rPr>
          <w:sz w:val="20"/>
          <w:szCs w:val="20"/>
          <w:color w:val="auto"/>
        </w:rPr>
      </w:pPr>
    </w:p>
    <w:p>
      <w:pPr>
        <w:jc w:val="both"/>
        <w:ind w:left="1680"/>
        <w:spacing w:after="0" w:line="242" w:lineRule="auto"/>
        <w:rPr>
          <w:sz w:val="20"/>
          <w:szCs w:val="20"/>
          <w:color w:val="auto"/>
        </w:rPr>
      </w:pPr>
      <w:r>
        <w:rPr>
          <w:rFonts w:ascii="Times New Roman" w:cs="Times New Roman" w:eastAsia="Times New Roman" w:hAnsi="Times New Roman"/>
          <w:sz w:val="18"/>
          <w:szCs w:val="18"/>
          <w:color w:val="auto"/>
        </w:rPr>
        <w:t>Auditing management’s estimate of the Company’s uncertain tax positions that qualified for recognition and the related unrecognized income tax benefits was especially challenging because management’s estimate involved significant judgment in evaluating the technical merits of the positions, including interpretations of applicable tax laws and regulations.</w:t>
      </w:r>
    </w:p>
    <w:p>
      <w:pPr>
        <w:spacing w:after="0" w:line="20"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tested the Company’s controls that address the risk of material misstatement relating to the recognition and measurement of</w:t>
      </w:r>
    </w:p>
    <w:p>
      <w:pPr>
        <w:spacing w:after="0" w:line="13"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uncertain tax positions. For example, we tested controls over the Company’s assessment of the technical merits of tax positions and</w:t>
      </w:r>
    </w:p>
    <w:p>
      <w:pPr>
        <w:ind w:left="1680" w:hanging="1659"/>
        <w:spacing w:after="0" w:line="243" w:lineRule="auto"/>
        <w:tabs>
          <w:tab w:leader="none" w:pos="166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management’s process to measure the benefit of those tax positions that qualified for recognition, including management’s review of the inputs used in the calculations.</w:t>
      </w:r>
    </w:p>
    <w:p>
      <w:pPr>
        <w:spacing w:after="0" w:line="209" w:lineRule="exact"/>
        <w:rPr>
          <w:sz w:val="20"/>
          <w:szCs w:val="20"/>
          <w:color w:val="auto"/>
        </w:rPr>
      </w:pPr>
    </w:p>
    <w:p>
      <w:pPr>
        <w:jc w:val="both"/>
        <w:ind w:left="1680"/>
        <w:spacing w:after="0" w:line="239" w:lineRule="auto"/>
        <w:rPr>
          <w:sz w:val="20"/>
          <w:szCs w:val="20"/>
          <w:color w:val="auto"/>
        </w:rPr>
      </w:pPr>
      <w:r>
        <w:rPr>
          <w:rFonts w:ascii="Times New Roman" w:cs="Times New Roman" w:eastAsia="Times New Roman" w:hAnsi="Times New Roman"/>
          <w:sz w:val="18"/>
          <w:szCs w:val="18"/>
          <w:color w:val="auto"/>
        </w:rPr>
        <w:t>We involved our tax professionals to evaluate the technical merits of the Company's tax positions. Our audit procedures included, among others, evaluating the assumptions the Company used to develop its uncertain tax positions and related unrecognized income tax benefit amount by jurisdiction. We also tested the completeness and accuracy of the underlying data used by the Company to calculate its uncertain tax positions, inspected correspondence with relevant tax authorities, and evaluated third-party advice obtained and used by the Company in assessing the technical merits of its tax positions.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CME Group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of December 31, 2024,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equity and cash flows for each of the three years in the period ended December 31, 2024, and the related notes and financial statement schedule listed in the Index at Item 15(a) and our report dated February 27,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12529"/>
        </w:rPr>
        <w:t>quarter ended</w:t>
      </w:r>
      <w:r>
        <w:rPr>
          <w:rFonts w:ascii="Times New Roman" w:cs="Times New Roman" w:eastAsia="Times New Roman" w:hAnsi="Times New Roman"/>
          <w:sz w:val="18"/>
          <w:szCs w:val="18"/>
          <w:color w:val="auto"/>
        </w:rPr>
        <w:t xml:space="preserve"> December 31, 2024, no director or officer of the Company adopted or terminated a “Rule 10b5-1 trading arrangement” or “non-Rule 10b5-1 trading arrangement,” as each term is defined in Item 408(a) of Regulation S-K.</w:t>
      </w:r>
    </w:p>
    <w:p>
      <w:pPr>
        <w:spacing w:after="0" w:line="104" w:lineRule="exact"/>
        <w:rPr>
          <w:sz w:val="20"/>
          <w:szCs w:val="20"/>
          <w:color w:val="auto"/>
        </w:rPr>
      </w:pPr>
    </w:p>
    <w:p>
      <w:pPr>
        <w:ind w:right="2980"/>
        <w:spacing w:after="0" w:line="367"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r>
        <w:rPr>
          <w:rFonts w:ascii="Arial" w:cs="Arial" w:eastAsia="Arial" w:hAnsi="Arial"/>
          <w:sz w:val="18"/>
          <w:szCs w:val="18"/>
          <w:b w:val="1"/>
          <w:bCs w:val="1"/>
          <w:color w:val="auto"/>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 xml:space="preserve">We have adopted written codes of conduct applicable to all of our employees, including our Chairman and Chief Executive Officer, Chief Financial Officer, Chief Accounting Officer and other senior financial officers. In accordance with SEC rules and regulations, copies of these codes of conduct are available on our website at </w:t>
      </w:r>
      <w:r>
        <w:rPr>
          <w:rFonts w:ascii="Times New Roman" w:cs="Times New Roman" w:eastAsia="Times New Roman" w:hAnsi="Times New Roman"/>
          <w:sz w:val="17"/>
          <w:szCs w:val="17"/>
          <w:i w:val="1"/>
          <w:iCs w:val="1"/>
          <w:color w:val="auto"/>
        </w:rPr>
        <w:t>www.cmegroup.com</w:t>
      </w:r>
      <w:r>
        <w:rPr>
          <w:rFonts w:ascii="Times New Roman" w:cs="Times New Roman" w:eastAsia="Times New Roman" w:hAnsi="Times New Roman"/>
          <w:sz w:val="17"/>
          <w:szCs w:val="17"/>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 Business - Available Information."</w:t>
      </w:r>
    </w:p>
    <w:p>
      <w:pPr>
        <w:spacing w:after="0" w:line="6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the Company's securities by the Company's directors, officers and employees, as well as by the Company itself. We believe our insider trading policy is reasonably designed to promote compliance with insider trading laws, rules and regulations, and listing standards applicable to the Company. Our insider trading policy is filed as Exhibit 19.1 to this Form 10-K.</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CME Group’s definitive proxy statement for the Annual Meeting of Shareholders to be held on May 8, 2025, to be filed by CME Group with the SEC pursuant to Regulation 14A within 120 days after December 31, 2024 (Proxy Statement). Additional information called for by this item is contained in Item 1 of this Annual Report on Form 10-K under the caption "Information about our Executive Officers."</w:t>
      </w:r>
    </w:p>
    <w:p>
      <w:pPr>
        <w:spacing w:after="0" w:line="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SHAREHOLDER MATTERS</w:t>
      </w:r>
    </w:p>
    <w:p>
      <w:pPr>
        <w:spacing w:after="0" w:line="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15 of the notes to consolidated financial statements. The numbers in the following table are as of December 31, 2024.</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40" w:type="dxa"/>
            <w:vAlign w:val="bottom"/>
            <w:gridSpan w:val="3"/>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2180" w:type="dxa"/>
            <w:vAlign w:val="bottom"/>
          </w:tcPr>
          <w:p>
            <w:pPr>
              <w:spacing w:after="0"/>
              <w:rPr>
                <w:sz w:val="14"/>
                <w:szCs w:val="14"/>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 Available for Future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80" w:type="dxa"/>
            <w:vAlign w:val="bottom"/>
          </w:tcPr>
          <w:p>
            <w:pPr>
              <w:spacing w:after="0"/>
              <w:rPr>
                <w:sz w:val="14"/>
                <w:szCs w:val="14"/>
                <w:color w:val="auto"/>
              </w:rPr>
            </w:pPr>
          </w:p>
        </w:tc>
        <w:tc>
          <w:tcPr>
            <w:tcW w:w="2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Exercise Price</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tcPr>
          <w:p>
            <w:pPr>
              <w:jc w:val="center"/>
              <w:ind w:left="21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3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 Compensation Plans</w:t>
            </w:r>
          </w:p>
        </w:tc>
        <w:tc>
          <w:tcPr>
            <w:tcW w:w="0" w:type="dxa"/>
            <w:vAlign w:val="bottom"/>
          </w:tcPr>
          <w:p>
            <w:pPr>
              <w:spacing w:after="0"/>
              <w:rPr>
                <w:sz w:val="1"/>
                <w:szCs w:val="1"/>
                <w:color w:val="auto"/>
              </w:rPr>
            </w:pPr>
          </w:p>
        </w:tc>
      </w:tr>
      <w:tr>
        <w:trPr>
          <w:trHeight w:val="214"/>
        </w:trPr>
        <w:tc>
          <w:tcPr>
            <w:tcW w:w="34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Options (a)</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of Outstanding Options</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 column (a))</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14,815,109</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tcPr>
          <w:p>
            <w:pPr>
              <w:spacing w:after="0"/>
              <w:rPr>
                <w:sz w:val="21"/>
                <w:szCs w:val="2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14,815,109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CME Group's definitive proxy statement for the Annual Meeting of Shareholders to be held on May 8, 2025.</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appear in the Proxy Statement and is incorporated herein by reference.</w:t>
      </w:r>
    </w:p>
    <w:p>
      <w:pPr>
        <w:spacing w:after="0" w:line="1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Financial Statement Schedules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at December 31, 2024 and 2023</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2024, 2023 and 2022</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2024, 2023 and 2022</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 Schedule is filed as part of this Annual Report on Form 10-K:</w:t>
      </w:r>
    </w:p>
    <w:p>
      <w:pPr>
        <w:spacing w:after="0" w:line="1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write-offs of doubtful accounts, foreign currency and write-offs of fully reserved deferred tax assets.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08"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 Exhibits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2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52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147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07" w:lineRule="exact"/>
        <w:rPr>
          <w:sz w:val="20"/>
          <w:szCs w:val="20"/>
          <w:color w:val="auto"/>
        </w:rPr>
      </w:pPr>
    </w:p>
    <w:p>
      <w:pPr>
        <w:ind w:left="1260" w:hanging="1234"/>
        <w:spacing w:after="0"/>
        <w:tabs>
          <w:tab w:leader="none" w:pos="126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3.1</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Fourth Amended and Restated Certificate of Incorporation of CME Group Inc., as amended (incorporated by</w:t>
              </w:r>
            </w:hyperlink>
          </w:p>
        </w:tc>
      </w:tr>
      <w:tr>
        <w:trPr>
          <w:trHeight w:val="156"/>
        </w:trPr>
        <w:tc>
          <w:tcPr>
            <w:tcW w:w="12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3.2 to CME Group Inc.'s Current Report on Form 8-K, filed with the SEC on November</w:t>
              </w:r>
            </w:hyperlink>
          </w:p>
        </w:tc>
        <w:tc>
          <w:tcPr>
            <w:tcW w:w="660" w:type="dxa"/>
            <w:vAlign w:val="bottom"/>
            <w:tcBorders>
              <w:bottom w:val="single" w:sz="8" w:color="0000FF"/>
            </w:tcBorders>
            <w:gridSpan w:val="3"/>
          </w:tcPr>
          <w:p>
            <w:pPr>
              <w:jc w:val="right"/>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4, 2021).</w:t>
              </w:r>
            </w:hyperlink>
          </w:p>
        </w:tc>
      </w:tr>
      <w:tr>
        <w:trPr>
          <w:trHeight w:val="27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3.2</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Seventeenth Amended and Restated Bylaws of CME Group Inc. (incorporated by reference to Exhibit 3.1 to CME</w:t>
              </w:r>
            </w:hyperlink>
          </w:p>
        </w:tc>
      </w:tr>
      <w:tr>
        <w:trPr>
          <w:trHeight w:val="156"/>
        </w:trPr>
        <w:tc>
          <w:tcPr>
            <w:tcW w:w="1240" w:type="dxa"/>
            <w:vAlign w:val="bottom"/>
          </w:tcPr>
          <w:p>
            <w:pPr>
              <w:spacing w:after="0"/>
              <w:rPr>
                <w:sz w:val="13"/>
                <w:szCs w:val="13"/>
                <w:color w:val="auto"/>
              </w:rPr>
            </w:pPr>
          </w:p>
        </w:tc>
        <w:tc>
          <w:tcPr>
            <w:tcW w:w="61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Group Inc.’s Current Report on Form 8-K, filed with the SEC on December 9, 2022).</w:t>
              </w:r>
            </w:hyperlink>
          </w:p>
        </w:tc>
        <w:tc>
          <w:tcPr>
            <w:tcW w:w="208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3.3</w:t>
            </w:r>
          </w:p>
        </w:tc>
        <w:tc>
          <w:tcPr>
            <w:tcW w:w="8500" w:type="dxa"/>
            <w:vAlign w:val="bottom"/>
            <w:gridSpan w:val="6"/>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Certificate of Designations of Series G Non-Voting Convertible Preferred Stock (incorporated by reference to Exhibit</w:t>
              </w:r>
            </w:hyperlink>
          </w:p>
        </w:tc>
      </w:tr>
      <w:tr>
        <w:trPr>
          <w:trHeight w:val="156"/>
        </w:trPr>
        <w:tc>
          <w:tcPr>
            <w:tcW w:w="1240" w:type="dxa"/>
            <w:vAlign w:val="bottom"/>
          </w:tcPr>
          <w:p>
            <w:pPr>
              <w:spacing w:after="0"/>
              <w:rPr>
                <w:sz w:val="13"/>
                <w:szCs w:val="13"/>
                <w:color w:val="auto"/>
              </w:rPr>
            </w:pPr>
          </w:p>
        </w:tc>
        <w:tc>
          <w:tcPr>
            <w:tcW w:w="84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CME Group Inc.'s Current Report on Form 8-K, filed with the SEC on November 4, 2021).</w:t>
              </w:r>
            </w:hyperlink>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6" w:lineRule="exact"/>
        <w:rPr>
          <w:sz w:val="20"/>
          <w:szCs w:val="20"/>
          <w:color w:val="auto"/>
        </w:rPr>
      </w:pPr>
    </w:p>
    <w:p>
      <w:pPr>
        <w:ind w:left="1260" w:hanging="1234"/>
        <w:spacing w:after="0"/>
        <w:tabs>
          <w:tab w:leader="none" w:pos="126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Instruments Defining the Rights of Security Holders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4.1</w:t>
            </w:r>
          </w:p>
        </w:tc>
        <w:tc>
          <w:tcPr>
            <w:tcW w:w="8500" w:type="dxa"/>
            <w:vAlign w:val="bottom"/>
            <w:gridSpan w:val="10"/>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Amended and Restated Commercial Paper Dealer Agreement, dated as of October 20, 2014, among CME Group Inc.,</w:t>
              </w:r>
            </w:hyperlink>
          </w:p>
        </w:tc>
      </w:tr>
      <w:tr>
        <w:trPr>
          <w:trHeight w:val="156"/>
        </w:trPr>
        <w:tc>
          <w:tcPr>
            <w:tcW w:w="1240" w:type="dxa"/>
            <w:vAlign w:val="bottom"/>
          </w:tcPr>
          <w:p>
            <w:pPr>
              <w:spacing w:after="0"/>
              <w:rPr>
                <w:sz w:val="13"/>
                <w:szCs w:val="13"/>
                <w:color w:val="auto"/>
              </w:rPr>
            </w:pPr>
          </w:p>
        </w:tc>
        <w:tc>
          <w:tcPr>
            <w:tcW w:w="84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as Issuer, and Barclays Capital Inc., as Dealer (incorporated by reference to Exhibit 4.1 to CME Group Inc.'s Form</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10-K, filed with the SEC on February 26, 2015).</w:t>
              </w:r>
            </w:hyperlink>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1"/>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4.2</w:t>
            </w:r>
          </w:p>
        </w:tc>
        <w:tc>
          <w:tcPr>
            <w:tcW w:w="8500" w:type="dxa"/>
            <w:vAlign w:val="bottom"/>
            <w:gridSpan w:val="1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r>
      <w:tr>
        <w:trPr>
          <w:trHeight w:val="156"/>
        </w:trPr>
        <w:tc>
          <w:tcPr>
            <w:tcW w:w="1240" w:type="dxa"/>
            <w:vAlign w:val="bottom"/>
          </w:tcPr>
          <w:p>
            <w:pPr>
              <w:spacing w:after="0"/>
              <w:rPr>
                <w:sz w:val="13"/>
                <w:szCs w:val="13"/>
                <w:color w:val="auto"/>
              </w:rPr>
            </w:pPr>
          </w:p>
        </w:tc>
        <w:tc>
          <w:tcPr>
            <w:tcW w:w="82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Exhibit 4.3 to CME Group Inc.'s 10-K, filed with the SEC on February 26, 2015).</w:t>
              </w:r>
            </w:hyperlink>
          </w:p>
        </w:tc>
        <w:tc>
          <w:tcPr>
            <w:tcW w:w="216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7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4.3</w:t>
            </w:r>
          </w:p>
        </w:tc>
        <w:tc>
          <w:tcPr>
            <w:tcW w:w="82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Amended and Restated Commercial Paper Dealer Agreement, dated as of October 20, 2014, between CME Group</w:t>
              </w:r>
            </w:hyperlink>
          </w:p>
        </w:tc>
        <w:tc>
          <w:tcPr>
            <w:tcW w:w="260" w:type="dxa"/>
            <w:vAlign w:val="bottom"/>
            <w:gridSpan w:val="4"/>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8500" w:type="dxa"/>
            <w:vAlign w:val="bottom"/>
            <w:gridSpan w:val="10"/>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 as Issuer, and Goldman, Sachs &amp; Co., as Dealer (incorporated by reference to Exhibit 4.4 to CME Group Inc.'s</w:t>
              </w:r>
            </w:hyperlink>
          </w:p>
        </w:tc>
      </w:tr>
      <w:tr>
        <w:trPr>
          <w:trHeight w:val="155"/>
        </w:trPr>
        <w:tc>
          <w:tcPr>
            <w:tcW w:w="1240" w:type="dxa"/>
            <w:vAlign w:val="bottom"/>
          </w:tcPr>
          <w:p>
            <w:pPr>
              <w:spacing w:after="0"/>
              <w:rPr>
                <w:sz w:val="13"/>
                <w:szCs w:val="13"/>
                <w:color w:val="auto"/>
              </w:rPr>
            </w:pPr>
          </w:p>
        </w:tc>
        <w:tc>
          <w:tcPr>
            <w:tcW w:w="83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10-K, filed with the SEC on February 26, 2015).</w:t>
              </w:r>
            </w:hyperlink>
          </w:p>
        </w:tc>
        <w:tc>
          <w:tcPr>
            <w:tcW w:w="1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ind w:right="1620"/>
        <w:spacing w:after="0" w:line="263"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Indenture, dated August 12, 2008, between CME Group Inc. and U.S. Bank National Association (incorporated by</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reference to Exhibit 4.1 to CME Group Inc.’s Current Report on Form 8-K, filed with the SEC on August 13, 2008).</w:t>
        </w:r>
      </w:hyperlink>
    </w:p>
    <w:p>
      <w:pPr>
        <w:spacing w:after="0" w:line="17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Sixth Supplemental Indenture (including the form of 5.300% note due 2043), dated as of September 9, 2013, between</w:t>
        </w:r>
      </w:hyperlink>
    </w:p>
    <w:p>
      <w:pPr>
        <w:spacing w:after="0" w:line="14" w:lineRule="exact"/>
        <w:rPr>
          <w:sz w:val="20"/>
          <w:szCs w:val="20"/>
          <w:color w:val="auto"/>
        </w:rPr>
      </w:pPr>
    </w:p>
    <w:p>
      <w:pPr>
        <w:jc w:val="both"/>
        <w:ind w:right="1580"/>
        <w:spacing w:after="0" w:line="226"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CME Group Inc. and U.S. Bank National Association (incorporated by reference to Exhibit 4.2 to CME Group Inc.'s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Current Report on Form 8-K, filed with the SEC on September 9, 2013).</w:t>
        </w:r>
      </w:hyperlink>
    </w:p>
    <w:p>
      <w:pPr>
        <w:spacing w:after="0" w:line="144" w:lineRule="exact"/>
        <w:rPr>
          <w:sz w:val="20"/>
          <w:szCs w:val="20"/>
          <w:color w:val="auto"/>
        </w:rPr>
      </w:pPr>
    </w:p>
    <w:p>
      <w:pPr>
        <w:jc w:val="both"/>
        <w:ind w:right="1580"/>
        <w:spacing w:after="0" w:line="22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Seventh Supplemental Indenture (including the form of 3.000% note due 2025), dated as of March 9, 2015, between</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CME Group Inc. and U.S. Bank National Association (incorporated by reference to Exhibit 4.2 to CME Group Inc.'s</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Current Report on Form 8-K, filed with the SEC on March 9, 2015).</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720"/>
            <w:col w:w="998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8220" w:type="dxa"/>
            <w:vAlign w:val="bottom"/>
            <w:tcBorders>
              <w:bottom w:val="single" w:sz="8" w:color="0000FF"/>
            </w:tcBorders>
            <w:gridSpan w:val="5"/>
          </w:tcPr>
          <w:p>
            <w:pPr>
              <w:spacing w:after="0" w:line="203"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Eighth Supplemental Indenture (including the form of 3.750% note due 2028), dated as of June 21, 2018, between</w:t>
              </w:r>
            </w:hyperlink>
          </w:p>
        </w:tc>
        <w:tc>
          <w:tcPr>
            <w:tcW w:w="200" w:type="dxa"/>
            <w:vAlign w:val="bottom"/>
            <w:gridSpan w:val="4"/>
          </w:tcPr>
          <w:p>
            <w:pPr>
              <w:spacing w:after="0"/>
              <w:rPr>
                <w:sz w:val="17"/>
                <w:szCs w:val="17"/>
                <w:color w:val="auto"/>
              </w:rPr>
            </w:pPr>
          </w:p>
        </w:tc>
      </w:tr>
      <w:tr>
        <w:trPr>
          <w:trHeight w:val="155"/>
        </w:trPr>
        <w:tc>
          <w:tcPr>
            <w:tcW w:w="1240" w:type="dxa"/>
            <w:vAlign w:val="bottom"/>
          </w:tcPr>
          <w:p>
            <w:pPr>
              <w:spacing w:after="0"/>
              <w:rPr>
                <w:sz w:val="13"/>
                <w:szCs w:val="13"/>
                <w:color w:val="auto"/>
              </w:rPr>
            </w:pPr>
          </w:p>
        </w:tc>
        <w:tc>
          <w:tcPr>
            <w:tcW w:w="8420" w:type="dxa"/>
            <w:vAlign w:val="bottom"/>
            <w:gridSpan w:val="9"/>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CME Group Inc. and U.S. Bank National Association (incorporated by reference to Exhibit 4.2 to CME Group Inc.'s</w:t>
              </w:r>
            </w:hyperlink>
          </w:p>
        </w:tc>
      </w:tr>
      <w:tr>
        <w:trPr>
          <w:trHeight w:val="155"/>
        </w:trPr>
        <w:tc>
          <w:tcPr>
            <w:tcW w:w="1240" w:type="dxa"/>
            <w:vAlign w:val="bottom"/>
          </w:tcPr>
          <w:p>
            <w:pPr>
              <w:spacing w:after="0"/>
              <w:rPr>
                <w:sz w:val="13"/>
                <w:szCs w:val="13"/>
                <w:color w:val="auto"/>
              </w:rPr>
            </w:pPr>
          </w:p>
        </w:tc>
        <w:tc>
          <w:tcPr>
            <w:tcW w:w="84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Current Report on Form 8-K, filed with the SEC on June 21, 2018).</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8420" w:type="dxa"/>
            <w:vAlign w:val="bottom"/>
            <w:gridSpan w:val="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Ninth Supplemental Indenture (including the form of 4.150% note due 2048), dated as of June 21, 2018, between</w:t>
              </w:r>
            </w:hyperlink>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8420" w:type="dxa"/>
            <w:vAlign w:val="bottom"/>
            <w:gridSpan w:val="9"/>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CME Group Inc. and U.S. Bank National Association (incorporated by reference to Exhibit 4.3 to CME Group Inc.'s</w:t>
              </w:r>
            </w:hyperlink>
          </w:p>
        </w:tc>
      </w:tr>
      <w:tr>
        <w:trPr>
          <w:trHeight w:val="156"/>
        </w:trPr>
        <w:tc>
          <w:tcPr>
            <w:tcW w:w="1240" w:type="dxa"/>
            <w:vAlign w:val="bottom"/>
          </w:tcPr>
          <w:p>
            <w:pPr>
              <w:spacing w:after="0"/>
              <w:rPr>
                <w:sz w:val="13"/>
                <w:szCs w:val="13"/>
                <w:color w:val="auto"/>
              </w:rPr>
            </w:pPr>
          </w:p>
        </w:tc>
        <w:tc>
          <w:tcPr>
            <w:tcW w:w="84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Current Report on Form 8-K, filed with the SEC on June 21, 2018).</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8420" w:type="dxa"/>
            <w:vAlign w:val="bottom"/>
            <w:gridSpan w:val="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Tenth Supplemental Indenture (including the form of 2.650% Notes due 2032), dated as of March 8, 2022, between</w:t>
              </w:r>
            </w:hyperlink>
          </w:p>
        </w:tc>
      </w:tr>
      <w:tr>
        <w:trPr>
          <w:trHeight w:val="155"/>
        </w:trPr>
        <w:tc>
          <w:tcPr>
            <w:tcW w:w="1240" w:type="dxa"/>
            <w:vAlign w:val="bottom"/>
          </w:tcPr>
          <w:p>
            <w:pPr>
              <w:spacing w:after="0"/>
              <w:rPr>
                <w:sz w:val="13"/>
                <w:szCs w:val="13"/>
                <w:color w:val="auto"/>
              </w:rPr>
            </w:pPr>
          </w:p>
        </w:tc>
        <w:tc>
          <w:tcPr>
            <w:tcW w:w="83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CME Group Inc. and U.S. Bank Trust Company, National Association (incorporated by reference to Exhibit 4.2 to</w:t>
              </w:r>
            </w:hyperlink>
          </w:p>
        </w:tc>
        <w:tc>
          <w:tcPr>
            <w:tcW w:w="12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CME Group Inc.’s Current Report on Form 8-K filed with the SEC on March 8, 2022).</w:t>
              </w:r>
            </w:hyperlink>
          </w:p>
        </w:tc>
        <w:tc>
          <w:tcPr>
            <w:tcW w:w="198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3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8420" w:type="dxa"/>
            <w:vAlign w:val="bottom"/>
            <w:gridSpan w:val="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Description of securities (incorporated by reference to Exhibit 4.11 to CME Group Inc's Form 10-K, filed with the</w:t>
              </w:r>
            </w:hyperlink>
          </w:p>
        </w:tc>
      </w:tr>
      <w:tr>
        <w:trPr>
          <w:trHeight w:val="155"/>
        </w:trPr>
        <w:tc>
          <w:tcPr>
            <w:tcW w:w="124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SEC on February 2, 2022).</w:t>
              </w:r>
            </w:hyperlink>
          </w:p>
        </w:tc>
        <w:tc>
          <w:tcPr>
            <w:tcW w:w="6280" w:type="dxa"/>
            <w:vAlign w:val="bottom"/>
            <w:tcBorders>
              <w:top w:val="single" w:sz="8" w:color="0000FF"/>
            </w:tcBorders>
            <w:gridSpan w:val="4"/>
          </w:tcPr>
          <w:p>
            <w:pPr>
              <w:spacing w:after="0"/>
              <w:rPr>
                <w:sz w:val="13"/>
                <w:szCs w:val="13"/>
                <w:color w:val="auto"/>
              </w:rPr>
            </w:pPr>
          </w:p>
        </w:tc>
        <w:tc>
          <w:tcPr>
            <w:tcW w:w="200" w:type="dxa"/>
            <w:vAlign w:val="bottom"/>
            <w:gridSpan w:val="4"/>
          </w:tcPr>
          <w:p>
            <w:pPr>
              <w:spacing w:after="0"/>
              <w:rPr>
                <w:sz w:val="13"/>
                <w:szCs w:val="13"/>
                <w:color w:val="auto"/>
              </w:rPr>
            </w:pPr>
          </w:p>
        </w:tc>
      </w:tr>
    </w:tbl>
    <w:p>
      <w:pPr>
        <w:spacing w:after="0" w:line="86" w:lineRule="exact"/>
        <w:rPr>
          <w:sz w:val="20"/>
          <w:szCs w:val="20"/>
          <w:color w:val="auto"/>
        </w:rPr>
      </w:pPr>
    </w:p>
    <w:p>
      <w:pPr>
        <w:ind w:left="1260" w:hanging="1234"/>
        <w:spacing w:after="0"/>
        <w:tabs>
          <w:tab w:leader="none" w:pos="126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CME Group Inc. Fourth Amended and Restated Omnibus Stock Plan, amended and restated as of March 1, 2024</w:t>
              </w:r>
            </w:hyperlink>
          </w:p>
        </w:tc>
      </w:tr>
      <w:tr>
        <w:trPr>
          <w:trHeight w:val="155"/>
        </w:trPr>
        <w:tc>
          <w:tcPr>
            <w:tcW w:w="126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(incorporated by reference to Exhibit 10.1 to CME Group Inc.’s Form 8-K, filed with the SEC on March 7, 2024)</w:t>
              </w:r>
            </w:hyperlink>
          </w:p>
        </w:tc>
        <w:tc>
          <w:tcPr>
            <w:tcW w:w="100" w:type="dxa"/>
            <w:vAlign w:val="bottom"/>
            <w:tcBorders>
              <w:bottom w:val="single" w:sz="8" w:color="0000FF"/>
            </w:tcBorders>
          </w:tcPr>
          <w:p>
            <w:pPr>
              <w:jc w:val="right"/>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w:t>
              </w:r>
            </w:hyperlink>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CME Group Inc. Director Stock Plan, amended and restated as of May 4, 2022 (incorporated by reference to Exhibit</w:t>
              </w:r>
            </w:hyperlink>
          </w:p>
        </w:tc>
      </w:tr>
      <w:tr>
        <w:trPr>
          <w:trHeight w:val="155"/>
        </w:trPr>
        <w:tc>
          <w:tcPr>
            <w:tcW w:w="126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99.</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CME Group Inc.’s Form S-8, filed with the SEC on June 9, 2022).</w:t>
              </w:r>
            </w:hyperlink>
          </w:p>
        </w:tc>
        <w:tc>
          <w:tcPr>
            <w:tcW w:w="30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Equity Stipend Grant Letter for Non-Executive Directors (incorporated by reference to Exhibit 10.5 to CME</w:t>
              </w:r>
            </w:hyperlink>
          </w:p>
        </w:tc>
      </w:tr>
      <w:tr>
        <w:trPr>
          <w:trHeight w:val="155"/>
        </w:trPr>
        <w:tc>
          <w:tcPr>
            <w:tcW w:w="1260" w:type="dxa"/>
            <w:vAlign w:val="bottom"/>
          </w:tcPr>
          <w:p>
            <w:pPr>
              <w:spacing w:after="0"/>
              <w:rPr>
                <w:sz w:val="13"/>
                <w:szCs w:val="13"/>
                <w:color w:val="auto"/>
              </w:rPr>
            </w:pPr>
          </w:p>
        </w:tc>
        <w:tc>
          <w:tcPr>
            <w:tcW w:w="4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Group Inc.'s Form 10-K, filed with the SEC on March 1, 2018).</w:t>
              </w:r>
            </w:hyperlink>
          </w:p>
        </w:tc>
        <w:tc>
          <w:tcPr>
            <w:tcW w:w="38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CME Group Inc. Employee Stock Purchase Plan, amended and restated as of May 4, 2022 (incorporated by reference</w:t>
              </w:r>
            </w:hyperlink>
          </w:p>
        </w:tc>
      </w:tr>
      <w:tr>
        <w:trPr>
          <w:trHeight w:val="155"/>
        </w:trPr>
        <w:tc>
          <w:tcPr>
            <w:tcW w:w="1260" w:type="dxa"/>
            <w:vAlign w:val="bottom"/>
          </w:tcPr>
          <w:p>
            <w:pPr>
              <w:spacing w:after="0"/>
              <w:rPr>
                <w:sz w:val="13"/>
                <w:szCs w:val="13"/>
                <w:color w:val="auto"/>
              </w:rPr>
            </w:pPr>
          </w:p>
        </w:tc>
        <w:tc>
          <w:tcPr>
            <w:tcW w:w="84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Exhibit 99.2 to CME Group Inc.’s Form S-8, filed with the SEC on June 9, 2022).</w:t>
              </w:r>
            </w:hyperlink>
          </w:p>
        </w:tc>
        <w:tc>
          <w:tcPr>
            <w:tcW w:w="1540" w:type="dxa"/>
            <w:vAlign w:val="bottom"/>
          </w:tcPr>
          <w:p>
            <w:pPr>
              <w:spacing w:after="0"/>
              <w:rPr>
                <w:sz w:val="13"/>
                <w:szCs w:val="13"/>
                <w:color w:val="auto"/>
              </w:rPr>
            </w:pPr>
          </w:p>
        </w:tc>
      </w:tr>
      <w:tr>
        <w:trPr>
          <w:trHeight w:val="911"/>
        </w:trPr>
        <w:tc>
          <w:tcPr>
            <w:tcW w:w="1260" w:type="dxa"/>
            <w:vAlign w:val="bottom"/>
          </w:tcPr>
          <w:p>
            <w:pPr>
              <w:spacing w:after="0"/>
              <w:rPr>
                <w:sz w:val="24"/>
                <w:szCs w:val="24"/>
                <w:color w:val="auto"/>
              </w:rPr>
            </w:pPr>
          </w:p>
        </w:tc>
        <w:tc>
          <w:tcPr>
            <w:tcW w:w="4580" w:type="dxa"/>
            <w:vAlign w:val="bottom"/>
            <w:tcBorders>
              <w:top w:val="single" w:sz="8" w:color="0000FF"/>
            </w:tcBorders>
          </w:tcPr>
          <w:p>
            <w:pPr>
              <w:ind w:left="4280"/>
              <w:spacing w:after="0"/>
              <w:rPr>
                <w:sz w:val="20"/>
                <w:szCs w:val="20"/>
                <w:color w:val="auto"/>
              </w:rPr>
            </w:pPr>
            <w:r>
              <w:rPr>
                <w:rFonts w:ascii="Times New Roman" w:cs="Times New Roman" w:eastAsia="Times New Roman" w:hAnsi="Times New Roman"/>
                <w:sz w:val="18"/>
                <w:szCs w:val="18"/>
                <w:color w:val="auto"/>
              </w:rPr>
              <w:t>91</w:t>
            </w:r>
          </w:p>
        </w:tc>
        <w:tc>
          <w:tcPr>
            <w:tcW w:w="7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60" w:type="dxa"/>
            <w:vAlign w:val="bottom"/>
            <w:gridSpan w:val="3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gridSpan w:val="34"/>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Third Amendment to Chicago Mercantile Exchange Inc. Senior Management Supplemental Deferred Savings Plan,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of December 6, 2023 (filed herewith). Second Amendment to Chicago Mercantile Exchange Inc. Senior Management</w:t>
              </w:r>
            </w:hyperlink>
          </w:p>
        </w:tc>
        <w:tc>
          <w:tcPr>
            <w:tcW w:w="1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Supplemental Deferred Savings Plan, as of June 1, 2023 (filed herewith). First Amendment to Chicago Mercantile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Exchange Inc. Senior Management Supplemental Deferred Savings Plan, as of January 1, 2020 (filed herewith).</w:t>
              </w:r>
            </w:hyperlink>
          </w:p>
        </w:tc>
        <w:tc>
          <w:tcPr>
            <w:tcW w:w="1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Chicago Mercantile Exchange Inc. Senior Management Supplemental Deferred Savings Plan (SMSDSP), Amended</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and Restated as of January 1, 2017 (incorporated by reference to Exhibit 10.1 to CME Group Inc.'s Form 10-Q,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with the SEC on August 2, 2017).</w:t>
              </w:r>
            </w:hyperlink>
          </w:p>
        </w:tc>
        <w:tc>
          <w:tcPr>
            <w:tcW w:w="596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Chicago Mercantile Exchange Inc. Directors' Deferred Compensation Plan, amended and restated as of January 1,</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2009 (incorporated by reference to Exhibit 10.9 to CME Group Inc.'s Form 10-K, filed with the SEC on March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44">
              <w:r>
                <w:rPr>
                  <w:rFonts w:ascii="Times New Roman" w:cs="Times New Roman" w:eastAsia="Times New Roman" w:hAnsi="Times New Roman"/>
                  <w:sz w:val="18"/>
                  <w:szCs w:val="18"/>
                  <w:color w:val="0000FF"/>
                  <w:w w:val="94"/>
                </w:rPr>
                <w:t>2009).</w:t>
              </w:r>
            </w:hyperlink>
          </w:p>
        </w:tc>
        <w:tc>
          <w:tcPr>
            <w:tcW w:w="7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Recognition and Retention Plan for Members of the COMEX Division of New York Mercantile Exchange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(incorporated by reference to Exhibit 10.11 to NYMEX Holdings, Inc.'s Form 10-K, filed with the SEC on</w:t>
              </w:r>
            </w:hyperlink>
          </w:p>
        </w:tc>
        <w:tc>
          <w:tcPr>
            <w:tcW w:w="2340" w:type="dxa"/>
            <w:vAlign w:val="bottom"/>
            <w:gridSpan w:val="28"/>
          </w:tcPr>
          <w:p>
            <w:pPr>
              <w:ind w:left="80"/>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March 29,</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2001)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Amendment to the Recognition and Retention Plan for Members of the COMEX Division of the New York</w:t>
              </w:r>
            </w:hyperlink>
          </w:p>
        </w:tc>
        <w:tc>
          <w:tcPr>
            <w:tcW w:w="18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Mercantile Exchange, dated October 22, 2015 (incorporated by reference to Exhibit 10.1 to CME Group Inc.'s Form</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10-Q, filed with the SEC on November 6, 2015).</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as Issuer, and Barclays Capital Inc., as Dealer (incorporated by reference to Exhibit 4.1 above).</w:t>
              </w:r>
            </w:hyperlink>
          </w:p>
        </w:tc>
        <w:tc>
          <w:tcPr>
            <w:tcW w:w="1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Exhibit 4.2 above).</w:t>
              </w:r>
            </w:hyperlink>
          </w:p>
        </w:tc>
        <w:tc>
          <w:tcPr>
            <w:tcW w:w="66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 as Issuer, and Goldman, Sachs &amp; Co., as Dealer (incorporated by reference to Exhibit 4.3 above).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No. 5 to Credit Agreement, dated as of April 28, 2021, among Chicago Mercantile Exchange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certain lenders, Bank of America, N.A., as Administrative Agent, and Citibank, N.A., as Collateral Agent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Collateral Monitoring Agent. The Amended Credit Agreement, as amended through Amendment No. 5, among</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0"/>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Chicago Mercantile Exchange Inc., certain lenders, Bank of America, N.A., as Administrative Agent, and Citibank,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N.A., as Collateral Agent and Collateral Monitoring Agent, is attached as Annex A to Amendment No. 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10.1 to CME Group Inc.'s Current Report on Form 8-K, filed with</w:t>
              </w:r>
            </w:hyperlink>
          </w:p>
        </w:tc>
        <w:tc>
          <w:tcPr>
            <w:tcW w:w="2440" w:type="dxa"/>
            <w:vAlign w:val="bottom"/>
            <w:gridSpan w:val="29"/>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the SEC on</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April 29, 2021).</w:t>
              </w:r>
            </w:hyperlink>
          </w:p>
        </w:tc>
        <w:tc>
          <w:tcPr>
            <w:tcW w:w="718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No. 6 to Credit Agreement, dated as of April 27, 2022, among Chicago Mercantile Exchange Inc., Bank</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of America, N.A., in its capacity as administrative agent, Citibank, N.A., in its capacity as collateral agent and</w:t>
              </w:r>
            </w:hyperlink>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collateral monitoring agent, and the banks party thereto. The Amended Credit Agreement, as amended through</w:t>
              </w:r>
            </w:hyperlink>
          </w:p>
        </w:tc>
        <w:tc>
          <w:tcPr>
            <w:tcW w:w="6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9"/>
          </w:tcPr>
          <w:p>
            <w:pPr>
              <w:spacing w:after="0"/>
              <w:rPr>
                <w:sz w:val="14"/>
                <w:szCs w:val="14"/>
                <w:color w:val="auto"/>
              </w:rPr>
            </w:pP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Amendment No. 6, among Chicago Mercantile Exchange Inc., each of the banks party thereto, Bank of America,</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9"/>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N.A., in its capacity as administrative agent, and Citibank, N.A., in its capacity as collateral agent and collateral</w:t>
              </w:r>
            </w:hyperlink>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9"/>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40"/>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monitoring agent, is attached as Annex A to Amendment No. 6 (incorporated by reference to Exhibit 10.1 to CME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Group Inc.’s Current Report on Form 8-K, filed with the SEC on April 28, 2022).</w:t>
              </w:r>
            </w:hyperlink>
          </w:p>
        </w:tc>
        <w:tc>
          <w:tcPr>
            <w:tcW w:w="220" w:type="dxa"/>
            <w:vAlign w:val="bottom"/>
            <w:gridSpan w:val="9"/>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Amendment No. 7 to Credit Agreement, dated as of April 26, 2023, among Chicago Mercantile Exchange Inc., 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of America, N.A., in its capacity as administrative agent, Citibank, N.A., in its capacity as collateral agent and</w:t>
              </w:r>
            </w:hyperlink>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collateral monitoring agent, and the banks party thereto. The Amended Credit Agreement, as amended through</w:t>
              </w:r>
            </w:hyperlink>
          </w:p>
        </w:tc>
        <w:tc>
          <w:tcPr>
            <w:tcW w:w="300" w:type="dxa"/>
            <w:vAlign w:val="bottom"/>
            <w:gridSpan w:val="10"/>
          </w:tcPr>
          <w:p>
            <w:pPr>
              <w:spacing w:after="0"/>
              <w:rPr>
                <w:sz w:val="14"/>
                <w:szCs w:val="14"/>
                <w:color w:val="auto"/>
              </w:rPr>
            </w:pPr>
          </w:p>
        </w:tc>
        <w:tc>
          <w:tcPr>
            <w:tcW w:w="280" w:type="dxa"/>
            <w:vAlign w:val="bottom"/>
            <w:gridSpan w:val="12"/>
          </w:tcPr>
          <w:p>
            <w:pPr>
              <w:spacing w:after="0"/>
              <w:rPr>
                <w:sz w:val="14"/>
                <w:szCs w:val="14"/>
                <w:color w:val="auto"/>
              </w:rPr>
            </w:pP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Amendment No. 7, among Chicago Mercantile Exchange Inc., each of the banks party thereto, Bank of America,</w:t>
              </w:r>
            </w:hyperlink>
          </w:p>
        </w:tc>
        <w:tc>
          <w:tcPr>
            <w:tcW w:w="240" w:type="dxa"/>
            <w:vAlign w:val="bottom"/>
            <w:gridSpan w:val="9"/>
          </w:tcPr>
          <w:p>
            <w:pPr>
              <w:spacing w:after="0"/>
              <w:rPr>
                <w:sz w:val="13"/>
                <w:szCs w:val="13"/>
                <w:color w:val="auto"/>
              </w:rPr>
            </w:pPr>
          </w:p>
        </w:tc>
        <w:tc>
          <w:tcPr>
            <w:tcW w:w="280" w:type="dxa"/>
            <w:vAlign w:val="bottom"/>
            <w:gridSpan w:val="12"/>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N.A., in its capacity as administrative agent, and Citibank, N.A., in its capacity as collateral agent and collateral</w:t>
              </w:r>
            </w:hyperlink>
          </w:p>
        </w:tc>
        <w:tc>
          <w:tcPr>
            <w:tcW w:w="60" w:type="dxa"/>
            <w:vAlign w:val="bottom"/>
            <w:tcBorders>
              <w:top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gridSpan w:val="12"/>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40"/>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monitoring agent, is attached as Annex A to Amendment No. 7 (incorporated by reference to Exhibit 10.1 to CME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Group Inc.’s Current Report on Form 8-K, filed with the SEC on April 28, 2023).</w:t>
              </w:r>
            </w:hyperlink>
          </w:p>
        </w:tc>
        <w:tc>
          <w:tcPr>
            <w:tcW w:w="220" w:type="dxa"/>
            <w:vAlign w:val="bottom"/>
            <w:gridSpan w:val="9"/>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8 to Credit Agreement, dated as of April 24, 2024, among Chicago Mercantile Exchange Inc., 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of America, N.A., in its capacity as administrative agent, Citibank, N.A., in its capacity as collateral agent and</w:t>
              </w:r>
            </w:hyperlink>
          </w:p>
        </w:tc>
        <w:tc>
          <w:tcPr>
            <w:tcW w:w="80" w:type="dxa"/>
            <w:vAlign w:val="bottom"/>
            <w:gridSpan w:val="3"/>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collateral monitoring agent, and the banks party thereto. The Amended Credit Agreement, as amended through</w:t>
              </w:r>
            </w:hyperlink>
          </w:p>
        </w:tc>
        <w:tc>
          <w:tcPr>
            <w:tcW w:w="300" w:type="dxa"/>
            <w:vAlign w:val="bottom"/>
            <w:gridSpan w:val="10"/>
          </w:tcPr>
          <w:p>
            <w:pPr>
              <w:spacing w:after="0"/>
              <w:rPr>
                <w:sz w:val="14"/>
                <w:szCs w:val="14"/>
                <w:color w:val="auto"/>
              </w:rPr>
            </w:pPr>
          </w:p>
        </w:tc>
        <w:tc>
          <w:tcPr>
            <w:tcW w:w="280" w:type="dxa"/>
            <w:vAlign w:val="bottom"/>
            <w:gridSpan w:val="12"/>
          </w:tcPr>
          <w:p>
            <w:pPr>
              <w:spacing w:after="0"/>
              <w:rPr>
                <w:sz w:val="14"/>
                <w:szCs w:val="14"/>
                <w:color w:val="auto"/>
              </w:rPr>
            </w:pP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Amendment No. 8, among Chicago Mercantile Exchange Inc., each of the banks party thereto, Bank of America,</w:t>
              </w:r>
            </w:hyperlink>
          </w:p>
        </w:tc>
        <w:tc>
          <w:tcPr>
            <w:tcW w:w="240" w:type="dxa"/>
            <w:vAlign w:val="bottom"/>
            <w:gridSpan w:val="9"/>
          </w:tcPr>
          <w:p>
            <w:pPr>
              <w:spacing w:after="0"/>
              <w:rPr>
                <w:sz w:val="13"/>
                <w:szCs w:val="13"/>
                <w:color w:val="auto"/>
              </w:rPr>
            </w:pPr>
          </w:p>
        </w:tc>
        <w:tc>
          <w:tcPr>
            <w:tcW w:w="280" w:type="dxa"/>
            <w:vAlign w:val="bottom"/>
            <w:gridSpan w:val="12"/>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N.A., in its capacity as administrative agent, and Citibank, N.A., in its capacity as collateral agent and collateral</w:t>
              </w:r>
            </w:hyperlink>
          </w:p>
        </w:tc>
        <w:tc>
          <w:tcPr>
            <w:tcW w:w="60" w:type="dxa"/>
            <w:vAlign w:val="bottom"/>
            <w:tcBorders>
              <w:top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gridSpan w:val="12"/>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40"/>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monitoring agent, is attached as Annex A to Amendment No. 8 (incorporated by reference to Exhibit 10.1 to CME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Group Inc.’s Current Report on Form 8-K, filed with the SEC on April 25, 2024).</w:t>
              </w:r>
            </w:hyperlink>
          </w:p>
        </w:tc>
        <w:tc>
          <w:tcPr>
            <w:tcW w:w="220" w:type="dxa"/>
            <w:vAlign w:val="bottom"/>
            <w:gridSpan w:val="9"/>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Equity Grant Letter for Restricted Shares (incorporated by reference to Exhibit 10.1 to CME Group Inc.'s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10-Q, filed with the SEC on November 3, 2021).</w:t>
              </w:r>
            </w:hyperlink>
          </w:p>
        </w:tc>
        <w:tc>
          <w:tcPr>
            <w:tcW w:w="280" w:type="dxa"/>
            <w:vAlign w:val="bottom"/>
            <w:gridSpan w:val="12"/>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20" w:type="dxa"/>
            <w:vAlign w:val="bottom"/>
            <w:gridSpan w:val="29"/>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Equity Grant Letter for Annual Grant of Performance Shares (incorporated by reference to Exhibit 10.1(1)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CME Group Inc.’s Form 10-Q, filed with the SEC on November 1, 2023)</w:t>
              </w:r>
            </w:hyperlink>
          </w:p>
        </w:tc>
        <w:tc>
          <w:tcPr>
            <w:tcW w:w="3220" w:type="dxa"/>
            <w:vAlign w:val="bottom"/>
            <w:tcBorders>
              <w:top w:val="single" w:sz="8" w:color="0000FF"/>
            </w:tcBorders>
            <w:gridSpan w:val="29"/>
          </w:tcPr>
          <w:p>
            <w:pPr>
              <w:spacing w:after="0"/>
              <w:rPr>
                <w:sz w:val="13"/>
                <w:szCs w:val="13"/>
                <w:color w:val="auto"/>
              </w:rPr>
            </w:pPr>
          </w:p>
        </w:tc>
        <w:tc>
          <w:tcPr>
            <w:tcW w:w="1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006"/>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8"/>
          </w:tcPr>
          <w:p>
            <w:pPr>
              <w:jc w:val="right"/>
              <w:ind w:right="820"/>
              <w:spacing w:after="0"/>
              <w:rPr>
                <w:sz w:val="20"/>
                <w:szCs w:val="20"/>
                <w:color w:val="auto"/>
              </w:rPr>
            </w:pPr>
            <w:r>
              <w:rPr>
                <w:rFonts w:ascii="Times New Roman" w:cs="Times New Roman" w:eastAsia="Times New Roman" w:hAnsi="Times New Roman"/>
                <w:sz w:val="18"/>
                <w:szCs w:val="18"/>
                <w:color w:val="auto"/>
              </w:rPr>
              <w:t>92</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980" w:type="dxa"/>
            <w:vAlign w:val="bottom"/>
            <w:tcBorders>
              <w:top w:val="single" w:sz="8" w:color="auto"/>
              <w:bottom w:val="single" w:sz="8" w:color="0000FF"/>
            </w:tcBorders>
            <w:gridSpan w:val="13"/>
          </w:tcPr>
          <w:p>
            <w:pPr>
              <w:spacing w:after="0" w:line="188"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Credit Agreement, dated as of November 12, 2021, among CME Group Inc., certain lenders, agents, arrangers,</w:t>
              </w:r>
            </w:hyperlink>
          </w:p>
        </w:tc>
        <w:tc>
          <w:tcPr>
            <w:tcW w:w="560" w:type="dxa"/>
            <w:vAlign w:val="bottom"/>
            <w:tcBorders>
              <w:top w:val="single" w:sz="8" w:color="auto"/>
            </w:tcBorders>
            <w:gridSpan w:val="8"/>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2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bookrunners, and Bank of America, N.A., as Administrative Agent (incorporated by reference to Exhibit 10.1 to CME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Group Inc.'s Current Report on Form 8-K, filed with the SEC on November 16, 2021).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License Agreement, dated June 29, 2012, between Standard &amp; Poor’s Financial Services LLC and Chicago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Mercantile Exchange Inc. (incorporated by reference to Exhibit 10.5 to CME Group Inc.'s Form 10-Q, filed</w:t>
              </w:r>
            </w:hyperlink>
          </w:p>
        </w:tc>
        <w:tc>
          <w:tcPr>
            <w:tcW w:w="20" w:type="dxa"/>
            <w:vAlign w:val="bottom"/>
          </w:tcPr>
          <w:p>
            <w:pPr>
              <w:spacing w:after="0"/>
              <w:rPr>
                <w:sz w:val="13"/>
                <w:szCs w:val="13"/>
                <w:color w:val="auto"/>
              </w:rPr>
            </w:pPr>
          </w:p>
        </w:tc>
        <w:tc>
          <w:tcPr>
            <w:tcW w:w="820" w:type="dxa"/>
            <w:vAlign w:val="bottom"/>
            <w:gridSpan w:val="9"/>
          </w:tcPr>
          <w:p>
            <w:pPr>
              <w:ind w:left="60"/>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with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 on August 3, 2022).</w:t>
              </w:r>
            </w:hyperlink>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CME Group Inc. Severance Plan, as amended and restated, effective March 7, 2023 (incorporated by reference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Exhibit 10.1 to CME Group Inc.’s Form 8-K, filed with the SEC on March 10, 2023).</w:t>
              </w:r>
            </w:hyperlink>
          </w:p>
        </w:tc>
        <w:tc>
          <w:tcPr>
            <w:tcW w:w="194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CME Group Inc. Annual Incentive Plan, as amended and restated effective as of October 2, 2023 (incorporated by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to Exhibit 10.2 to CME Group Inc.’s Form 8-K, filed with the SEC on November 13, 2023).</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Agreement, effective as of November 6, 2024, between CME Group Inc. and Terrence A.</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Duffy (incorporated by reference to Exhibit 10.1 to CME Group Inc.’s Form 8-K, filed with the SEC on November</w:t>
              </w:r>
            </w:hyperlink>
          </w:p>
        </w:tc>
        <w:tc>
          <w:tcPr>
            <w:tcW w:w="400" w:type="dxa"/>
            <w:vAlign w:val="bottom"/>
            <w:gridSpan w:val="7"/>
          </w:tcPr>
          <w:p>
            <w:pPr>
              <w:jc w:val="right"/>
              <w:ind w:right="80"/>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7,</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8">
              <w:r>
                <w:rPr>
                  <w:rFonts w:ascii="Times New Roman" w:cs="Times New Roman" w:eastAsia="Times New Roman" w:hAnsi="Times New Roman"/>
                  <w:sz w:val="18"/>
                  <w:szCs w:val="18"/>
                  <w:color w:val="0000FF"/>
                  <w:w w:val="94"/>
                </w:rPr>
                <w:t>2024).</w:t>
              </w:r>
            </w:hyperlink>
          </w:p>
        </w:tc>
        <w:tc>
          <w:tcPr>
            <w:tcW w:w="13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CME Group Inc. Personal Trading Policy.</w:t>
            </w:r>
          </w:p>
        </w:tc>
        <w:tc>
          <w:tcPr>
            <w:tcW w:w="5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List of Subsidiaries of CME Group Inc.</w:t>
            </w: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w:t>
            </w:r>
          </w:p>
        </w:tc>
        <w:tc>
          <w:tcPr>
            <w:tcW w:w="540" w:type="dxa"/>
            <w:vAlign w:val="bottom"/>
            <w:tcBorders>
              <w:top w:val="single" w:sz="8" w:color="0000FF"/>
            </w:tcBorders>
          </w:tcPr>
          <w:p>
            <w:pPr>
              <w:spacing w:after="0"/>
              <w:rPr>
                <w:sz w:val="24"/>
                <w:szCs w:val="24"/>
                <w:color w:val="auto"/>
              </w:rPr>
            </w:pPr>
          </w:p>
        </w:tc>
        <w:tc>
          <w:tcPr>
            <w:tcW w:w="5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Section 302—Certification of Terrence A. Duffy.</w:t>
            </w: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Section 302—Certification of Lynne Fitzpatrick.</w:t>
            </w:r>
          </w:p>
        </w:tc>
        <w:tc>
          <w:tcPr>
            <w:tcW w:w="20" w:type="dxa"/>
            <w:vAlign w:val="bottom"/>
            <w:tcBorders>
              <w:top w:val="single" w:sz="8" w:color="0000FF"/>
            </w:tcBorders>
          </w:tcPr>
          <w:p>
            <w:pPr>
              <w:spacing w:after="0"/>
              <w:rPr>
                <w:sz w:val="22"/>
                <w:szCs w:val="22"/>
                <w:color w:val="auto"/>
              </w:rPr>
            </w:pPr>
          </w:p>
        </w:tc>
        <w:tc>
          <w:tcPr>
            <w:tcW w:w="502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CME Group Inc. Compensation Recoupment Policy for Executive Officers effective as of October 2, 2023.</w:t>
              </w:r>
            </w:hyperlink>
          </w:p>
        </w:tc>
        <w:tc>
          <w:tcPr>
            <w:tcW w:w="8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60" w:right="399" w:hanging="1234"/>
        <w:spacing w:after="0" w:line="220"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Annual Report on Form 10-K for the year ended December 31, 2024,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the Notes to Consolidated Financial Statements, tagged as blocks of text.</w:t>
      </w:r>
    </w:p>
    <w:p>
      <w:pPr>
        <w:spacing w:after="0" w:line="64" w:lineRule="exact"/>
        <w:rPr>
          <w:sz w:val="20"/>
          <w:szCs w:val="20"/>
          <w:color w:val="auto"/>
        </w:rPr>
      </w:pPr>
    </w:p>
    <w:p>
      <w:pPr>
        <w:ind w:left="1260" w:right="979" w:hanging="1234"/>
        <w:spacing w:after="0" w:line="237"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CME Group Inc.'s Annual Report on Form 10-K for the year ended December 31, 2024, formatted in Inline XBRL.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6" w:lineRule="exact"/>
        <w:rPr>
          <w:sz w:val="20"/>
          <w:szCs w:val="20"/>
          <w:color w:val="auto"/>
        </w:rPr>
      </w:pPr>
    </w:p>
    <w:p>
      <w:pPr>
        <w:ind w:left="1340" w:hanging="1314"/>
        <w:spacing w:after="0"/>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27th day of February, 2025.</w:t>
      </w:r>
    </w:p>
    <w:p>
      <w:pPr>
        <w:spacing w:after="0" w:line="1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297" w:lineRule="exact"/>
        <w:rPr>
          <w:sz w:val="20"/>
          <w:szCs w:val="20"/>
          <w:color w:val="auto"/>
        </w:rPr>
      </w:pPr>
    </w:p>
    <w:p>
      <w:pPr>
        <w:ind w:left="552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89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Lynne Fitzpatrick</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Senior Managing Director, President and Chief Financial Officer</w:t>
      </w:r>
    </w:p>
    <w:p>
      <w:pPr>
        <w:spacing w:after="0" w:line="304"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in the City of Chicago and State of Illinois on the 27th day of February, 2025.</w:t>
      </w: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480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8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Terrence A. Duffy</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Lynne Fitzpatrick</w:t>
      </w:r>
    </w:p>
    <w:p>
      <w:pPr>
        <w:spacing w:after="0" w:line="102" w:lineRule="exact"/>
        <w:rPr>
          <w:sz w:val="20"/>
          <w:szCs w:val="20"/>
          <w:color w:val="auto"/>
        </w:rPr>
      </w:pPr>
    </w:p>
    <w:p>
      <w:pPr>
        <w:jc w:val="center"/>
        <w:ind w:left="50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JACK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Jack Tobin</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KATHRYN BENESH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Kathryn Benesh</w:t>
      </w:r>
    </w:p>
    <w:p>
      <w:pPr>
        <w:spacing w:after="0" w:line="142" w:lineRule="exact"/>
        <w:rPr>
          <w:sz w:val="20"/>
          <w:szCs w:val="20"/>
          <w:color w:val="auto"/>
        </w:rPr>
      </w:pPr>
    </w:p>
    <w:p>
      <w:pPr>
        <w:ind w:left="1360"/>
        <w:spacing w:after="0"/>
        <w:tabs>
          <w:tab w:leader="none" w:pos="17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TIMOTHY S. BITSBERGER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Timothy S. Bitsberger</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CHARLES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Charles P. Carey</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ELIZABETH A.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Elizabeth A. Cook</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BRYAN T.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Bryan T. Durkin</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HAROLD 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Harold Ford Jr.</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MARTIN J. GEPSMAN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Martin J. Gepsman</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LARRY G. GERDES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Larry G. Gerdes</w:t>
      </w:r>
    </w:p>
    <w:p>
      <w:pPr>
        <w:spacing w:after="0" w:line="102" w:lineRule="exact"/>
        <w:rPr>
          <w:sz w:val="20"/>
          <w:szCs w:val="20"/>
          <w:color w:val="auto"/>
        </w:rPr>
      </w:pPr>
    </w:p>
    <w:p>
      <w:pPr>
        <w:jc w:val="center"/>
        <w:ind w:left="48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DANIEL R.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Daniel R. Glickman</w:t>
      </w:r>
    </w:p>
    <w:p>
      <w:pPr>
        <w:spacing w:after="0" w:line="1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WILLIAM W. HOBERT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William W. Hobert</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DANIEL G.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Daniel G. Kaye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3531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Director and Chief Executive Officer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Managing Director, President and Chief Financial Officer</w:t>
      </w:r>
    </w:p>
    <w:p>
      <w:pPr>
        <w:spacing w:after="0" w:line="31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Managing Director and Chief Accounting Officer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0" w:lineRule="exact"/>
        <w:rPr>
          <w:sz w:val="20"/>
          <w:szCs w:val="20"/>
          <w:color w:val="auto"/>
        </w:rPr>
      </w:pPr>
    </w:p>
    <w:p>
      <w:pPr>
        <w:sectPr>
          <w:pgSz w:w="11900" w:h="16838" w:orient="portrait"/>
          <w:cols w:equalWidth="0" w:num="2">
            <w:col w:w="4980" w:space="720"/>
            <w:col w:w="5420"/>
          </w:cols>
          <w:pgMar w:left="320" w:top="11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8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PHYLLIS M. LOCKETT</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Phyllis M. Lockett</w:t>
            </w:r>
          </w:p>
        </w:tc>
        <w:tc>
          <w:tcPr>
            <w:tcW w:w="1220" w:type="dxa"/>
            <w:vAlign w:val="bottom"/>
          </w:tcPr>
          <w:p>
            <w:pPr>
              <w:spacing w:after="0"/>
              <w:rPr>
                <w:sz w:val="15"/>
                <w:szCs w:val="15"/>
                <w:color w:val="auto"/>
              </w:rPr>
            </w:pPr>
          </w:p>
        </w:tc>
      </w:tr>
      <w:tr>
        <w:trPr>
          <w:trHeight w:val="350"/>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DEBORAH J. LUCAS</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Deborah J. Lucas</w:t>
            </w:r>
          </w:p>
        </w:tc>
        <w:tc>
          <w:tcPr>
            <w:tcW w:w="1220" w:type="dxa"/>
            <w:vAlign w:val="bottom"/>
          </w:tcPr>
          <w:p>
            <w:pPr>
              <w:spacing w:after="0"/>
              <w:rPr>
                <w:sz w:val="15"/>
                <w:szCs w:val="15"/>
                <w:color w:val="auto"/>
              </w:rPr>
            </w:pPr>
          </w:p>
        </w:tc>
      </w:tr>
      <w:tr>
        <w:trPr>
          <w:trHeight w:val="29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PATRICK W. MALONEY</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Patrick W. Maloney</w:t>
            </w:r>
          </w:p>
        </w:tc>
        <w:tc>
          <w:tcPr>
            <w:tcW w:w="1220" w:type="dxa"/>
            <w:vAlign w:val="bottom"/>
          </w:tcPr>
          <w:p>
            <w:pPr>
              <w:spacing w:after="0"/>
              <w:rPr>
                <w:sz w:val="15"/>
                <w:szCs w:val="15"/>
                <w:color w:val="auto"/>
              </w:rPr>
            </w:pPr>
          </w:p>
        </w:tc>
      </w:tr>
      <w:tr>
        <w:trPr>
          <w:trHeight w:val="33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PATRICK J. MULCHRONE</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Patrick J. Mulchrone</w:t>
            </w:r>
          </w:p>
        </w:tc>
        <w:tc>
          <w:tcPr>
            <w:tcW w:w="1220" w:type="dxa"/>
            <w:vAlign w:val="bottom"/>
          </w:tcPr>
          <w:p>
            <w:pPr>
              <w:spacing w:after="0"/>
              <w:rPr>
                <w:sz w:val="15"/>
                <w:szCs w:val="15"/>
                <w:color w:val="auto"/>
              </w:rPr>
            </w:pPr>
          </w:p>
        </w:tc>
      </w:tr>
      <w:tr>
        <w:trPr>
          <w:trHeight w:val="33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/S/ TERRY L. SAVAGE</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Terry L. Savage</w:t>
            </w:r>
          </w:p>
        </w:tc>
        <w:tc>
          <w:tcPr>
            <w:tcW w:w="1220" w:type="dxa"/>
            <w:vAlign w:val="bottom"/>
          </w:tcPr>
          <w:p>
            <w:pPr>
              <w:spacing w:after="0"/>
              <w:rPr>
                <w:sz w:val="15"/>
                <w:szCs w:val="15"/>
                <w:color w:val="auto"/>
              </w:rPr>
            </w:pPr>
          </w:p>
        </w:tc>
      </w:tr>
      <w:tr>
        <w:trPr>
          <w:trHeight w:val="309"/>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8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RAHAEL SEIFU</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Rahael Seifu</w:t>
            </w:r>
          </w:p>
        </w:tc>
        <w:tc>
          <w:tcPr>
            <w:tcW w:w="1220" w:type="dxa"/>
            <w:vAlign w:val="bottom"/>
          </w:tcPr>
          <w:p>
            <w:pPr>
              <w:spacing w:after="0"/>
              <w:rPr>
                <w:sz w:val="15"/>
                <w:szCs w:val="15"/>
                <w:color w:val="auto"/>
              </w:rPr>
            </w:pPr>
          </w:p>
        </w:tc>
      </w:tr>
      <w:tr>
        <w:trPr>
          <w:trHeight w:val="350"/>
        </w:trPr>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Times New Roman" w:cs="Times New Roman" w:eastAsia="Times New Roman" w:hAnsi="Times New Roman"/>
                <w:sz w:val="18"/>
                <w:szCs w:val="18"/>
                <w:color w:val="auto"/>
                <w:w w:val="99"/>
              </w:rPr>
              <w:t>WILLIAM R. SHEPARD</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William R. Shepard</w:t>
            </w:r>
          </w:p>
        </w:tc>
        <w:tc>
          <w:tcPr>
            <w:tcW w:w="1220" w:type="dxa"/>
            <w:vAlign w:val="bottom"/>
          </w:tcPr>
          <w:p>
            <w:pPr>
              <w:spacing w:after="0"/>
              <w:rPr>
                <w:sz w:val="15"/>
                <w:szCs w:val="15"/>
                <w:color w:val="auto"/>
              </w:rPr>
            </w:pPr>
          </w:p>
        </w:tc>
      </w:tr>
      <w:tr>
        <w:trPr>
          <w:trHeight w:val="309"/>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HOWARD J. SIEGEL</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Howard J. Siegel</w:t>
            </w:r>
          </w:p>
        </w:tc>
        <w:tc>
          <w:tcPr>
            <w:tcW w:w="1220" w:type="dxa"/>
            <w:vAlign w:val="bottom"/>
          </w:tcPr>
          <w:p>
            <w:pPr>
              <w:spacing w:after="0"/>
              <w:rPr>
                <w:sz w:val="15"/>
                <w:szCs w:val="15"/>
                <w:color w:val="auto"/>
              </w:rPr>
            </w:pPr>
          </w:p>
        </w:tc>
      </w:tr>
      <w:tr>
        <w:trPr>
          <w:trHeight w:val="309"/>
        </w:trPr>
        <w:tc>
          <w:tcPr>
            <w:tcW w:w="19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Times New Roman" w:cs="Times New Roman" w:eastAsia="Times New Roman" w:hAnsi="Times New Roman"/>
                <w:sz w:val="18"/>
                <w:szCs w:val="18"/>
                <w:color w:val="auto"/>
                <w:w w:val="99"/>
              </w:rPr>
              <w:t>DENNIS A. SUSKIND</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Lead 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Dennis A. Suskind</w:t>
            </w:r>
          </w:p>
        </w:tc>
        <w:tc>
          <w:tcPr>
            <w:tcW w:w="1220" w:type="dxa"/>
            <w:vAlign w:val="bottom"/>
          </w:tcPr>
          <w:p>
            <w:pPr>
              <w:spacing w:after="0"/>
              <w:rPr>
                <w:sz w:val="15"/>
                <w:szCs w:val="15"/>
                <w:color w:val="auto"/>
              </w:rPr>
            </w:pPr>
          </w:p>
        </w:tc>
      </w:tr>
      <w:tr>
        <w:trPr>
          <w:trHeight w:val="309"/>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ROBERT J. TIERNEY JR.</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Robert J. Tierney Jr.</w:t>
            </w:r>
          </w:p>
        </w:tc>
        <w:tc>
          <w:tcPr>
            <w:tcW w:w="1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139"/>
          </w:cols>
          <w:pgMar w:left="320" w:top="118"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20"/>
          <w:szCs w:val="20"/>
          <w:b w:val="1"/>
          <w:bCs w:val="1"/>
          <w:color w:val="auto"/>
        </w:rPr>
        <w:t>FINAL</w:t>
      </w:r>
      <w:r>
        <w:rPr>
          <w:sz w:val="20"/>
          <w:szCs w:val="20"/>
          <w:color w:val="auto"/>
        </w:rPr>
        <w:tab/>
      </w:r>
      <w:r>
        <w:rPr>
          <w:rFonts w:ascii="Arial" w:cs="Arial" w:eastAsia="Arial" w:hAnsi="Arial"/>
          <w:sz w:val="19"/>
          <w:szCs w:val="19"/>
          <w:b w:val="1"/>
          <w:bCs w:val="1"/>
          <w:color w:val="auto"/>
        </w:rPr>
        <w:t>CME GROUP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83185</wp:posOffset>
            </wp:positionV>
            <wp:extent cx="2468880" cy="908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24688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960"/>
        <w:spacing w:after="0"/>
        <w:rPr>
          <w:sz w:val="20"/>
          <w:szCs w:val="20"/>
          <w:color w:val="auto"/>
        </w:rPr>
      </w:pPr>
      <w:r>
        <w:rPr>
          <w:rFonts w:ascii="Arial" w:cs="Arial" w:eastAsia="Arial" w:hAnsi="Arial"/>
          <w:sz w:val="22"/>
          <w:szCs w:val="22"/>
          <w:b w:val="1"/>
          <w:bCs w:val="1"/>
          <w:i w:val="1"/>
          <w:iCs w:val="1"/>
          <w:color w:val="0070B9"/>
        </w:rPr>
        <w:t>LEADING WITH CONVICTION AND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207645</wp:posOffset>
            </wp:positionV>
            <wp:extent cx="8890" cy="977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20" w:type="dxa"/>
            <w:vAlign w:val="bottom"/>
            <w:tcBorders>
              <w:top w:val="single" w:sz="8" w:color="auto"/>
              <w:left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b w:val="1"/>
                <w:bCs w:val="1"/>
                <w:i w:val="1"/>
                <w:iCs w:val="1"/>
                <w:color w:val="auto"/>
              </w:rPr>
              <w:t>PERSONAL TRADING</w:t>
            </w:r>
          </w:p>
        </w:tc>
        <w:tc>
          <w:tcPr>
            <w:tcW w:w="32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CME Group Policy Document No. and Version</w:t>
            </w:r>
          </w:p>
        </w:tc>
        <w:tc>
          <w:tcPr>
            <w:tcW w:w="4020" w:type="dxa"/>
            <w:vAlign w:val="bottom"/>
            <w:tcBorders>
              <w:top w:val="single" w:sz="8" w:color="auto"/>
              <w:right w:val="single" w:sz="8" w:color="auto"/>
            </w:tcBorders>
          </w:tcPr>
          <w:p>
            <w:pPr>
              <w:jc w:val="center"/>
              <w:ind w:left="149"/>
              <w:spacing w:after="0"/>
              <w:rPr>
                <w:sz w:val="20"/>
                <w:szCs w:val="20"/>
                <w:color w:val="auto"/>
              </w:rPr>
            </w:pPr>
            <w:r>
              <w:rPr>
                <w:rFonts w:ascii="Arial" w:cs="Arial" w:eastAsia="Arial" w:hAnsi="Arial"/>
                <w:sz w:val="14"/>
                <w:szCs w:val="14"/>
                <w:b w:val="1"/>
                <w:bCs w:val="1"/>
                <w:color w:val="auto"/>
              </w:rPr>
              <w:t>0004</w:t>
            </w: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vMerge w:val="restart"/>
          </w:tcPr>
          <w:p>
            <w:pPr>
              <w:ind w:left="80"/>
              <w:spacing w:after="0" w:line="237" w:lineRule="exact"/>
              <w:rPr>
                <w:sz w:val="20"/>
                <w:szCs w:val="20"/>
                <w:color w:val="auto"/>
              </w:rPr>
            </w:pPr>
            <w:r>
              <w:rPr>
                <w:rFonts w:ascii="Arial" w:cs="Arial" w:eastAsia="Arial" w:hAnsi="Arial"/>
                <w:sz w:val="22"/>
                <w:szCs w:val="22"/>
                <w:b w:val="1"/>
                <w:bCs w:val="1"/>
                <w:i w:val="1"/>
                <w:iCs w:val="1"/>
                <w:color w:val="auto"/>
              </w:rPr>
              <w:t>POLICY</w:t>
            </w: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No:</w:t>
            </w:r>
          </w:p>
        </w:tc>
        <w:tc>
          <w:tcPr>
            <w:tcW w:w="4020" w:type="dxa"/>
            <w:vAlign w:val="bottom"/>
            <w:tcBorders>
              <w:right w:val="single" w:sz="8" w:color="auto"/>
            </w:tcBorders>
          </w:tcPr>
          <w:p>
            <w:pPr>
              <w:jc w:val="center"/>
              <w:ind w:left="149"/>
              <w:spacing w:after="0"/>
              <w:rPr>
                <w:sz w:val="20"/>
                <w:szCs w:val="20"/>
                <w:color w:val="auto"/>
              </w:rPr>
            </w:pPr>
            <w:r>
              <w:rPr>
                <w:rFonts w:ascii="Arial" w:cs="Arial" w:eastAsia="Arial" w:hAnsi="Arial"/>
                <w:sz w:val="14"/>
                <w:szCs w:val="14"/>
                <w:b w:val="1"/>
                <w:bCs w:val="1"/>
                <w:color w:val="auto"/>
              </w:rPr>
              <w:t>Version 13.0</w:t>
            </w:r>
          </w:p>
        </w:tc>
        <w:tc>
          <w:tcPr>
            <w:tcW w:w="0" w:type="dxa"/>
            <w:vAlign w:val="bottom"/>
          </w:tcPr>
          <w:p>
            <w:pPr>
              <w:spacing w:after="0"/>
              <w:rPr>
                <w:sz w:val="1"/>
                <w:szCs w:val="1"/>
                <w:color w:val="auto"/>
              </w:rPr>
            </w:pPr>
          </w:p>
        </w:tc>
      </w:tr>
      <w:tr>
        <w:trPr>
          <w:trHeight w:val="60"/>
        </w:trPr>
        <w:tc>
          <w:tcPr>
            <w:tcW w:w="3720" w:type="dxa"/>
            <w:vAlign w:val="bottom"/>
            <w:tcBorders>
              <w:left w:val="single" w:sz="8" w:color="auto"/>
              <w:right w:val="single" w:sz="8" w:color="auto"/>
            </w:tcBorders>
            <w:vMerge w:val="continue"/>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720" w:type="dxa"/>
            <w:vAlign w:val="bottom"/>
            <w:tcBorders>
              <w:left w:val="single" w:sz="8" w:color="auto"/>
              <w:right w:val="single" w:sz="8" w:color="auto"/>
            </w:tcBorders>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Policy Document Issued By:</w:t>
            </w:r>
          </w:p>
        </w:tc>
        <w:tc>
          <w:tcPr>
            <w:tcW w:w="40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Global Corporate Compliance &amp; Ethics Team</w:t>
            </w:r>
          </w:p>
        </w:tc>
        <w:tc>
          <w:tcPr>
            <w:tcW w:w="0" w:type="dxa"/>
            <w:vAlign w:val="bottom"/>
          </w:tcPr>
          <w:p>
            <w:pPr>
              <w:spacing w:after="0"/>
              <w:rPr>
                <w:sz w:val="1"/>
                <w:szCs w:val="1"/>
                <w:color w:val="auto"/>
              </w:rPr>
            </w:pPr>
          </w:p>
        </w:tc>
      </w:tr>
      <w:tr>
        <w:trPr>
          <w:trHeight w:val="97"/>
        </w:trPr>
        <w:tc>
          <w:tcPr>
            <w:tcW w:w="3720" w:type="dxa"/>
            <w:vAlign w:val="bottom"/>
            <w:tcBorders>
              <w:left w:val="single" w:sz="8" w:color="auto"/>
              <w:right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2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Policy Document Owner Information:</w:t>
            </w:r>
          </w:p>
        </w:tc>
        <w:tc>
          <w:tcPr>
            <w:tcW w:w="402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b w:val="1"/>
                <w:bCs w:val="1"/>
                <w:color w:val="0000FF"/>
              </w:rPr>
              <w:t>Corporate Compliance</w:t>
            </w:r>
          </w:p>
        </w:tc>
        <w:tc>
          <w:tcPr>
            <w:tcW w:w="0" w:type="dxa"/>
            <w:vAlign w:val="bottom"/>
          </w:tcPr>
          <w:p>
            <w:pPr>
              <w:spacing w:after="0"/>
              <w:rPr>
                <w:sz w:val="1"/>
                <w:szCs w:val="1"/>
                <w:color w:val="auto"/>
              </w:rPr>
            </w:pPr>
          </w:p>
        </w:tc>
      </w:tr>
      <w:tr>
        <w:trPr>
          <w:trHeight w:val="202"/>
        </w:trPr>
        <w:tc>
          <w:tcPr>
            <w:tcW w:w="3720" w:type="dxa"/>
            <w:vAlign w:val="bottom"/>
            <w:tcBorders>
              <w:left w:val="single" w:sz="8" w:color="auto"/>
              <w:right w:val="single" w:sz="8" w:color="auto"/>
            </w:tcBorders>
          </w:tcPr>
          <w:p>
            <w:pPr>
              <w:spacing w:after="0"/>
              <w:rPr>
                <w:sz w:val="17"/>
                <w:szCs w:val="17"/>
                <w:color w:val="auto"/>
              </w:rPr>
            </w:pPr>
          </w:p>
        </w:tc>
        <w:tc>
          <w:tcPr>
            <w:tcW w:w="3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 Policy Document Originally Issued:</w:t>
            </w:r>
          </w:p>
        </w:tc>
        <w:tc>
          <w:tcPr>
            <w:tcW w:w="402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08"/>
        </w:trPr>
        <w:tc>
          <w:tcPr>
            <w:tcW w:w="3720" w:type="dxa"/>
            <w:vAlign w:val="bottom"/>
            <w:tcBorders>
              <w:left w:val="single" w:sz="8" w:color="auto"/>
              <w:right w:val="single" w:sz="8" w:color="auto"/>
            </w:tcBorders>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Date Policy Document Last Revised:</w:t>
            </w:r>
          </w:p>
        </w:tc>
        <w:tc>
          <w:tcPr>
            <w:tcW w:w="4020" w:type="dxa"/>
            <w:vAlign w:val="bottom"/>
            <w:tcBorders>
              <w:right w:val="single" w:sz="8" w:color="auto"/>
            </w:tcBorders>
          </w:tcPr>
          <w:p>
            <w:pPr>
              <w:jc w:val="center"/>
              <w:ind w:left="169"/>
              <w:spacing w:after="0"/>
              <w:rPr>
                <w:sz w:val="20"/>
                <w:szCs w:val="20"/>
                <w:color w:val="auto"/>
              </w:rPr>
            </w:pPr>
            <w:r>
              <w:rPr>
                <w:rFonts w:ascii="Arial" w:cs="Arial" w:eastAsia="Arial" w:hAnsi="Arial"/>
                <w:sz w:val="14"/>
                <w:szCs w:val="14"/>
                <w:b w:val="1"/>
                <w:bCs w:val="1"/>
                <w:color w:val="auto"/>
              </w:rPr>
              <w:t>February 2025</w:t>
            </w:r>
          </w:p>
        </w:tc>
        <w:tc>
          <w:tcPr>
            <w:tcW w:w="0" w:type="dxa"/>
            <w:vAlign w:val="bottom"/>
          </w:tcPr>
          <w:p>
            <w:pPr>
              <w:spacing w:after="0"/>
              <w:rPr>
                <w:sz w:val="1"/>
                <w:szCs w:val="1"/>
                <w:color w:val="auto"/>
              </w:rPr>
            </w:pPr>
          </w:p>
        </w:tc>
      </w:tr>
      <w:tr>
        <w:trPr>
          <w:trHeight w:val="29"/>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4471C4"/>
        </w:rPr>
        <w:t>PURPOSE &amp; STATEMENT OF POLICY</w:t>
      </w:r>
    </w:p>
    <w:p>
      <w:pPr>
        <w:spacing w:after="0" w:line="255" w:lineRule="exact"/>
        <w:rPr>
          <w:sz w:val="20"/>
          <w:szCs w:val="20"/>
          <w:color w:val="auto"/>
        </w:rPr>
      </w:pPr>
    </w:p>
    <w:p>
      <w:pPr>
        <w:ind w:left="60" w:right="940"/>
        <w:spacing w:after="0" w:line="286" w:lineRule="auto"/>
        <w:rPr>
          <w:sz w:val="20"/>
          <w:szCs w:val="20"/>
          <w:color w:val="auto"/>
        </w:rPr>
      </w:pPr>
      <w:r>
        <w:rPr>
          <w:rFonts w:ascii="Arial" w:cs="Arial" w:eastAsia="Arial" w:hAnsi="Arial"/>
          <w:sz w:val="20"/>
          <w:szCs w:val="20"/>
          <w:color w:val="auto"/>
        </w:rPr>
        <w:t>CME Group has adopted this policy to comply with all applicable laws and regulations relating to trading activity that apply to CME Group as a publicly traded company and the operator of highly-regulated global businesses.</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4471C4"/>
        </w:rPr>
        <w:t>APPLICABILITY AND SCOPE</w:t>
      </w:r>
    </w:p>
    <w:p>
      <w:pPr>
        <w:spacing w:after="0" w:line="255" w:lineRule="exact"/>
        <w:rPr>
          <w:sz w:val="20"/>
          <w:szCs w:val="20"/>
          <w:color w:val="auto"/>
        </w:rPr>
      </w:pPr>
    </w:p>
    <w:p>
      <w:pPr>
        <w:ind w:left="60" w:right="760"/>
        <w:spacing w:after="0" w:line="260" w:lineRule="auto"/>
        <w:rPr>
          <w:sz w:val="20"/>
          <w:szCs w:val="20"/>
          <w:color w:val="auto"/>
        </w:rPr>
      </w:pPr>
      <w:r>
        <w:rPr>
          <w:rFonts w:ascii="Arial" w:cs="Arial" w:eastAsia="Arial" w:hAnsi="Arial"/>
          <w:sz w:val="20"/>
          <w:szCs w:val="20"/>
          <w:color w:val="auto"/>
        </w:rPr>
        <w:t xml:space="preserve">All employees, internal consultants, members of the CME Group Board and members of committees of a CME Group exchange (collectively referred to as </w:t>
      </w:r>
      <w:r>
        <w:rPr>
          <w:rFonts w:ascii="Arial" w:cs="Arial" w:eastAsia="Arial" w:hAnsi="Arial"/>
          <w:sz w:val="20"/>
          <w:szCs w:val="20"/>
          <w:b w:val="1"/>
          <w:bCs w:val="1"/>
          <w:i w:val="1"/>
          <w:iCs w:val="1"/>
          <w:color w:val="auto"/>
        </w:rPr>
        <w:t>“colleagues”</w:t>
      </w:r>
      <w:r>
        <w:rPr>
          <w:rFonts w:ascii="Arial" w:cs="Arial" w:eastAsia="Arial" w:hAnsi="Arial"/>
          <w:sz w:val="20"/>
          <w:szCs w:val="20"/>
          <w:color w:val="auto"/>
        </w:rPr>
        <w:t xml:space="preserve">) are required to follow the terms and conditions for trading activity detailed in this policy. All colleagues are expected to exercise their best judgment and comply with the law — avoiding the appearance of any misconduct in their personal trading activities. When we refer to “you,” in addition to you, we also mean your </w:t>
      </w:r>
      <w:r>
        <w:rPr>
          <w:rFonts w:ascii="Arial" w:cs="Arial" w:eastAsia="Arial" w:hAnsi="Arial"/>
          <w:sz w:val="20"/>
          <w:szCs w:val="20"/>
          <w:b w:val="1"/>
          <w:bCs w:val="1"/>
          <w:i w:val="1"/>
          <w:iCs w:val="1"/>
          <w:color w:val="auto"/>
        </w:rPr>
        <w:t>connected persons</w:t>
      </w:r>
      <w:r>
        <w:rPr>
          <w:rFonts w:ascii="Arial" w:cs="Arial" w:eastAsia="Arial" w:hAnsi="Arial"/>
          <w:sz w:val="20"/>
          <w:szCs w:val="20"/>
          <w:color w:val="auto"/>
        </w:rPr>
        <w:t xml:space="preserve"> (as defined in </w:t>
      </w:r>
      <w:r>
        <w:rPr>
          <w:rFonts w:ascii="Arial" w:cs="Arial" w:eastAsia="Arial" w:hAnsi="Arial"/>
          <w:sz w:val="20"/>
          <w:szCs w:val="20"/>
          <w:b w:val="1"/>
          <w:bCs w:val="1"/>
          <w:color w:val="auto"/>
        </w:rPr>
        <w:t>Appendix A</w:t>
      </w:r>
      <w:r>
        <w:rPr>
          <w:rFonts w:ascii="Arial" w:cs="Arial" w:eastAsia="Arial" w:hAnsi="Arial"/>
          <w:sz w:val="20"/>
          <w:szCs w:val="20"/>
          <w:color w:val="auto"/>
        </w:rPr>
        <w:t>).</w:t>
      </w:r>
    </w:p>
    <w:p>
      <w:pPr>
        <w:spacing w:after="0" w:line="131" w:lineRule="exact"/>
        <w:rPr>
          <w:sz w:val="20"/>
          <w:szCs w:val="20"/>
          <w:color w:val="auto"/>
        </w:rPr>
      </w:pPr>
    </w:p>
    <w:p>
      <w:pPr>
        <w:ind w:left="60" w:right="1060"/>
        <w:spacing w:after="0" w:line="255" w:lineRule="auto"/>
        <w:rPr>
          <w:sz w:val="20"/>
          <w:szCs w:val="20"/>
          <w:color w:val="auto"/>
        </w:rPr>
      </w:pPr>
      <w:r>
        <w:rPr>
          <w:rFonts w:ascii="Arial" w:cs="Arial" w:eastAsia="Arial" w:hAnsi="Arial"/>
          <w:sz w:val="20"/>
          <w:szCs w:val="20"/>
          <w:color w:val="auto"/>
        </w:rPr>
        <w:t xml:space="preserve">This policy is not meant to address every situation or issue that can arise with respect to trading activity. Trading strategies or issues not specifically addressed in this policy should be evaluated against the objectives in this document and the </w:t>
      </w:r>
      <w:r>
        <w:rPr>
          <w:rFonts w:ascii="Arial" w:cs="Arial" w:eastAsia="Arial" w:hAnsi="Arial"/>
          <w:sz w:val="20"/>
          <w:szCs w:val="20"/>
          <w:b w:val="1"/>
          <w:bCs w:val="1"/>
          <w:u w:val="single" w:color="auto"/>
          <w:color w:val="1154CC"/>
        </w:rPr>
        <w:t>CME Group Code of Conduct</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1154CC"/>
        </w:rPr>
        <w:t>Board of Directors Code of Ethics</w:t>
      </w:r>
      <w:r>
        <w:rPr>
          <w:rFonts w:ascii="Arial" w:cs="Arial" w:eastAsia="Arial" w:hAnsi="Arial"/>
          <w:sz w:val="20"/>
          <w:szCs w:val="20"/>
          <w:color w:val="auto"/>
        </w:rPr>
        <w:t xml:space="preserve"> and the </w:t>
      </w:r>
      <w:r>
        <w:rPr>
          <w:rFonts w:ascii="Arial" w:cs="Arial" w:eastAsia="Arial" w:hAnsi="Arial"/>
          <w:sz w:val="20"/>
          <w:szCs w:val="20"/>
          <w:b w:val="1"/>
          <w:bCs w:val="1"/>
          <w:u w:val="single" w:color="auto"/>
          <w:color w:val="1154CC"/>
        </w:rPr>
        <w:t>Rulebooks</w:t>
      </w:r>
      <w:r>
        <w:rPr>
          <w:rFonts w:ascii="Arial" w:cs="Arial" w:eastAsia="Arial" w:hAnsi="Arial"/>
          <w:sz w:val="20"/>
          <w:szCs w:val="20"/>
          <w:color w:val="auto"/>
        </w:rPr>
        <w:t xml:space="preserve"> of CME, CBOT, NYMEX and COMEX, as applicable.</w:t>
      </w:r>
    </w:p>
    <w:p>
      <w:pPr>
        <w:spacing w:after="0" w:line="211" w:lineRule="exact"/>
        <w:rPr>
          <w:sz w:val="20"/>
          <w:szCs w:val="20"/>
          <w:color w:val="auto"/>
        </w:rPr>
      </w:pPr>
    </w:p>
    <w:p>
      <w:pPr>
        <w:ind w:left="60" w:right="940"/>
        <w:spacing w:after="0" w:line="268" w:lineRule="auto"/>
        <w:rPr>
          <w:sz w:val="20"/>
          <w:szCs w:val="20"/>
          <w:color w:val="auto"/>
        </w:rPr>
      </w:pPr>
      <w:r>
        <w:rPr>
          <w:rFonts w:ascii="Arial" w:cs="Arial" w:eastAsia="Arial" w:hAnsi="Arial"/>
          <w:sz w:val="20"/>
          <w:szCs w:val="20"/>
          <w:b w:val="1"/>
          <w:bCs w:val="1"/>
          <w:i w:val="1"/>
          <w:iCs w:val="1"/>
          <w:color w:val="auto"/>
        </w:rPr>
        <w:t xml:space="preserve">If you have questions or are unsure about the application or interpretation of this policy as it relates to your own particular circumstance or personal trading activity, contact </w:t>
      </w:r>
      <w:r>
        <w:rPr>
          <w:rFonts w:ascii="Arial" w:cs="Arial" w:eastAsia="Arial" w:hAnsi="Arial"/>
          <w:sz w:val="20"/>
          <w:szCs w:val="20"/>
          <w:b w:val="1"/>
          <w:bCs w:val="1"/>
          <w:u w:val="single" w:color="auto"/>
          <w:color w:val="1154CC"/>
        </w:rPr>
        <w:t>Corporate Compliance</w:t>
      </w:r>
      <w:r>
        <w:rPr>
          <w:rFonts w:ascii="Arial" w:cs="Arial" w:eastAsia="Arial" w:hAnsi="Arial"/>
          <w:sz w:val="20"/>
          <w:szCs w:val="20"/>
          <w:b w:val="1"/>
          <w:bCs w:val="1"/>
          <w:i w:val="1"/>
          <w:iCs w:val="1"/>
          <w:color w:val="auto"/>
        </w:rPr>
        <w:t xml:space="preserve"> and refer to the </w:t>
      </w:r>
      <w:r>
        <w:rPr>
          <w:rFonts w:ascii="Arial" w:cs="Arial" w:eastAsia="Arial" w:hAnsi="Arial"/>
          <w:sz w:val="20"/>
          <w:szCs w:val="20"/>
          <w:b w:val="1"/>
          <w:bCs w:val="1"/>
          <w:u w:val="single" w:color="auto"/>
          <w:color w:val="1154CC"/>
        </w:rPr>
        <w:t>Frequently Asked Questions</w:t>
      </w:r>
      <w:r>
        <w:rPr>
          <w:rFonts w:ascii="Arial" w:cs="Arial" w:eastAsia="Arial" w:hAnsi="Arial"/>
          <w:sz w:val="20"/>
          <w:szCs w:val="20"/>
          <w:b w:val="1"/>
          <w:bCs w:val="1"/>
          <w:i w:val="1"/>
          <w:iCs w:val="1"/>
          <w:color w:val="000000"/>
        </w:rPr>
        <w:t>.</w:t>
      </w:r>
    </w:p>
    <w:p>
      <w:pPr>
        <w:spacing w:after="0" w:line="188" w:lineRule="exact"/>
        <w:rPr>
          <w:sz w:val="20"/>
          <w:szCs w:val="20"/>
          <w:color w:val="auto"/>
        </w:rPr>
      </w:pPr>
    </w:p>
    <w:p>
      <w:pPr>
        <w:jc w:val="both"/>
        <w:ind w:left="60" w:right="1060"/>
        <w:spacing w:after="0" w:line="262" w:lineRule="auto"/>
        <w:rPr>
          <w:sz w:val="20"/>
          <w:szCs w:val="20"/>
          <w:color w:val="auto"/>
        </w:rPr>
      </w:pPr>
      <w:r>
        <w:rPr>
          <w:rFonts w:ascii="Arial" w:cs="Arial" w:eastAsia="Arial" w:hAnsi="Arial"/>
          <w:sz w:val="20"/>
          <w:szCs w:val="20"/>
          <w:color w:val="auto"/>
        </w:rPr>
        <w:t xml:space="preserve">Suspected violations of this policy should be reported through one of the reporting channels made available in the </w:t>
      </w:r>
      <w:r>
        <w:rPr>
          <w:rFonts w:ascii="Arial" w:cs="Arial" w:eastAsia="Arial" w:hAnsi="Arial"/>
          <w:sz w:val="20"/>
          <w:szCs w:val="20"/>
          <w:b w:val="1"/>
          <w:bCs w:val="1"/>
          <w:u w:val="single" w:color="auto"/>
          <w:color w:val="1154CC"/>
        </w:rPr>
        <w:t>Speak Up and Escalation Policy</w:t>
      </w:r>
      <w:r>
        <w:rPr>
          <w:rFonts w:ascii="Arial" w:cs="Arial" w:eastAsia="Arial" w:hAnsi="Arial"/>
          <w:sz w:val="20"/>
          <w:szCs w:val="20"/>
          <w:color w:val="000000"/>
        </w:rPr>
        <w:t>, including the CME Group Compliance &amp; Ethics Helpline (</w:t>
      </w:r>
      <w:r>
        <w:rPr>
          <w:rFonts w:ascii="Arial" w:cs="Arial" w:eastAsia="Arial" w:hAnsi="Arial"/>
          <w:sz w:val="20"/>
          <w:szCs w:val="20"/>
          <w:u w:val="single" w:color="auto"/>
          <w:color w:val="0000FF"/>
        </w:rPr>
        <w:t>www.ethicspoint.com</w:t>
      </w:r>
      <w:r>
        <w:rPr>
          <w:rFonts w:ascii="Arial" w:cs="Arial" w:eastAsia="Arial" w:hAnsi="Arial"/>
          <w:sz w:val="20"/>
          <w:szCs w:val="20"/>
          <w:color w:val="000000"/>
        </w:rPr>
        <w:t>)</w:t>
      </w:r>
      <w:r>
        <w:rPr>
          <w:rFonts w:ascii="Arial" w:cs="Arial" w:eastAsia="Arial" w:hAnsi="Arial"/>
          <w:sz w:val="20"/>
          <w:szCs w:val="20"/>
          <w:b w:val="1"/>
          <w:bCs w:val="1"/>
          <w:color w:val="1154CC"/>
        </w:rPr>
        <w:t xml:space="preserve"> </w:t>
      </w:r>
      <w:r>
        <w:rPr>
          <w:rFonts w:ascii="Arial" w:cs="Arial" w:eastAsia="Arial" w:hAnsi="Arial"/>
          <w:sz w:val="20"/>
          <w:szCs w:val="20"/>
          <w:color w:val="000000"/>
        </w:rPr>
        <w:t>and the compliance officer for your business, if any.</w:t>
      </w:r>
    </w:p>
    <w:p>
      <w:pPr>
        <w:sectPr>
          <w:pgSz w:w="11900" w:h="16838" w:orient="portrait"/>
          <w:cols w:equalWidth="0" w:num="1">
            <w:col w:w="11120"/>
          </w:cols>
          <w:pgMar w:left="440" w:top="83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color w:val="auto"/>
        </w:rPr>
        <w:t>Exhibit 19.1</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CME GROUP TRADING REQUIREMENTS AND RESTRICTIONS</w:t>
      </w:r>
    </w:p>
    <w:p>
      <w:pPr>
        <w:spacing w:after="0" w:line="188" w:lineRule="exact"/>
        <w:rPr>
          <w:sz w:val="20"/>
          <w:szCs w:val="20"/>
          <w:color w:val="auto"/>
        </w:rPr>
      </w:pPr>
    </w:p>
    <w:p>
      <w:pPr>
        <w:jc w:val="both"/>
        <w:ind w:right="720"/>
        <w:spacing w:after="0" w:line="268" w:lineRule="auto"/>
        <w:rPr>
          <w:sz w:val="20"/>
          <w:szCs w:val="20"/>
          <w:color w:val="auto"/>
        </w:rPr>
      </w:pPr>
      <w:r>
        <w:rPr>
          <w:rFonts w:ascii="Arial" w:cs="Arial" w:eastAsia="Arial" w:hAnsi="Arial"/>
          <w:sz w:val="19"/>
          <w:szCs w:val="19"/>
          <w:color w:val="auto"/>
        </w:rPr>
        <w:t xml:space="preserve">As a general rule, trading activity in financial markets should be kept to a reasonable level, oriented toward investment rather than speculation, and should not distract from your responsibilities. Significant trading activity during work hours may rise to the level of a conflict of interest for employees and internal consultants under the </w:t>
      </w:r>
      <w:r>
        <w:rPr>
          <w:rFonts w:ascii="Arial" w:cs="Arial" w:eastAsia="Arial" w:hAnsi="Arial"/>
          <w:sz w:val="19"/>
          <w:szCs w:val="19"/>
          <w:b w:val="1"/>
          <w:bCs w:val="1"/>
          <w:u w:val="single" w:color="auto"/>
          <w:color w:val="0000FF"/>
        </w:rPr>
        <w:t>Code of Conduct</w:t>
      </w:r>
      <w:r>
        <w:rPr>
          <w:rFonts w:ascii="Arial" w:cs="Arial" w:eastAsia="Arial" w:hAnsi="Arial"/>
          <w:sz w:val="19"/>
          <w:szCs w:val="19"/>
          <w:color w:val="auto"/>
        </w:rPr>
        <w:t>.</w:t>
      </w:r>
    </w:p>
    <w:p>
      <w:pPr>
        <w:spacing w:after="0" w:line="2" w:lineRule="exact"/>
        <w:rPr>
          <w:sz w:val="20"/>
          <w:szCs w:val="20"/>
          <w:color w:val="auto"/>
        </w:rPr>
      </w:pPr>
    </w:p>
    <w:p>
      <w:pPr>
        <w:jc w:val="both"/>
        <w:ind w:right="920"/>
        <w:spacing w:after="0" w:line="253" w:lineRule="auto"/>
        <w:rPr>
          <w:sz w:val="20"/>
          <w:szCs w:val="20"/>
          <w:color w:val="auto"/>
        </w:rPr>
      </w:pPr>
      <w:r>
        <w:rPr>
          <w:rFonts w:ascii="Arial" w:cs="Arial" w:eastAsia="Arial" w:hAnsi="Arial"/>
          <w:sz w:val="20"/>
          <w:szCs w:val="20"/>
          <w:color w:val="auto"/>
        </w:rPr>
        <w:t xml:space="preserve">Certain trading activity, although permitted under applicable laws, may be prohibited under the </w:t>
      </w:r>
      <w:r>
        <w:rPr>
          <w:rFonts w:ascii="Arial" w:cs="Arial" w:eastAsia="Arial" w:hAnsi="Arial"/>
          <w:sz w:val="20"/>
          <w:szCs w:val="20"/>
          <w:b w:val="1"/>
          <w:bCs w:val="1"/>
          <w:u w:val="single" w:color="auto"/>
          <w:color w:val="0000FF"/>
        </w:rPr>
        <w:t>Conflicts of Interest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Policy</w:t>
      </w:r>
      <w:r>
        <w:rPr>
          <w:rFonts w:ascii="Arial" w:cs="Arial" w:eastAsia="Arial" w:hAnsi="Arial"/>
          <w:sz w:val="20"/>
          <w:szCs w:val="20"/>
          <w:b w:val="1"/>
          <w:bCs w:val="1"/>
          <w:color w:val="0000FF"/>
        </w:rPr>
        <w:t xml:space="preserve"> </w:t>
      </w:r>
      <w:r>
        <w:rPr>
          <w:rFonts w:ascii="Arial" w:cs="Arial" w:eastAsia="Arial" w:hAnsi="Arial"/>
          <w:sz w:val="20"/>
          <w:szCs w:val="20"/>
          <w:color w:val="000000"/>
        </w:rPr>
        <w:t>based on actual or perceived conflicts of interest due to your role at CME Group or the relationship between</w:t>
      </w:r>
      <w:r>
        <w:rPr>
          <w:rFonts w:ascii="Arial" w:cs="Arial" w:eastAsia="Arial" w:hAnsi="Arial"/>
          <w:sz w:val="20"/>
          <w:szCs w:val="20"/>
          <w:b w:val="1"/>
          <w:bCs w:val="1"/>
          <w:color w:val="0000FF"/>
        </w:rPr>
        <w:t xml:space="preserve"> </w:t>
      </w:r>
      <w:r>
        <w:rPr>
          <w:rFonts w:ascii="Arial" w:cs="Arial" w:eastAsia="Arial" w:hAnsi="Arial"/>
          <w:sz w:val="20"/>
          <w:szCs w:val="20"/>
          <w:color w:val="000000"/>
        </w:rPr>
        <w:t>CME Group and the company whose stock you may be trading.</w:t>
      </w:r>
    </w:p>
    <w:p>
      <w:pPr>
        <w:spacing w:after="0" w:line="323" w:lineRule="exact"/>
        <w:rPr>
          <w:sz w:val="20"/>
          <w:szCs w:val="20"/>
          <w:color w:val="auto"/>
        </w:rPr>
      </w:pPr>
    </w:p>
    <w:tbl>
      <w:tblPr>
        <w:tblLayout w:type="fixed"/>
        <w:tblInd w:w="30" w:type="dxa"/>
        <w:tblCellMar>
          <w:top w:w="0" w:type="dxa"/>
          <w:left w:w="0" w:type="dxa"/>
          <w:bottom w:w="0" w:type="dxa"/>
          <w:right w:w="0" w:type="dxa"/>
        </w:tblCellMar>
      </w:tblPr>
      <w:tr>
        <w:trPr>
          <w:trHeight w:val="385"/>
        </w:trPr>
        <w:tc>
          <w:tcPr>
            <w:tcW w:w="85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Description of Personal Trading Activity</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Appendix</w:t>
            </w:r>
          </w:p>
        </w:tc>
        <w:tc>
          <w:tcPr>
            <w:tcW w:w="0" w:type="dxa"/>
            <w:vAlign w:val="bottom"/>
          </w:tcPr>
          <w:p>
            <w:pPr>
              <w:spacing w:after="0"/>
              <w:rPr>
                <w:sz w:val="1"/>
                <w:szCs w:val="1"/>
                <w:color w:val="auto"/>
              </w:rPr>
            </w:pPr>
          </w:p>
        </w:tc>
      </w:tr>
      <w:tr>
        <w:trPr>
          <w:trHeight w:val="20"/>
        </w:trPr>
        <w:tc>
          <w:tcPr>
            <w:tcW w:w="8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w w:val="99"/>
              </w:rPr>
              <w:t>Transactions in the securities of CME Group Inc., the securities of companies with which</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A</w:t>
            </w:r>
          </w:p>
        </w:tc>
        <w:tc>
          <w:tcPr>
            <w:tcW w:w="0" w:type="dxa"/>
            <w:vAlign w:val="bottom"/>
          </w:tcPr>
          <w:p>
            <w:pPr>
              <w:spacing w:after="0"/>
              <w:rPr>
                <w:sz w:val="1"/>
                <w:szCs w:val="1"/>
                <w:color w:val="auto"/>
              </w:rPr>
            </w:pPr>
          </w:p>
        </w:tc>
      </w:tr>
      <w:tr>
        <w:trPr>
          <w:trHeight w:val="54"/>
        </w:trPr>
        <w:tc>
          <w:tcPr>
            <w:tcW w:w="8560" w:type="dxa"/>
            <w:vAlign w:val="bottom"/>
            <w:tcBorders>
              <w:left w:val="single" w:sz="8" w:color="auto"/>
              <w:right w:val="single" w:sz="8" w:color="auto"/>
            </w:tcBorders>
            <w:vMerge w:val="continue"/>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3"/>
              </w:rPr>
              <w:t>CME Group does business and in other financial instruments.</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CME Group Board members, employees and internal consultants of CME Group.</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It also applies to trading activity on the company’s behalf.</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rPr>
              <w:t>Requirements relating to individuals subject to Section 16 of the Exchange Act.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w:t>
            </w:r>
          </w:p>
        </w:tc>
        <w:tc>
          <w:tcPr>
            <w:tcW w:w="0" w:type="dxa"/>
            <w:vAlign w:val="bottom"/>
          </w:tcPr>
          <w:p>
            <w:pPr>
              <w:spacing w:after="0"/>
              <w:rPr>
                <w:sz w:val="1"/>
                <w:szCs w:val="1"/>
                <w:color w:val="auto"/>
              </w:rPr>
            </w:pPr>
          </w:p>
        </w:tc>
      </w:tr>
      <w:tr>
        <w:trPr>
          <w:trHeight w:val="98"/>
        </w:trPr>
        <w:tc>
          <w:tcPr>
            <w:tcW w:w="856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CME Group Board members, members of the Management Team and the Chief</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Accounting Officer of CME Group.</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rPr>
              <w:t>Transactions in derivatives and cash markets products.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C</w:t>
            </w:r>
          </w:p>
        </w:tc>
        <w:tc>
          <w:tcPr>
            <w:tcW w:w="0" w:type="dxa"/>
            <w:vAlign w:val="bottom"/>
          </w:tcPr>
          <w:p>
            <w:pPr>
              <w:spacing w:after="0"/>
              <w:rPr>
                <w:sz w:val="1"/>
                <w:szCs w:val="1"/>
                <w:color w:val="auto"/>
              </w:rPr>
            </w:pPr>
          </w:p>
        </w:tc>
      </w:tr>
      <w:tr>
        <w:trPr>
          <w:trHeight w:val="98"/>
        </w:trPr>
        <w:tc>
          <w:tcPr>
            <w:tcW w:w="856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6"/>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CME Group Board members, employees and internal consultants of CME Group.</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rPr>
              <w:t>Transactions in the public securities of Clearing Members.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D</w:t>
            </w:r>
          </w:p>
        </w:tc>
        <w:tc>
          <w:tcPr>
            <w:tcW w:w="0" w:type="dxa"/>
            <w:vAlign w:val="bottom"/>
          </w:tcPr>
          <w:p>
            <w:pPr>
              <w:spacing w:after="0"/>
              <w:rPr>
                <w:sz w:val="1"/>
                <w:szCs w:val="1"/>
                <w:color w:val="auto"/>
              </w:rPr>
            </w:pPr>
          </w:p>
        </w:tc>
      </w:tr>
      <w:tr>
        <w:trPr>
          <w:trHeight w:val="98"/>
        </w:trPr>
        <w:tc>
          <w:tcPr>
            <w:tcW w:w="856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in the Market Regulation Department and in</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Clearing and Post Trade Division.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rPr>
              <w:t>Requirements relating to certain of our regulated businesses.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w:t>
            </w:r>
          </w:p>
        </w:tc>
        <w:tc>
          <w:tcPr>
            <w:tcW w:w="0" w:type="dxa"/>
            <w:vAlign w:val="bottom"/>
          </w:tcPr>
          <w:p>
            <w:pPr>
              <w:spacing w:after="0"/>
              <w:rPr>
                <w:sz w:val="1"/>
                <w:szCs w:val="1"/>
                <w:color w:val="auto"/>
              </w:rPr>
            </w:pPr>
          </w:p>
        </w:tc>
      </w:tr>
      <w:tr>
        <w:trPr>
          <w:trHeight w:val="98"/>
        </w:trPr>
        <w:tc>
          <w:tcPr>
            <w:tcW w:w="856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6"/>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9"/>
              </w:rPr>
              <w:t>Applies to all employees and internal consultants of CME Group classified as Covered Persons.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rPr>
              <w:t>Requirements relating to BrokerTec Americas LLC.</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F</w:t>
            </w:r>
          </w:p>
        </w:tc>
        <w:tc>
          <w:tcPr>
            <w:tcW w:w="0" w:type="dxa"/>
            <w:vAlign w:val="bottom"/>
          </w:tcPr>
          <w:p>
            <w:pPr>
              <w:spacing w:after="0"/>
              <w:rPr>
                <w:sz w:val="1"/>
                <w:szCs w:val="1"/>
                <w:color w:val="auto"/>
              </w:rPr>
            </w:pPr>
          </w:p>
        </w:tc>
      </w:tr>
      <w:tr>
        <w:trPr>
          <w:trHeight w:val="98"/>
        </w:trPr>
        <w:tc>
          <w:tcPr>
            <w:tcW w:w="856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classified as BrokerTec Americas Registered</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Representatives and Associated Persons.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4472C3"/>
              </w:rPr>
              <w:t>Requirements relating to F&amp;O Financial LLC.</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G</w:t>
            </w:r>
          </w:p>
        </w:tc>
        <w:tc>
          <w:tcPr>
            <w:tcW w:w="0" w:type="dxa"/>
            <w:vAlign w:val="bottom"/>
          </w:tcPr>
          <w:p>
            <w:pPr>
              <w:spacing w:after="0"/>
              <w:rPr>
                <w:sz w:val="1"/>
                <w:szCs w:val="1"/>
                <w:color w:val="auto"/>
              </w:rPr>
            </w:pPr>
          </w:p>
        </w:tc>
      </w:tr>
      <w:tr>
        <w:trPr>
          <w:trHeight w:val="98"/>
        </w:trPr>
        <w:tc>
          <w:tcPr>
            <w:tcW w:w="856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6"/>
        </w:trPr>
        <w:tc>
          <w:tcPr>
            <w:tcW w:w="8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of F&amp;O Financial LLC.</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500" w:top="833" w:right="3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920115</wp:posOffset>
            </wp:positionV>
            <wp:extent cx="6360795" cy="16287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6360795" cy="162877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Description of Personal Trading Activity</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4472C3"/>
        </w:rPr>
        <w:t>Ability to own a membership on a CME Group exchange.</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Applies to all employees and internal consultants of CME Group.</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4472C3"/>
        </w:rPr>
        <w:t>Requirements relating to CFTC Regulation 1.59(a).</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Applies to all members of a committee of a CME Group exchange.</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4472C3"/>
        </w:rPr>
        <w:t>Summary of key requirements in the Personal Trading Policy.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auto"/>
        </w:rPr>
        <w:t>Exhibit 19.1</w:t>
      </w:r>
    </w:p>
    <w:p>
      <w:pPr>
        <w:spacing w:after="0" w:line="200" w:lineRule="exact"/>
        <w:rPr>
          <w:sz w:val="20"/>
          <w:szCs w:val="20"/>
          <w:color w:val="auto"/>
        </w:rPr>
      </w:pPr>
    </w:p>
    <w:p>
      <w:pPr>
        <w:spacing w:after="0" w:line="297" w:lineRule="exact"/>
        <w:rPr>
          <w:sz w:val="20"/>
          <w:szCs w:val="20"/>
          <w:color w:val="auto"/>
        </w:rPr>
      </w:pPr>
    </w:p>
    <w:p>
      <w:pPr>
        <w:jc w:val="center"/>
        <w:ind w:right="1300"/>
        <w:spacing w:after="0"/>
        <w:rPr>
          <w:sz w:val="20"/>
          <w:szCs w:val="20"/>
          <w:color w:val="auto"/>
        </w:rPr>
      </w:pPr>
      <w:r>
        <w:rPr>
          <w:rFonts w:ascii="Arial" w:cs="Arial" w:eastAsia="Arial" w:hAnsi="Arial"/>
          <w:sz w:val="19"/>
          <w:szCs w:val="19"/>
          <w:b w:val="1"/>
          <w:bCs w:val="1"/>
          <w:color w:val="auto"/>
        </w:rPr>
        <w:t>Appendix</w:t>
      </w:r>
    </w:p>
    <w:p>
      <w:pPr>
        <w:spacing w:after="0" w:line="79" w:lineRule="exact"/>
        <w:rPr>
          <w:sz w:val="20"/>
          <w:szCs w:val="20"/>
          <w:color w:val="auto"/>
        </w:rPr>
      </w:pPr>
    </w:p>
    <w:p>
      <w:pPr>
        <w:jc w:val="center"/>
        <w:ind w:right="1300"/>
        <w:spacing w:after="0"/>
        <w:rPr>
          <w:sz w:val="20"/>
          <w:szCs w:val="20"/>
          <w:color w:val="auto"/>
        </w:rPr>
      </w:pPr>
      <w:r>
        <w:rPr>
          <w:rFonts w:ascii="Arial" w:cs="Arial" w:eastAsia="Arial" w:hAnsi="Arial"/>
          <w:sz w:val="20"/>
          <w:szCs w:val="20"/>
          <w:b w:val="1"/>
          <w:bCs w:val="1"/>
          <w:color w:val="auto"/>
        </w:rPr>
        <w: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J</w:t>
      </w:r>
    </w:p>
    <w:p>
      <w:pPr>
        <w:spacing w:after="0" w:line="296" w:lineRule="exact"/>
        <w:rPr>
          <w:sz w:val="20"/>
          <w:szCs w:val="20"/>
          <w:color w:val="auto"/>
        </w:rPr>
      </w:pPr>
    </w:p>
    <w:p>
      <w:pPr>
        <w:sectPr>
          <w:pgSz w:w="11900" w:h="16838" w:orient="portrait"/>
          <w:cols w:equalWidth="0" w:num="2">
            <w:col w:w="8140" w:space="720"/>
            <w:col w:w="2200"/>
          </w:cols>
          <w:pgMar w:left="500" w:top="833"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OVERSIGHT AND REVIEW OF POLICY</w:t>
      </w:r>
    </w:p>
    <w:p>
      <w:pPr>
        <w:spacing w:after="0" w:line="242" w:lineRule="exact"/>
        <w:rPr>
          <w:sz w:val="20"/>
          <w:szCs w:val="20"/>
          <w:color w:val="auto"/>
        </w:rPr>
      </w:pPr>
    </w:p>
    <w:p>
      <w:pPr>
        <w:ind w:right="780"/>
        <w:spacing w:after="0" w:line="259" w:lineRule="auto"/>
        <w:rPr>
          <w:sz w:val="20"/>
          <w:szCs w:val="20"/>
          <w:color w:val="auto"/>
        </w:rPr>
      </w:pPr>
      <w:r>
        <w:rPr>
          <w:rFonts w:ascii="Arial" w:cs="Arial" w:eastAsia="Arial" w:hAnsi="Arial"/>
          <w:sz w:val="20"/>
          <w:szCs w:val="20"/>
          <w:color w:val="auto"/>
        </w:rPr>
        <w:t>This policy is subject to the oversight of the Global Corporate Compliance &amp; Ethics Team. CME Group will periodically review and monitor compliance with this policy as necessary and appropriate. Colleagues are required to execute periodic certifications of compliance with this policy, as well as attend any required educational programs associated with this policy. This policy is subject to review on an annual basis.</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EXCEPTIONS TO THIS POLICY</w:t>
      </w:r>
    </w:p>
    <w:p>
      <w:pPr>
        <w:spacing w:after="0" w:line="242" w:lineRule="exact"/>
        <w:rPr>
          <w:sz w:val="20"/>
          <w:szCs w:val="20"/>
          <w:color w:val="auto"/>
        </w:rPr>
      </w:pPr>
    </w:p>
    <w:p>
      <w:pPr>
        <w:ind w:right="740"/>
        <w:spacing w:after="0" w:line="259" w:lineRule="auto"/>
        <w:rPr>
          <w:sz w:val="20"/>
          <w:szCs w:val="20"/>
          <w:color w:val="auto"/>
        </w:rPr>
      </w:pPr>
      <w:r>
        <w:rPr>
          <w:rFonts w:ascii="Arial" w:cs="Arial" w:eastAsia="Arial" w:hAnsi="Arial"/>
          <w:sz w:val="20"/>
          <w:szCs w:val="20"/>
          <w:color w:val="auto"/>
        </w:rPr>
        <w:t xml:space="preserve">Exceptions to this policy, if any, can only be granted by Corporate Compliance or the Managing Director, Chief Enterprise Risk Management &amp; Compliance Officer, and are only valid if evidenced in writing; provided, however, such exceptions must be in accordance with preventing any actual or perceived insider trading or market abuse. Click </w:t>
      </w:r>
      <w:r>
        <w:rPr>
          <w:rFonts w:ascii="Arial" w:cs="Arial" w:eastAsia="Arial" w:hAnsi="Arial"/>
          <w:sz w:val="20"/>
          <w:szCs w:val="20"/>
          <w:u w:val="single" w:color="auto"/>
          <w:color w:val="1154CC"/>
        </w:rPr>
        <w:t>here</w:t>
      </w:r>
      <w:r>
        <w:rPr>
          <w:rFonts w:ascii="Arial" w:cs="Arial" w:eastAsia="Arial" w:hAnsi="Arial"/>
          <w:sz w:val="20"/>
          <w:szCs w:val="20"/>
          <w:color w:val="auto"/>
        </w:rPr>
        <w:t xml:space="preserve"> to submit an Exception Request.</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PENALTIES AND CONSEQUENCES</w:t>
      </w:r>
    </w:p>
    <w:p>
      <w:pPr>
        <w:spacing w:after="0" w:line="255" w:lineRule="exact"/>
        <w:rPr>
          <w:sz w:val="20"/>
          <w:szCs w:val="20"/>
          <w:color w:val="auto"/>
        </w:rPr>
      </w:pPr>
    </w:p>
    <w:p>
      <w:pPr>
        <w:ind w:right="780"/>
        <w:spacing w:after="0" w:line="254" w:lineRule="auto"/>
        <w:rPr>
          <w:sz w:val="20"/>
          <w:szCs w:val="20"/>
          <w:color w:val="auto"/>
        </w:rPr>
      </w:pPr>
      <w:r>
        <w:rPr>
          <w:rFonts w:ascii="Arial" w:cs="Arial" w:eastAsia="Arial" w:hAnsi="Arial"/>
          <w:sz w:val="20"/>
          <w:szCs w:val="20"/>
          <w:color w:val="auto"/>
        </w:rPr>
        <w:t>Breaches of CME Group’s commitments as set forth in this policy can have serious repercussions on many levels, including legal and regulatory consequences and damaging the company’s reputation. Potential violations of this policy will be subject to investigation by CME Group, and any failure to comply with this policy may result in discipline, up to and including termination or failure to be nominated for a future term on the Board of Directors, referral to regulatory authorities and potential civil and criminal exposure.</w:t>
      </w:r>
    </w:p>
    <w:p>
      <w:pPr>
        <w:sectPr>
          <w:pgSz w:w="11900" w:h="16838" w:orient="portrait"/>
          <w:cols w:equalWidth="0" w:num="1">
            <w:col w:w="11060"/>
          </w:cols>
          <w:pgMar w:left="500" w:top="833" w:right="3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20"/>
          <w:szCs w:val="20"/>
          <w:color w:val="auto"/>
        </w:rPr>
        <w:t>Exhibit 19.1</w:t>
      </w:r>
    </w:p>
    <w:p>
      <w:pPr>
        <w:spacing w:after="0" w:line="348" w:lineRule="exact"/>
        <w:rPr>
          <w:sz w:val="20"/>
          <w:szCs w:val="20"/>
          <w:color w:val="auto"/>
        </w:rPr>
      </w:pPr>
    </w:p>
    <w:p>
      <w:pPr>
        <w:ind w:right="1000"/>
        <w:spacing w:after="0" w:line="298" w:lineRule="auto"/>
        <w:rPr>
          <w:sz w:val="20"/>
          <w:szCs w:val="20"/>
          <w:color w:val="auto"/>
        </w:rPr>
      </w:pPr>
      <w:r>
        <w:rPr>
          <w:rFonts w:ascii="Arial" w:cs="Arial" w:eastAsia="Arial" w:hAnsi="Arial"/>
          <w:sz w:val="25"/>
          <w:szCs w:val="25"/>
          <w:b w:val="1"/>
          <w:bCs w:val="1"/>
          <w:color w:val="4472C3"/>
        </w:rPr>
        <w:t>APPENDIX A: Transactions in the securities of CME Group Inc., the securities of companies with which CME Group does business and in other financial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This Appendix applies to all CME Group Board members and employees and internal consultants of CME Group.</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It also applies to trading activity on the company’s behalf.</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YOU MAY NOT ENGAGE IN INSIDER TRADING OR MARKET ABUSE</w:t>
      </w:r>
    </w:p>
    <w:p>
      <w:pPr>
        <w:spacing w:after="0" w:line="242" w:lineRule="exact"/>
        <w:rPr>
          <w:sz w:val="20"/>
          <w:szCs w:val="20"/>
          <w:color w:val="auto"/>
        </w:rPr>
      </w:pPr>
    </w:p>
    <w:p>
      <w:pPr>
        <w:ind w:right="960"/>
        <w:spacing w:after="0" w:line="271" w:lineRule="auto"/>
        <w:rPr>
          <w:sz w:val="20"/>
          <w:szCs w:val="20"/>
          <w:color w:val="auto"/>
        </w:rPr>
      </w:pPr>
      <w:r>
        <w:rPr>
          <w:rFonts w:ascii="Arial" w:cs="Arial" w:eastAsia="Arial" w:hAnsi="Arial"/>
          <w:sz w:val="20"/>
          <w:szCs w:val="20"/>
          <w:color w:val="auto"/>
        </w:rPr>
        <w:t>Most jurisdictions where CME Group conducts its business legally prohibit insider trading and other forms of market abuse and have sophisticated surveillance activities to identify and prosecute violations of the laws.</w:t>
      </w:r>
    </w:p>
    <w:p>
      <w:pPr>
        <w:spacing w:after="0" w:line="183" w:lineRule="exact"/>
        <w:rPr>
          <w:sz w:val="20"/>
          <w:szCs w:val="20"/>
          <w:color w:val="auto"/>
        </w:rPr>
      </w:pPr>
    </w:p>
    <w:p>
      <w:pPr>
        <w:ind w:right="1380"/>
        <w:spacing w:after="0" w:line="282" w:lineRule="auto"/>
        <w:rPr>
          <w:sz w:val="20"/>
          <w:szCs w:val="20"/>
          <w:color w:val="auto"/>
        </w:rPr>
      </w:pPr>
      <w:r>
        <w:rPr>
          <w:rFonts w:ascii="Arial" w:cs="Arial" w:eastAsia="Arial" w:hAnsi="Arial"/>
          <w:sz w:val="20"/>
          <w:szCs w:val="20"/>
          <w:color w:val="auto"/>
        </w:rPr>
        <w:t xml:space="preserve">If you are aware of or have access to </w:t>
      </w:r>
      <w:r>
        <w:rPr>
          <w:rFonts w:ascii="Arial" w:cs="Arial" w:eastAsia="Arial" w:hAnsi="Arial"/>
          <w:sz w:val="20"/>
          <w:szCs w:val="20"/>
          <w:b w:val="1"/>
          <w:bCs w:val="1"/>
          <w:i w:val="1"/>
          <w:iCs w:val="1"/>
          <w:color w:val="auto"/>
        </w:rPr>
        <w:t>inside information</w:t>
      </w:r>
      <w:r>
        <w:rPr>
          <w:rFonts w:ascii="Arial" w:cs="Arial" w:eastAsia="Arial" w:hAnsi="Arial"/>
          <w:sz w:val="20"/>
          <w:szCs w:val="20"/>
          <w:color w:val="auto"/>
        </w:rPr>
        <w:t xml:space="preserve"> (sometimes also referred to as </w:t>
      </w:r>
      <w:r>
        <w:rPr>
          <w:rFonts w:ascii="Arial" w:cs="Arial" w:eastAsia="Arial" w:hAnsi="Arial"/>
          <w:sz w:val="20"/>
          <w:szCs w:val="20"/>
          <w:b w:val="1"/>
          <w:bCs w:val="1"/>
          <w:i w:val="1"/>
          <w:iCs w:val="1"/>
          <w:color w:val="auto"/>
        </w:rPr>
        <w:t>material, non-public</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relating to CME Group</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or to any other company</w:t>
      </w:r>
      <w:r>
        <w:rPr>
          <w:rFonts w:ascii="Arial" w:cs="Arial" w:eastAsia="Arial" w:hAnsi="Arial"/>
          <w:sz w:val="20"/>
          <w:szCs w:val="20"/>
          <w:color w:val="auto"/>
        </w:rPr>
        <w:t>, you</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may not</w:t>
      </w:r>
      <w:r>
        <w:rPr>
          <w:rFonts w:ascii="Arial" w:cs="Arial" w:eastAsia="Arial" w:hAnsi="Arial"/>
          <w:sz w:val="20"/>
          <w:szCs w:val="20"/>
          <w:color w:val="auto"/>
        </w:rPr>
        <w:t>:</w:t>
      </w:r>
    </w:p>
    <w:p>
      <w:pPr>
        <w:spacing w:after="0" w:line="162" w:lineRule="exact"/>
        <w:rPr>
          <w:sz w:val="20"/>
          <w:szCs w:val="20"/>
          <w:color w:val="auto"/>
        </w:rPr>
      </w:pPr>
    </w:p>
    <w:p>
      <w:pPr>
        <w:ind w:left="700" w:right="880" w:hanging="315"/>
        <w:spacing w:after="0" w:line="257" w:lineRule="auto"/>
        <w:tabs>
          <w:tab w:leader="none" w:pos="698"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Buy or sell the financial instrument at issue (e.g., CME Group shares or the shares of another company you have inside information about). </w:t>
      </w:r>
      <w:r>
        <w:rPr>
          <w:rFonts w:ascii="Arial" w:cs="Arial" w:eastAsia="Arial" w:hAnsi="Arial"/>
          <w:sz w:val="20"/>
          <w:szCs w:val="20"/>
          <w:b w:val="1"/>
          <w:bCs w:val="1"/>
          <w:i w:val="1"/>
          <w:iCs w:val="1"/>
          <w:color w:val="auto"/>
        </w:rPr>
        <w:t>This prohibition applies to any account in which you have a financial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interest, including accounts of your connected persons (defined below). It is your obligation to make your connected persons aware of, and understand and comply with, the provisions and obligations of this Policy.</w:t>
      </w:r>
    </w:p>
    <w:p>
      <w:pPr>
        <w:spacing w:after="0" w:line="132" w:lineRule="exact"/>
        <w:rPr>
          <w:rFonts w:ascii="Arial" w:cs="Arial" w:eastAsia="Arial" w:hAnsi="Arial"/>
          <w:sz w:val="20"/>
          <w:szCs w:val="20"/>
          <w:color w:val="auto"/>
        </w:rPr>
      </w:pPr>
    </w:p>
    <w:p>
      <w:pPr>
        <w:ind w:left="700" w:hanging="315"/>
        <w:spacing w:after="0"/>
        <w:tabs>
          <w:tab w:leader="none" w:pos="7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Give, communicate or in any way convey inside information to anyone else (referred to as </w:t>
      </w:r>
      <w:r>
        <w:rPr>
          <w:rFonts w:ascii="Arial" w:cs="Arial" w:eastAsia="Arial" w:hAnsi="Arial"/>
          <w:sz w:val="20"/>
          <w:szCs w:val="20"/>
          <w:b w:val="1"/>
          <w:bCs w:val="1"/>
          <w:i w:val="1"/>
          <w:iCs w:val="1"/>
          <w:color w:val="auto"/>
        </w:rPr>
        <w:t>“tipping”</w:t>
      </w:r>
      <w:r>
        <w:rPr>
          <w:rFonts w:ascii="Arial" w:cs="Arial" w:eastAsia="Arial" w:hAnsi="Arial"/>
          <w:sz w:val="20"/>
          <w:szCs w:val="20"/>
          <w:color w:val="auto"/>
        </w:rPr>
        <w:t>).</w:t>
      </w:r>
    </w:p>
    <w:p>
      <w:pPr>
        <w:spacing w:after="0" w:line="310" w:lineRule="exact"/>
        <w:rPr>
          <w:sz w:val="20"/>
          <w:szCs w:val="20"/>
          <w:color w:val="auto"/>
        </w:rPr>
      </w:pPr>
    </w:p>
    <w:p>
      <w:pPr>
        <w:ind w:right="1180"/>
        <w:spacing w:after="0" w:line="271" w:lineRule="auto"/>
        <w:rPr>
          <w:sz w:val="20"/>
          <w:szCs w:val="20"/>
          <w:color w:val="auto"/>
        </w:rPr>
      </w:pPr>
      <w:r>
        <w:rPr>
          <w:rFonts w:ascii="Arial" w:cs="Arial" w:eastAsia="Arial" w:hAnsi="Arial"/>
          <w:sz w:val="20"/>
          <w:szCs w:val="20"/>
          <w:color w:val="auto"/>
        </w:rPr>
        <w:t xml:space="preserve">When trading securities, the term </w:t>
      </w:r>
      <w:r>
        <w:rPr>
          <w:rFonts w:ascii="Arial" w:cs="Arial" w:eastAsia="Arial" w:hAnsi="Arial"/>
          <w:sz w:val="20"/>
          <w:szCs w:val="20"/>
          <w:b w:val="1"/>
          <w:bCs w:val="1"/>
          <w:i w:val="1"/>
          <w:iCs w:val="1"/>
          <w:color w:val="auto"/>
        </w:rPr>
        <w:t>inside information</w:t>
      </w:r>
      <w:r>
        <w:rPr>
          <w:rFonts w:ascii="Arial" w:cs="Arial" w:eastAsia="Arial" w:hAnsi="Arial"/>
          <w:sz w:val="20"/>
          <w:szCs w:val="20"/>
          <w:color w:val="auto"/>
        </w:rPr>
        <w:t xml:space="preserve"> includes any information positive or negative that if publicly disclosed:</w:t>
      </w:r>
    </w:p>
    <w:p>
      <w:pPr>
        <w:spacing w:after="0" w:line="183" w:lineRule="exact"/>
        <w:rPr>
          <w:sz w:val="20"/>
          <w:szCs w:val="20"/>
          <w:color w:val="auto"/>
        </w:rPr>
      </w:pPr>
    </w:p>
    <w:p>
      <w:pPr>
        <w:ind w:left="1280" w:hanging="625"/>
        <w:spacing w:after="0"/>
        <w:tabs>
          <w:tab w:leader="none" w:pos="12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might have an effect on the market for the securities of the issuer;</w:t>
      </w:r>
    </w:p>
    <w:p>
      <w:pPr>
        <w:spacing w:after="0" w:line="53" w:lineRule="exact"/>
        <w:rPr>
          <w:rFonts w:ascii="Arial" w:cs="Arial" w:eastAsia="Arial" w:hAnsi="Arial"/>
          <w:sz w:val="20"/>
          <w:szCs w:val="20"/>
          <w:color w:val="auto"/>
        </w:rPr>
      </w:pPr>
    </w:p>
    <w:p>
      <w:pPr>
        <w:ind w:left="1300" w:hanging="645"/>
        <w:spacing w:after="0"/>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might affect an individual investment decision of a reasonable investor; or</w:t>
      </w:r>
    </w:p>
    <w:p>
      <w:pPr>
        <w:spacing w:after="0" w:line="67" w:lineRule="exact"/>
        <w:rPr>
          <w:rFonts w:ascii="Arial" w:cs="Arial" w:eastAsia="Arial" w:hAnsi="Arial"/>
          <w:sz w:val="20"/>
          <w:szCs w:val="20"/>
          <w:color w:val="auto"/>
        </w:rPr>
      </w:pPr>
    </w:p>
    <w:p>
      <w:pPr>
        <w:ind w:left="1300" w:hanging="645"/>
        <w:spacing w:after="0"/>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might cause an insider to change his/her trading patterns.</w:t>
      </w:r>
    </w:p>
    <w:p>
      <w:pPr>
        <w:spacing w:after="0" w:line="297" w:lineRule="exact"/>
        <w:rPr>
          <w:sz w:val="20"/>
          <w:szCs w:val="20"/>
          <w:color w:val="auto"/>
        </w:rPr>
      </w:pPr>
    </w:p>
    <w:p>
      <w:pPr>
        <w:ind w:right="1320"/>
        <w:spacing w:after="0" w:line="259" w:lineRule="auto"/>
        <w:rPr>
          <w:sz w:val="20"/>
          <w:szCs w:val="20"/>
          <w:color w:val="auto"/>
        </w:rPr>
      </w:pPr>
      <w:r>
        <w:rPr>
          <w:rFonts w:ascii="Arial" w:cs="Arial" w:eastAsia="Arial" w:hAnsi="Arial"/>
          <w:sz w:val="20"/>
          <w:szCs w:val="20"/>
          <w:color w:val="auto"/>
        </w:rPr>
        <w:t>Information that has not been widely disseminated to the public is generally considered to be non-public information. In general, material information is considered public once it has been broadly distributed through a press release or filed with the Securities and Exchange Commission and the market has had time to absorb the information, typically 24 hours.</w:t>
      </w:r>
    </w:p>
    <w:p>
      <w:pPr>
        <w:spacing w:after="0" w:line="195" w:lineRule="exact"/>
        <w:rPr>
          <w:sz w:val="20"/>
          <w:szCs w:val="20"/>
          <w:color w:val="auto"/>
        </w:rPr>
      </w:pPr>
    </w:p>
    <w:p>
      <w:pPr>
        <w:ind w:right="840"/>
        <w:spacing w:after="0" w:line="262" w:lineRule="auto"/>
        <w:rPr>
          <w:sz w:val="20"/>
          <w:szCs w:val="20"/>
          <w:color w:val="auto"/>
        </w:rPr>
      </w:pPr>
      <w:r>
        <w:rPr>
          <w:rFonts w:ascii="Arial" w:cs="Arial" w:eastAsia="Arial" w:hAnsi="Arial"/>
          <w:sz w:val="20"/>
          <w:szCs w:val="20"/>
          <w:color w:val="auto"/>
        </w:rPr>
        <w:t xml:space="preserve">Even after termination of your employment or service with or to the company, if you continue to possess </w:t>
      </w:r>
      <w:r>
        <w:rPr>
          <w:rFonts w:ascii="Arial" w:cs="Arial" w:eastAsia="Arial" w:hAnsi="Arial"/>
          <w:sz w:val="20"/>
          <w:szCs w:val="20"/>
          <w:b w:val="1"/>
          <w:bCs w:val="1"/>
          <w:i w:val="1"/>
          <w:iCs w:val="1"/>
          <w:color w:val="auto"/>
        </w:rPr>
        <w:t>inside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this policy continues to apply to your personal trading activities until that information has become public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is no longer material.</w:t>
      </w:r>
    </w:p>
    <w:p>
      <w:pPr>
        <w:sectPr>
          <w:pgSz w:w="11900" w:h="16838" w:orient="portrait"/>
          <w:cols w:equalWidth="0" w:num="1">
            <w:col w:w="11060"/>
          </w:cols>
          <w:pgMar w:left="500" w:top="83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color w:val="auto"/>
        </w:rPr>
        <w:t>Exhibit 19.1</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Connected persons </w:t>
      </w:r>
      <w:r>
        <w:rPr>
          <w:rFonts w:ascii="Arial" w:cs="Arial" w:eastAsia="Arial" w:hAnsi="Arial"/>
          <w:sz w:val="20"/>
          <w:szCs w:val="20"/>
          <w:color w:val="auto"/>
        </w:rPr>
        <w:t>are:</w:t>
      </w:r>
    </w:p>
    <w:p>
      <w:pPr>
        <w:spacing w:after="0" w:line="229" w:lineRule="exact"/>
        <w:rPr>
          <w:sz w:val="20"/>
          <w:szCs w:val="20"/>
          <w:color w:val="auto"/>
        </w:rPr>
      </w:pPr>
    </w:p>
    <w:p>
      <w:pPr>
        <w:ind w:left="960" w:hanging="305"/>
        <w:spacing w:after="0"/>
        <w:tabs>
          <w:tab w:leader="none" w:pos="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following members of your family:</w:t>
      </w:r>
    </w:p>
    <w:p>
      <w:pPr>
        <w:spacing w:after="0" w:line="67" w:lineRule="exact"/>
        <w:rPr>
          <w:rFonts w:ascii="Arial" w:cs="Arial" w:eastAsia="Arial" w:hAnsi="Arial"/>
          <w:sz w:val="20"/>
          <w:szCs w:val="20"/>
          <w:color w:val="auto"/>
        </w:rPr>
      </w:pPr>
    </w:p>
    <w:p>
      <w:pPr>
        <w:ind w:left="1520" w:hanging="217"/>
        <w:spacing w:after="0"/>
        <w:tabs>
          <w:tab w:leader="none" w:pos="15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your spouse or civil partner;</w:t>
      </w:r>
    </w:p>
    <w:p>
      <w:pPr>
        <w:spacing w:after="0" w:line="53" w:lineRule="exact"/>
        <w:rPr>
          <w:rFonts w:ascii="Arial" w:cs="Arial" w:eastAsia="Arial" w:hAnsi="Arial"/>
          <w:sz w:val="20"/>
          <w:szCs w:val="20"/>
          <w:color w:val="auto"/>
        </w:rPr>
      </w:pPr>
    </w:p>
    <w:p>
      <w:pPr>
        <w:ind w:left="1300" w:right="1080" w:firstLine="3"/>
        <w:spacing w:after="0" w:line="274" w:lineRule="auto"/>
        <w:tabs>
          <w:tab w:leader="none" w:pos="1763"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other person (whether of a different sex or the same sex) with whom you live as partner in an enduring family relationship;</w:t>
      </w:r>
    </w:p>
    <w:p>
      <w:pPr>
        <w:spacing w:after="0" w:line="1" w:lineRule="exact"/>
        <w:rPr>
          <w:rFonts w:ascii="Arial" w:cs="Arial" w:eastAsia="Arial" w:hAnsi="Arial"/>
          <w:sz w:val="20"/>
          <w:szCs w:val="20"/>
          <w:color w:val="auto"/>
        </w:rPr>
      </w:pPr>
    </w:p>
    <w:p>
      <w:pPr>
        <w:ind w:left="1300" w:right="920" w:firstLine="3"/>
        <w:spacing w:after="0" w:line="267" w:lineRule="auto"/>
        <w:tabs>
          <w:tab w:leader="none" w:pos="1766" w:val="left"/>
        </w:tabs>
        <w:numPr>
          <w:ilvl w:val="1"/>
          <w:numId w:val="56"/>
        </w:numPr>
        <w:rPr>
          <w:rFonts w:ascii="Arial" w:cs="Arial" w:eastAsia="Arial" w:hAnsi="Arial"/>
          <w:sz w:val="20"/>
          <w:szCs w:val="20"/>
          <w:color w:val="auto"/>
        </w:rPr>
      </w:pPr>
      <w:r>
        <w:rPr>
          <w:rFonts w:ascii="Arial" w:cs="Arial" w:eastAsia="Arial" w:hAnsi="Arial"/>
          <w:sz w:val="20"/>
          <w:szCs w:val="20"/>
          <w:color w:val="auto"/>
        </w:rPr>
        <w:t>your children, including any adopted children, step-children and the children of a person within paragraph (ii) until they are considered an adult, no longer financially supported by you and no longer sharing the same household; and</w:t>
      </w:r>
    </w:p>
    <w:p>
      <w:pPr>
        <w:spacing w:after="0" w:line="1" w:lineRule="exact"/>
        <w:rPr>
          <w:rFonts w:ascii="Arial" w:cs="Arial" w:eastAsia="Arial" w:hAnsi="Arial"/>
          <w:sz w:val="20"/>
          <w:szCs w:val="20"/>
          <w:color w:val="auto"/>
        </w:rPr>
      </w:pPr>
    </w:p>
    <w:p>
      <w:pPr>
        <w:ind w:left="1760" w:hanging="457"/>
        <w:spacing w:after="0"/>
        <w:tabs>
          <w:tab w:leader="none" w:pos="17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other relative of yours who has shared the same household as you for at least one year</w:t>
      </w:r>
    </w:p>
    <w:p>
      <w:pPr>
        <w:spacing w:after="0" w:line="67" w:lineRule="exact"/>
        <w:rPr>
          <w:rFonts w:ascii="Arial" w:cs="Arial" w:eastAsia="Arial" w:hAnsi="Arial"/>
          <w:sz w:val="20"/>
          <w:szCs w:val="20"/>
          <w:color w:val="auto"/>
        </w:rPr>
      </w:pPr>
    </w:p>
    <w:p>
      <w:pPr>
        <w:jc w:val="both"/>
        <w:ind w:left="660" w:right="1460" w:hanging="5"/>
        <w:spacing w:after="0" w:line="262" w:lineRule="auto"/>
        <w:tabs>
          <w:tab w:leader="none" w:pos="1118"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company in whose equity securities (e.g., stock) you and/or any member or members (taken together) of your family are directly or indirectly interested (actually or contingently) so that they are (or would be) able to:</w:t>
      </w:r>
    </w:p>
    <w:p>
      <w:pPr>
        <w:spacing w:after="0" w:line="16" w:lineRule="exact"/>
        <w:rPr>
          <w:rFonts w:ascii="Arial" w:cs="Arial" w:eastAsia="Arial" w:hAnsi="Arial"/>
          <w:sz w:val="20"/>
          <w:szCs w:val="20"/>
          <w:color w:val="auto"/>
        </w:rPr>
      </w:pPr>
    </w:p>
    <w:p>
      <w:pPr>
        <w:ind w:left="1300" w:right="940" w:firstLine="3"/>
        <w:spacing w:after="0" w:line="271" w:lineRule="auto"/>
        <w:tabs>
          <w:tab w:leader="none" w:pos="1759"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exercise or control the exercise of 20% or more of the votes able to be cast at general meetings on all, or substantially all, matters; or</w:t>
      </w:r>
    </w:p>
    <w:p>
      <w:pPr>
        <w:spacing w:after="0" w:line="7" w:lineRule="exact"/>
        <w:rPr>
          <w:rFonts w:ascii="Arial" w:cs="Arial" w:eastAsia="Arial" w:hAnsi="Arial"/>
          <w:sz w:val="20"/>
          <w:szCs w:val="20"/>
          <w:color w:val="auto"/>
        </w:rPr>
      </w:pPr>
    </w:p>
    <w:p>
      <w:pPr>
        <w:ind w:left="1300" w:right="1480" w:firstLine="3"/>
        <w:spacing w:after="0" w:line="271" w:lineRule="auto"/>
        <w:tabs>
          <w:tab w:leader="none" w:pos="1763" w:val="left"/>
        </w:tabs>
        <w:numPr>
          <w:ilvl w:val="1"/>
          <w:numId w:val="56"/>
        </w:numPr>
        <w:rPr>
          <w:rFonts w:ascii="Arial" w:cs="Arial" w:eastAsia="Arial" w:hAnsi="Arial"/>
          <w:sz w:val="20"/>
          <w:szCs w:val="20"/>
          <w:color w:val="auto"/>
        </w:rPr>
      </w:pPr>
      <w:r>
        <w:rPr>
          <w:rFonts w:ascii="Arial" w:cs="Arial" w:eastAsia="Arial" w:hAnsi="Arial"/>
          <w:sz w:val="20"/>
          <w:szCs w:val="20"/>
          <w:color w:val="auto"/>
        </w:rPr>
        <w:t>appoint or remove directors holding a majority of voting rights at board meetings on all, or substantially all, matters</w:t>
      </w:r>
    </w:p>
    <w:p>
      <w:pPr>
        <w:spacing w:after="0" w:line="7" w:lineRule="exact"/>
        <w:rPr>
          <w:rFonts w:ascii="Arial" w:cs="Arial" w:eastAsia="Arial" w:hAnsi="Arial"/>
          <w:sz w:val="20"/>
          <w:szCs w:val="20"/>
          <w:color w:val="auto"/>
        </w:rPr>
      </w:pPr>
    </w:p>
    <w:p>
      <w:pPr>
        <w:ind w:left="920" w:hanging="265"/>
        <w:spacing w:after="0"/>
        <w:tabs>
          <w:tab w:leader="none" w:pos="9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person acting in their capacity as trustee of a trust:</w:t>
      </w:r>
    </w:p>
    <w:p>
      <w:pPr>
        <w:spacing w:after="0" w:line="67" w:lineRule="exact"/>
        <w:rPr>
          <w:rFonts w:ascii="Arial" w:cs="Arial" w:eastAsia="Arial" w:hAnsi="Arial"/>
          <w:sz w:val="20"/>
          <w:szCs w:val="20"/>
          <w:color w:val="auto"/>
        </w:rPr>
      </w:pPr>
    </w:p>
    <w:p>
      <w:pPr>
        <w:ind w:left="1760" w:hanging="457"/>
        <w:spacing w:after="0"/>
        <w:tabs>
          <w:tab w:leader="none" w:pos="17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beneficiaries of which include you or a person who is connected with you; or</w:t>
      </w:r>
    </w:p>
    <w:p>
      <w:pPr>
        <w:spacing w:after="0" w:line="53" w:lineRule="exact"/>
        <w:rPr>
          <w:rFonts w:ascii="Arial" w:cs="Arial" w:eastAsia="Arial" w:hAnsi="Arial"/>
          <w:sz w:val="20"/>
          <w:szCs w:val="20"/>
          <w:color w:val="auto"/>
        </w:rPr>
      </w:pPr>
    </w:p>
    <w:p>
      <w:pPr>
        <w:ind w:left="1300" w:right="1040" w:firstLine="3"/>
        <w:spacing w:after="0" w:line="262" w:lineRule="auto"/>
        <w:tabs>
          <w:tab w:leader="none" w:pos="1763"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terms of which confer a power on the trustees that may be exercised for your benefit or the benefit of any such person, other than a trust for the purposes of an employer sponsored share scheme or a pension scheme; and</w:t>
      </w:r>
    </w:p>
    <w:p>
      <w:pPr>
        <w:spacing w:after="0" w:line="16" w:lineRule="exact"/>
        <w:rPr>
          <w:rFonts w:ascii="Arial" w:cs="Arial" w:eastAsia="Arial" w:hAnsi="Arial"/>
          <w:sz w:val="20"/>
          <w:szCs w:val="20"/>
          <w:color w:val="auto"/>
        </w:rPr>
      </w:pPr>
    </w:p>
    <w:p>
      <w:pPr>
        <w:ind w:left="660" w:right="1020" w:hanging="5"/>
        <w:spacing w:after="0" w:line="271" w:lineRule="auto"/>
        <w:tabs>
          <w:tab w:leader="none" w:pos="1118"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person in respect of which you have a direct or indirect material interest in the outcome of a trade, other than obtaining a fee or commission for execution.</w:t>
      </w:r>
    </w:p>
    <w:p>
      <w:pPr>
        <w:spacing w:after="0" w:line="250" w:lineRule="exact"/>
        <w:rPr>
          <w:sz w:val="20"/>
          <w:szCs w:val="20"/>
          <w:color w:val="auto"/>
        </w:rPr>
      </w:pPr>
    </w:p>
    <w:p>
      <w:pPr>
        <w:ind w:right="840"/>
        <w:spacing w:after="0" w:line="263" w:lineRule="auto"/>
        <w:rPr>
          <w:sz w:val="20"/>
          <w:szCs w:val="20"/>
          <w:color w:val="auto"/>
        </w:rPr>
      </w:pPr>
      <w:r>
        <w:rPr>
          <w:rFonts w:ascii="Arial" w:cs="Arial" w:eastAsia="Arial" w:hAnsi="Arial"/>
          <w:sz w:val="20"/>
          <w:szCs w:val="20"/>
          <w:color w:val="auto"/>
        </w:rPr>
        <w:t xml:space="preserve">The definition of insider trading in the European Union is broader to include when an individual who holds inside information deals, tries to deal or takes any other form of trading decision (including cancelling an order) on the basis of inside information. Please refer to the Market Abuse chapter of the </w:t>
      </w:r>
      <w:r>
        <w:rPr>
          <w:rFonts w:ascii="Arial" w:cs="Arial" w:eastAsia="Arial" w:hAnsi="Arial"/>
          <w:sz w:val="20"/>
          <w:szCs w:val="20"/>
          <w:b w:val="1"/>
          <w:bCs w:val="1"/>
          <w:u w:val="single" w:color="auto"/>
          <w:color w:val="1154CC"/>
        </w:rPr>
        <w:t>CME Group EMEA and APAC Compliance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1154CC"/>
        </w:rPr>
        <w:t>Manual</w:t>
      </w:r>
      <w:r>
        <w:rPr>
          <w:rFonts w:ascii="Arial" w:cs="Arial" w:eastAsia="Arial" w:hAnsi="Arial"/>
          <w:sz w:val="20"/>
          <w:szCs w:val="20"/>
          <w:b w:val="1"/>
          <w:bCs w:val="1"/>
          <w:color w:val="1154CC"/>
        </w:rPr>
        <w:t xml:space="preserve"> </w:t>
      </w:r>
      <w:r>
        <w:rPr>
          <w:rFonts w:ascii="Arial" w:cs="Arial" w:eastAsia="Arial" w:hAnsi="Arial"/>
          <w:sz w:val="20"/>
          <w:szCs w:val="20"/>
          <w:color w:val="000000"/>
        </w:rPr>
        <w:t>for further information.</w:t>
      </w:r>
    </w:p>
    <w:p>
      <w:pPr>
        <w:spacing w:after="0" w:line="166" w:lineRule="exact"/>
        <w:rPr>
          <w:sz w:val="20"/>
          <w:szCs w:val="20"/>
          <w:color w:val="auto"/>
        </w:rPr>
      </w:pPr>
    </w:p>
    <w:p>
      <w:pPr>
        <w:jc w:val="both"/>
        <w:ind w:right="980"/>
        <w:spacing w:after="0" w:line="268" w:lineRule="auto"/>
        <w:rPr>
          <w:sz w:val="20"/>
          <w:szCs w:val="20"/>
          <w:color w:val="auto"/>
        </w:rPr>
      </w:pPr>
      <w:r>
        <w:rPr>
          <w:rFonts w:ascii="Arial" w:cs="Arial" w:eastAsia="Arial" w:hAnsi="Arial"/>
          <w:sz w:val="20"/>
          <w:szCs w:val="20"/>
          <w:b w:val="1"/>
          <w:bCs w:val="1"/>
          <w:i w:val="1"/>
          <w:iCs w:val="1"/>
          <w:color w:val="auto"/>
        </w:rPr>
        <w:t>Any information that could be expected to affect the price of a financial instrument, whether it is positive or negative, or might affect an individual investment decision of a reasonable investor, should be considered inside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4472C3"/>
        </w:rPr>
        <w:t>The below list contains examples of information that is likely considered inside information:</w:t>
      </w:r>
    </w:p>
    <w:p>
      <w:pPr>
        <w:spacing w:after="0" w:line="231" w:lineRule="exact"/>
        <w:rPr>
          <w:sz w:val="20"/>
          <w:szCs w:val="20"/>
          <w:color w:val="auto"/>
        </w:rPr>
      </w:pPr>
    </w:p>
    <w:p>
      <w:pPr>
        <w:ind w:left="660" w:right="2160" w:hanging="329"/>
        <w:spacing w:after="0" w:line="271" w:lineRule="auto"/>
        <w:tabs>
          <w:tab w:leader="none" w:pos="6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Projections of our future earnings or losses or actual changes in our earnings inconsistent with expectations.</w:t>
      </w:r>
    </w:p>
    <w:p>
      <w:pPr>
        <w:spacing w:after="0" w:line="7" w:lineRule="exact"/>
        <w:rPr>
          <w:rFonts w:ascii="Arial" w:cs="Arial" w:eastAsia="Arial" w:hAnsi="Arial"/>
          <w:sz w:val="20"/>
          <w:szCs w:val="20"/>
          <w:color w:val="auto"/>
        </w:rPr>
      </w:pPr>
    </w:p>
    <w:p>
      <w:pPr>
        <w:ind w:left="660" w:right="800" w:hanging="329"/>
        <w:spacing w:after="0" w:line="271" w:lineRule="auto"/>
        <w:tabs>
          <w:tab w:leader="none" w:pos="6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Information on our average rate per contract or contemplated significant pricing changes that could impact our stock price.</w:t>
      </w:r>
    </w:p>
    <w:p>
      <w:pPr>
        <w:sectPr>
          <w:pgSz w:w="11900" w:h="16838" w:orient="portrait"/>
          <w:cols w:equalWidth="0" w:num="1">
            <w:col w:w="11060"/>
          </w:cols>
          <w:pgMar w:left="500" w:top="83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color w:val="auto"/>
        </w:rPr>
        <w:t>Exhibit 19.1</w:t>
      </w:r>
    </w:p>
    <w:p>
      <w:pPr>
        <w:spacing w:after="0" w:line="351" w:lineRule="exact"/>
        <w:rPr>
          <w:sz w:val="20"/>
          <w:szCs w:val="20"/>
          <w:color w:val="auto"/>
        </w:rPr>
      </w:pPr>
    </w:p>
    <w:p>
      <w:pPr>
        <w:ind w:left="660" w:right="1440" w:hanging="329"/>
        <w:spacing w:after="0" w:line="262" w:lineRule="auto"/>
        <w:tabs>
          <w:tab w:leader="none" w:pos="658"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pending or proposed merger, acquisition or other corporate development, or that discussions or negotiations with respect to such activity are in progress as it relates to both CME Group stock and the stock of the other party.</w:t>
      </w:r>
    </w:p>
    <w:p>
      <w:pPr>
        <w:spacing w:after="0" w:line="2" w:lineRule="exact"/>
        <w:rPr>
          <w:rFonts w:ascii="Arial" w:cs="Arial" w:eastAsia="Arial" w:hAnsi="Arial"/>
          <w:sz w:val="20"/>
          <w:szCs w:val="20"/>
          <w:color w:val="auto"/>
        </w:rPr>
      </w:pPr>
    </w:p>
    <w:p>
      <w:pPr>
        <w:ind w:left="660" w:right="1580" w:hanging="329"/>
        <w:spacing w:after="0" w:line="281" w:lineRule="auto"/>
        <w:tabs>
          <w:tab w:leader="none" w:pos="658" w:val="left"/>
        </w:tabs>
        <w:numPr>
          <w:ilvl w:val="0"/>
          <w:numId w:val="58"/>
        </w:numPr>
        <w:rPr>
          <w:rFonts w:ascii="Arial" w:cs="Arial" w:eastAsia="Arial" w:hAnsi="Arial"/>
          <w:sz w:val="20"/>
          <w:szCs w:val="20"/>
          <w:color w:val="auto"/>
        </w:rPr>
      </w:pPr>
      <w:r>
        <w:rPr>
          <w:rFonts w:ascii="Arial" w:cs="Arial" w:eastAsia="Arial" w:hAnsi="Arial"/>
          <w:sz w:val="20"/>
          <w:szCs w:val="20"/>
          <w:color w:val="auto"/>
        </w:rPr>
        <w:t>Significant dividend increases or decreases, including information relating to our Q1 dividend and our annual variable dividend.</w:t>
      </w:r>
    </w:p>
    <w:p>
      <w:pPr>
        <w:spacing w:after="0" w:line="1" w:lineRule="exact"/>
        <w:rPr>
          <w:rFonts w:ascii="Arial" w:cs="Arial" w:eastAsia="Arial" w:hAnsi="Arial"/>
          <w:sz w:val="20"/>
          <w:szCs w:val="20"/>
          <w:color w:val="auto"/>
        </w:rPr>
      </w:pPr>
    </w:p>
    <w:p>
      <w:pPr>
        <w:ind w:left="660" w:hanging="329"/>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significant investment in technology that is not accounted for in our published expense guidance.</w:t>
      </w:r>
    </w:p>
    <w:p>
      <w:pPr>
        <w:spacing w:after="0" w:line="53" w:lineRule="exact"/>
        <w:rPr>
          <w:rFonts w:ascii="Arial" w:cs="Arial" w:eastAsia="Arial" w:hAnsi="Arial"/>
          <w:sz w:val="20"/>
          <w:szCs w:val="20"/>
          <w:color w:val="auto"/>
        </w:rPr>
      </w:pPr>
    </w:p>
    <w:p>
      <w:pPr>
        <w:ind w:left="660" w:right="1500" w:hanging="329"/>
        <w:spacing w:after="0" w:line="274" w:lineRule="auto"/>
        <w:tabs>
          <w:tab w:leader="none" w:pos="658"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new product, service or technology offering that is expected to generate a significant amount of new revenue.</w:t>
      </w:r>
    </w:p>
    <w:p>
      <w:pPr>
        <w:spacing w:after="0" w:line="1" w:lineRule="exact"/>
        <w:rPr>
          <w:rFonts w:ascii="Arial" w:cs="Arial" w:eastAsia="Arial" w:hAnsi="Arial"/>
          <w:sz w:val="20"/>
          <w:szCs w:val="20"/>
          <w:color w:val="auto"/>
        </w:rPr>
      </w:pPr>
    </w:p>
    <w:p>
      <w:pPr>
        <w:ind w:left="660" w:right="1960" w:hanging="329"/>
        <w:spacing w:after="0" w:line="281" w:lineRule="auto"/>
        <w:tabs>
          <w:tab w:leader="none" w:pos="658"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major change in senior management, material change in staffing levels or a material personnel restructuring.</w:t>
      </w:r>
    </w:p>
    <w:p>
      <w:pPr>
        <w:spacing w:after="0" w:line="1" w:lineRule="exact"/>
        <w:rPr>
          <w:rFonts w:ascii="Arial" w:cs="Arial" w:eastAsia="Arial" w:hAnsi="Arial"/>
          <w:sz w:val="20"/>
          <w:szCs w:val="20"/>
          <w:color w:val="auto"/>
        </w:rPr>
      </w:pPr>
    </w:p>
    <w:p>
      <w:pPr>
        <w:ind w:left="660" w:right="820" w:hanging="329"/>
        <w:spacing w:after="0" w:line="271" w:lineRule="auto"/>
        <w:tabs>
          <w:tab w:leader="none" w:pos="698" w:val="left"/>
        </w:tabs>
        <w:numPr>
          <w:ilvl w:val="0"/>
          <w:numId w:val="58"/>
        </w:numPr>
        <w:rPr>
          <w:rFonts w:ascii="Arial" w:cs="Arial" w:eastAsia="Arial" w:hAnsi="Arial"/>
          <w:sz w:val="20"/>
          <w:szCs w:val="20"/>
          <w:color w:val="auto"/>
        </w:rPr>
      </w:pPr>
      <w:r>
        <w:rPr>
          <w:rFonts w:ascii="Arial" w:cs="Arial" w:eastAsia="Arial" w:hAnsi="Arial"/>
          <w:sz w:val="20"/>
          <w:szCs w:val="20"/>
          <w:color w:val="auto"/>
        </w:rPr>
        <w:t>Material pending or threatened litigation, regulatory or governmental actions, as well as any significant developments in connection with such matters (such as their termination or resolution).</w:t>
      </w:r>
    </w:p>
    <w:p>
      <w:pPr>
        <w:spacing w:after="0" w:line="7" w:lineRule="exact"/>
        <w:rPr>
          <w:rFonts w:ascii="Arial" w:cs="Arial" w:eastAsia="Arial" w:hAnsi="Arial"/>
          <w:sz w:val="20"/>
          <w:szCs w:val="20"/>
          <w:color w:val="auto"/>
        </w:rPr>
      </w:pPr>
    </w:p>
    <w:p>
      <w:pPr>
        <w:ind w:left="660" w:hanging="329"/>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gain or loss of a significant client or vendor.</w:t>
      </w:r>
    </w:p>
    <w:p>
      <w:pPr>
        <w:spacing w:after="0" w:line="53" w:lineRule="exact"/>
        <w:rPr>
          <w:rFonts w:ascii="Arial" w:cs="Arial" w:eastAsia="Arial" w:hAnsi="Arial"/>
          <w:sz w:val="20"/>
          <w:szCs w:val="20"/>
          <w:color w:val="auto"/>
        </w:rPr>
      </w:pPr>
    </w:p>
    <w:p>
      <w:pPr>
        <w:ind w:left="660" w:hanging="329"/>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imminent change in a credit rating by a rating agency.</w:t>
      </w:r>
    </w:p>
    <w:p>
      <w:pPr>
        <w:spacing w:after="0" w:line="67" w:lineRule="exact"/>
        <w:rPr>
          <w:rFonts w:ascii="Arial" w:cs="Arial" w:eastAsia="Arial" w:hAnsi="Arial"/>
          <w:sz w:val="20"/>
          <w:szCs w:val="20"/>
          <w:color w:val="auto"/>
        </w:rPr>
      </w:pPr>
    </w:p>
    <w:p>
      <w:pPr>
        <w:ind w:left="660" w:right="760" w:hanging="329"/>
        <w:spacing w:after="0" w:line="271" w:lineRule="auto"/>
        <w:tabs>
          <w:tab w:leader="none" w:pos="671" w:val="left"/>
        </w:tabs>
        <w:numPr>
          <w:ilvl w:val="0"/>
          <w:numId w:val="58"/>
        </w:numPr>
        <w:rPr>
          <w:rFonts w:ascii="Arial" w:cs="Arial" w:eastAsia="Arial" w:hAnsi="Arial"/>
          <w:sz w:val="20"/>
          <w:szCs w:val="20"/>
          <w:color w:val="auto"/>
        </w:rPr>
      </w:pPr>
      <w:r>
        <w:rPr>
          <w:rFonts w:ascii="Arial" w:cs="Arial" w:eastAsia="Arial" w:hAnsi="Arial"/>
          <w:sz w:val="20"/>
          <w:szCs w:val="20"/>
          <w:color w:val="auto"/>
        </w:rPr>
        <w:t>Knowledge of the occurrence, or suspected occurrence, of a potentially significant cyber incident or privacy breach.</w:t>
      </w:r>
    </w:p>
    <w:p>
      <w:pPr>
        <w:spacing w:after="0" w:line="7" w:lineRule="exact"/>
        <w:rPr>
          <w:rFonts w:ascii="Arial" w:cs="Arial" w:eastAsia="Arial" w:hAnsi="Arial"/>
          <w:sz w:val="20"/>
          <w:szCs w:val="20"/>
          <w:color w:val="auto"/>
        </w:rPr>
      </w:pPr>
    </w:p>
    <w:p>
      <w:pPr>
        <w:ind w:left="660" w:hanging="329"/>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Significant distress of one of our Clearing Members or significant clients.</w:t>
      </w:r>
    </w:p>
    <w:p>
      <w:pPr>
        <w:spacing w:after="0" w:line="67" w:lineRule="exact"/>
        <w:rPr>
          <w:rFonts w:ascii="Arial" w:cs="Arial" w:eastAsia="Arial" w:hAnsi="Arial"/>
          <w:sz w:val="20"/>
          <w:szCs w:val="20"/>
          <w:color w:val="auto"/>
        </w:rPr>
      </w:pPr>
    </w:p>
    <w:p>
      <w:pPr>
        <w:ind w:left="660" w:right="860" w:hanging="329"/>
        <w:spacing w:after="0" w:line="262" w:lineRule="auto"/>
        <w:tabs>
          <w:tab w:leader="none" w:pos="658"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 investment decision that could have a significant impact on the price of an instrument (e.g., a decision on behalf of CME, including the Clearing House, to make a significant investment or divestiture in a specific fund that could have a material impact on the price of such fund).</w:t>
      </w:r>
    </w:p>
    <w:p>
      <w:pPr>
        <w:spacing w:after="0" w:line="2" w:lineRule="exact"/>
        <w:rPr>
          <w:rFonts w:ascii="Arial" w:cs="Arial" w:eastAsia="Arial" w:hAnsi="Arial"/>
          <w:sz w:val="20"/>
          <w:szCs w:val="20"/>
          <w:color w:val="auto"/>
        </w:rPr>
      </w:pPr>
    </w:p>
    <w:p>
      <w:pPr>
        <w:ind w:left="660" w:hanging="329"/>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Present or anticipated cash positions, commodity interests or trading strategies of a client.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 is your responsibility to comply with this policy against insider trading and market abuse. </w:t>
      </w:r>
      <w:r>
        <w:rPr>
          <w:rFonts w:ascii="Arial" w:cs="Arial" w:eastAsia="Arial" w:hAnsi="Arial"/>
          <w:sz w:val="20"/>
          <w:szCs w:val="20"/>
          <w:b w:val="1"/>
          <w:bCs w:val="1"/>
          <w:color w:val="auto"/>
        </w:rPr>
        <w:t>This means from time to</w:t>
      </w:r>
    </w:p>
    <w:p>
      <w:pPr>
        <w:spacing w:after="0" w:line="33" w:lineRule="exact"/>
        <w:rPr>
          <w:sz w:val="20"/>
          <w:szCs w:val="20"/>
          <w:color w:val="auto"/>
        </w:rPr>
      </w:pPr>
    </w:p>
    <w:p>
      <w:pPr>
        <w:ind w:right="1120"/>
        <w:spacing w:after="0" w:line="259" w:lineRule="auto"/>
        <w:rPr>
          <w:sz w:val="20"/>
          <w:szCs w:val="20"/>
          <w:color w:val="auto"/>
        </w:rPr>
      </w:pPr>
      <w:r>
        <w:rPr>
          <w:rFonts w:ascii="Arial" w:cs="Arial" w:eastAsia="Arial" w:hAnsi="Arial"/>
          <w:sz w:val="19"/>
          <w:szCs w:val="19"/>
          <w:b w:val="1"/>
          <w:bCs w:val="1"/>
          <w:color w:val="auto"/>
        </w:rPr>
        <w:t>time, you may not be able to buy or sell CME Group or another company’s stock or a particular financial instrument, even if you planned to make the transaction before gaining access to or learning of the inside</w:t>
      </w:r>
    </w:p>
    <w:p>
      <w:pPr>
        <w:spacing w:after="0" w:line="1" w:lineRule="exact"/>
        <w:rPr>
          <w:sz w:val="20"/>
          <w:szCs w:val="20"/>
          <w:color w:val="auto"/>
        </w:rPr>
      </w:pPr>
    </w:p>
    <w:p>
      <w:pPr>
        <w:ind w:right="1100"/>
        <w:spacing w:after="0" w:line="249" w:lineRule="auto"/>
        <w:rPr>
          <w:sz w:val="20"/>
          <w:szCs w:val="20"/>
          <w:color w:val="auto"/>
        </w:rPr>
      </w:pPr>
      <w:r>
        <w:rPr>
          <w:rFonts w:ascii="Arial" w:cs="Arial" w:eastAsia="Arial" w:hAnsi="Arial"/>
          <w:sz w:val="20"/>
          <w:szCs w:val="20"/>
          <w:b w:val="1"/>
          <w:bCs w:val="1"/>
          <w:color w:val="auto"/>
        </w:rPr>
        <w:t xml:space="preserve">information, and even though you believe you may suffer an economic loss or forego anticipated profit by waiting. </w:t>
      </w:r>
      <w:r>
        <w:rPr>
          <w:rFonts w:ascii="Arial" w:cs="Arial" w:eastAsia="Arial" w:hAnsi="Arial"/>
          <w:sz w:val="20"/>
          <w:szCs w:val="20"/>
          <w:color w:val="auto"/>
        </w:rPr>
        <w:t>CME Group believes that such lost opportunities are a necessary consequence of our commitment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compliance with the securities and market abuse laws and to fair and equitable trading markets. Refer to the </w:t>
      </w:r>
      <w:r>
        <w:rPr>
          <w:rFonts w:ascii="Arial" w:cs="Arial" w:eastAsia="Arial" w:hAnsi="Arial"/>
          <w:sz w:val="20"/>
          <w:szCs w:val="20"/>
          <w:b w:val="1"/>
          <w:bCs w:val="1"/>
          <w:u w:val="single" w:color="auto"/>
          <w:color w:val="1154CC"/>
        </w:rPr>
        <w:t>Frequently Asked Questions</w:t>
      </w:r>
      <w:r>
        <w:rPr>
          <w:rFonts w:ascii="Arial" w:cs="Arial" w:eastAsia="Arial" w:hAnsi="Arial"/>
          <w:sz w:val="20"/>
          <w:szCs w:val="20"/>
          <w:b w:val="1"/>
          <w:bCs w:val="1"/>
          <w:color w:val="1154CC"/>
        </w:rPr>
        <w:t xml:space="preserve"> </w:t>
      </w:r>
      <w:r>
        <w:rPr>
          <w:rFonts w:ascii="Arial" w:cs="Arial" w:eastAsia="Arial" w:hAnsi="Arial"/>
          <w:sz w:val="20"/>
          <w:szCs w:val="20"/>
          <w:color w:val="000000"/>
        </w:rPr>
        <w:t>for more information on what transactions are allowed during a trading restriction</w:t>
      </w:r>
      <w:r>
        <w:rPr>
          <w:rFonts w:ascii="Arial" w:cs="Arial" w:eastAsia="Arial" w:hAnsi="Arial"/>
          <w:sz w:val="20"/>
          <w:szCs w:val="20"/>
          <w:b w:val="1"/>
          <w:bCs w:val="1"/>
          <w:color w:val="1154CC"/>
        </w:rPr>
        <w:t xml:space="preserve"> </w:t>
      </w:r>
      <w:r>
        <w:rPr>
          <w:rFonts w:ascii="Arial" w:cs="Arial" w:eastAsia="Arial" w:hAnsi="Arial"/>
          <w:sz w:val="20"/>
          <w:szCs w:val="20"/>
          <w:color w:val="000000"/>
        </w:rPr>
        <w:t>period or when you otherwise have access to inside information.</w:t>
      </w:r>
    </w:p>
    <w:p>
      <w:pPr>
        <w:spacing w:after="0" w:line="204" w:lineRule="exact"/>
        <w:rPr>
          <w:sz w:val="20"/>
          <w:szCs w:val="20"/>
          <w:color w:val="auto"/>
        </w:rPr>
      </w:pPr>
    </w:p>
    <w:p>
      <w:pPr>
        <w:ind w:right="720"/>
        <w:spacing w:after="0" w:line="270" w:lineRule="auto"/>
        <w:rPr>
          <w:sz w:val="20"/>
          <w:szCs w:val="20"/>
          <w:color w:val="auto"/>
        </w:rPr>
      </w:pPr>
      <w:r>
        <w:rPr>
          <w:rFonts w:ascii="Arial" w:cs="Arial" w:eastAsia="Arial" w:hAnsi="Arial"/>
          <w:sz w:val="19"/>
          <w:szCs w:val="19"/>
          <w:b w:val="1"/>
          <w:bCs w:val="1"/>
          <w:color w:val="auto"/>
        </w:rPr>
        <w:t xml:space="preserve">When in doubt, it is best not to trade: </w:t>
      </w:r>
      <w:r>
        <w:rPr>
          <w:rFonts w:ascii="Arial" w:cs="Arial" w:eastAsia="Arial" w:hAnsi="Arial"/>
          <w:sz w:val="19"/>
          <w:szCs w:val="19"/>
          <w:color w:val="auto"/>
        </w:rPr>
        <w:t>Determining if information is considered inside information is complicated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outcome may differ from the initial assessment with the benefit of hindsight and actual performance of the financial instrument. The responsibility for determining whether you are in possession of inside information rests with you, and any action on the part of any other colleague pursuant to this policy (or otherwise) does not in any way constitute legal advice or insulate you from liability under the applicable securities laws. You could be subject to severe legal penalties and disciplinary action by CME Group for any conduct prohibited by this policy or applicable securities laws.</w:t>
      </w:r>
    </w:p>
    <w:p>
      <w:pPr>
        <w:sectPr>
          <w:pgSz w:w="11900" w:h="16838" w:orient="portrait"/>
          <w:cols w:equalWidth="0" w:num="1">
            <w:col w:w="11060"/>
          </w:cols>
          <w:pgMar w:left="500" w:top="833"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color w:val="auto"/>
        </w:rPr>
        <w:t>Exhibit 19.1</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SPECIFIC REQUIREMENTS RELATING TO CME GROUP STOCK</w:t>
      </w: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Speculative and hedging transactions in CME Group stock are prohibited</w:t>
      </w:r>
    </w:p>
    <w:p>
      <w:pPr>
        <w:spacing w:after="0" w:line="228" w:lineRule="exact"/>
        <w:rPr>
          <w:sz w:val="20"/>
          <w:szCs w:val="20"/>
          <w:color w:val="auto"/>
        </w:rPr>
      </w:pPr>
    </w:p>
    <w:p>
      <w:pPr>
        <w:ind w:right="960"/>
        <w:spacing w:after="0" w:line="254" w:lineRule="auto"/>
        <w:rPr>
          <w:sz w:val="20"/>
          <w:szCs w:val="20"/>
          <w:color w:val="auto"/>
        </w:rPr>
      </w:pPr>
      <w:r>
        <w:rPr>
          <w:rFonts w:ascii="Arial" w:cs="Arial" w:eastAsia="Arial" w:hAnsi="Arial"/>
          <w:sz w:val="20"/>
          <w:szCs w:val="20"/>
          <w:color w:val="auto"/>
        </w:rPr>
        <w:t>Investing in CME Group stock provides an opportunity to share in the long-term growth of CME Group. Short-term investments based on price fluctuations may put your personal gain in conflict with the best interests of CME Group and its shareholders. Consequently, you are prohibited from “short-selling” CME Group stock, from buying or selling puts, calls, options, spread bets, warrants or similar instruments on CME Group stock or engaging in other transactions with respect to CME Group stock that might be considered speculative.</w:t>
      </w:r>
    </w:p>
    <w:p>
      <w:pPr>
        <w:spacing w:after="0" w:line="214" w:lineRule="exact"/>
        <w:rPr>
          <w:sz w:val="20"/>
          <w:szCs w:val="20"/>
          <w:color w:val="auto"/>
        </w:rPr>
      </w:pPr>
    </w:p>
    <w:p>
      <w:pPr>
        <w:ind w:right="720"/>
        <w:spacing w:after="0" w:line="254" w:lineRule="auto"/>
        <w:rPr>
          <w:sz w:val="20"/>
          <w:szCs w:val="20"/>
          <w:color w:val="auto"/>
        </w:rPr>
      </w:pPr>
      <w:r>
        <w:rPr>
          <w:rFonts w:ascii="Arial" w:cs="Arial" w:eastAsia="Arial" w:hAnsi="Arial"/>
          <w:sz w:val="20"/>
          <w:szCs w:val="20"/>
          <w:color w:val="auto"/>
        </w:rPr>
        <w:t>Hedging or monetization transactions such as zero-cost collars and forward sale contracts that allow a person to lock in a portion of the value of their shares, often in exchange for all or part of the potential for upside appreciation in the shares, also are prohibited. Such transactions permit you to retain ownership of CME Group stock while limiting the risks and rewards of such ownership and, therefore, your interests may no longer be aligned with those of CME Group or its shareholders.</w:t>
      </w:r>
    </w:p>
    <w:p>
      <w:pPr>
        <w:spacing w:after="0" w:line="144" w:lineRule="exact"/>
        <w:rPr>
          <w:sz w:val="20"/>
          <w:szCs w:val="20"/>
          <w:color w:val="auto"/>
        </w:rPr>
      </w:pPr>
    </w:p>
    <w:p>
      <w:pPr>
        <w:ind w:right="1240"/>
        <w:spacing w:after="0" w:line="309" w:lineRule="auto"/>
        <w:rPr>
          <w:sz w:val="20"/>
          <w:szCs w:val="20"/>
          <w:color w:val="auto"/>
        </w:rPr>
      </w:pPr>
      <w:r>
        <w:rPr>
          <w:rFonts w:ascii="Arial" w:cs="Arial" w:eastAsia="Arial" w:hAnsi="Arial"/>
          <w:sz w:val="25"/>
          <w:szCs w:val="25"/>
          <w:b w:val="1"/>
          <w:bCs w:val="1"/>
          <w:color w:val="4472C3"/>
        </w:rPr>
        <w:t>Regular quarterly and event trading restriction periods prohibit certain colleagues from trading CME Group stock</w:t>
      </w:r>
    </w:p>
    <w:p>
      <w:pPr>
        <w:spacing w:after="0" w:line="86" w:lineRule="exact"/>
        <w:rPr>
          <w:sz w:val="20"/>
          <w:szCs w:val="20"/>
          <w:color w:val="auto"/>
        </w:rPr>
      </w:pPr>
    </w:p>
    <w:p>
      <w:pPr>
        <w:ind w:right="720"/>
        <w:spacing w:after="0" w:line="264" w:lineRule="auto"/>
        <w:rPr>
          <w:sz w:val="20"/>
          <w:szCs w:val="20"/>
          <w:color w:val="auto"/>
        </w:rPr>
      </w:pPr>
      <w:r>
        <w:rPr>
          <w:rFonts w:ascii="Arial" w:cs="Arial" w:eastAsia="Arial" w:hAnsi="Arial"/>
          <w:sz w:val="19"/>
          <w:szCs w:val="19"/>
          <w:color w:val="auto"/>
        </w:rPr>
        <w:t>Some colleagues are subject to additional restrictions on trading CME Group stock for a period of time, referred to as “trading restriction periods,” because of their job functions or information regarding our financial results to which they routinely have access or can be presumed to have routine access. During these trading restriction periods, those colleagues are prohibited from directly or indirectly (such as through a connected person) trading in CME Group stock.</w:t>
      </w:r>
    </w:p>
    <w:p>
      <w:pPr>
        <w:spacing w:after="0" w:line="2" w:lineRule="exact"/>
        <w:rPr>
          <w:sz w:val="20"/>
          <w:szCs w:val="20"/>
          <w:color w:val="auto"/>
        </w:rPr>
      </w:pPr>
    </w:p>
    <w:p>
      <w:pPr>
        <w:ind w:right="740"/>
        <w:spacing w:after="0" w:line="237" w:lineRule="auto"/>
        <w:rPr>
          <w:sz w:val="20"/>
          <w:szCs w:val="20"/>
          <w:color w:val="auto"/>
        </w:rPr>
      </w:pPr>
      <w:r>
        <w:rPr>
          <w:rFonts w:ascii="Arial" w:cs="Arial" w:eastAsia="Arial" w:hAnsi="Arial"/>
          <w:sz w:val="20"/>
          <w:szCs w:val="20"/>
          <w:b w:val="1"/>
          <w:bCs w:val="1"/>
          <w:i w:val="1"/>
          <w:iCs w:val="1"/>
          <w:color w:val="auto"/>
        </w:rPr>
        <w:t>Our regular quarterly trading restriction periods surrounding the release of our financial earnings begin on the 15</w:t>
      </w:r>
      <w:r>
        <w:rPr>
          <w:rFonts w:ascii="Arial" w:cs="Arial" w:eastAsia="Arial" w:hAnsi="Arial"/>
          <w:sz w:val="25"/>
          <w:szCs w:val="25"/>
          <w:b w:val="1"/>
          <w:bCs w:val="1"/>
          <w:i w:val="1"/>
          <w:iCs w:val="1"/>
          <w:color w:val="auto"/>
          <w:vertAlign w:val="superscript"/>
        </w:rPr>
        <w:t>th</w:t>
      </w:r>
      <w:r>
        <w:rPr>
          <w:rFonts w:ascii="Arial" w:cs="Arial" w:eastAsia="Arial" w:hAnsi="Arial"/>
          <w:sz w:val="20"/>
          <w:szCs w:val="20"/>
          <w:b w:val="1"/>
          <w:bCs w:val="1"/>
          <w:i w:val="1"/>
          <w:iCs w:val="1"/>
          <w:color w:val="auto"/>
        </w:rPr>
        <w:t xml:space="preserve"> day of the last month of each calendar quarter (March, June, September, December) and end 24 hours after the earnings are publicly released for that quarter.</w:t>
      </w:r>
    </w:p>
    <w:p>
      <w:pPr>
        <w:spacing w:after="0" w:line="202" w:lineRule="exact"/>
        <w:rPr>
          <w:sz w:val="20"/>
          <w:szCs w:val="20"/>
          <w:color w:val="auto"/>
        </w:rPr>
      </w:pPr>
    </w:p>
    <w:p>
      <w:pPr>
        <w:ind w:right="1020"/>
        <w:spacing w:after="0" w:line="268" w:lineRule="auto"/>
        <w:rPr>
          <w:sz w:val="20"/>
          <w:szCs w:val="20"/>
          <w:color w:val="auto"/>
        </w:rPr>
      </w:pPr>
      <w:r>
        <w:rPr>
          <w:rFonts w:ascii="Arial" w:cs="Arial" w:eastAsia="Arial" w:hAnsi="Arial"/>
          <w:sz w:val="19"/>
          <w:szCs w:val="19"/>
          <w:color w:val="auto"/>
        </w:rPr>
        <w:t xml:space="preserve">We also may impose event-specific trading restriction periods for material events, such as a significant transaction, litigation or investigation. You will receive notice from the Office of the Secretary if you are subject to a regular or event-specific trading restriction period. Other than the regular quarterly trading restriction period, you should not disclose the fact that you are prohibited from trading CME Group stock to anyone. </w:t>
      </w:r>
      <w:r>
        <w:rPr>
          <w:rFonts w:ascii="Arial" w:cs="Arial" w:eastAsia="Arial" w:hAnsi="Arial"/>
          <w:sz w:val="19"/>
          <w:szCs w:val="19"/>
          <w:b w:val="1"/>
          <w:bCs w:val="1"/>
          <w:i w:val="1"/>
          <w:iCs w:val="1"/>
          <w:color w:val="auto"/>
        </w:rPr>
        <w:t>Remember that trading</w:t>
      </w:r>
    </w:p>
    <w:p>
      <w:pPr>
        <w:spacing w:after="0" w:line="1" w:lineRule="exact"/>
        <w:rPr>
          <w:sz w:val="20"/>
          <w:szCs w:val="20"/>
          <w:color w:val="auto"/>
        </w:rPr>
      </w:pPr>
    </w:p>
    <w:p>
      <w:pPr>
        <w:ind w:right="720"/>
        <w:spacing w:after="0" w:line="259" w:lineRule="auto"/>
        <w:rPr>
          <w:sz w:val="20"/>
          <w:szCs w:val="20"/>
          <w:color w:val="auto"/>
        </w:rPr>
      </w:pPr>
      <w:r>
        <w:rPr>
          <w:rFonts w:ascii="Arial" w:cs="Arial" w:eastAsia="Arial" w:hAnsi="Arial"/>
          <w:sz w:val="19"/>
          <w:szCs w:val="19"/>
          <w:b w:val="1"/>
          <w:bCs w:val="1"/>
          <w:i w:val="1"/>
          <w:iCs w:val="1"/>
          <w:color w:val="auto"/>
        </w:rPr>
        <w:t>restriction periods are not the only time you are precluded from trading CME Group stock — you cannot trade CME Group stock any time you are in possession of or have access to inside information, whether or not</w:t>
      </w:r>
    </w:p>
    <w:p>
      <w:pPr>
        <w:spacing w:after="0" w:line="1" w:lineRule="exact"/>
        <w:rPr>
          <w:sz w:val="20"/>
          <w:szCs w:val="20"/>
          <w:color w:val="auto"/>
        </w:rPr>
      </w:pPr>
    </w:p>
    <w:p>
      <w:pPr>
        <w:ind w:right="780"/>
        <w:spacing w:after="0" w:line="263" w:lineRule="auto"/>
        <w:rPr>
          <w:sz w:val="20"/>
          <w:szCs w:val="20"/>
          <w:color w:val="auto"/>
        </w:rPr>
      </w:pPr>
      <w:r>
        <w:rPr>
          <w:rFonts w:ascii="Arial" w:cs="Arial" w:eastAsia="Arial" w:hAnsi="Arial"/>
          <w:sz w:val="20"/>
          <w:szCs w:val="20"/>
          <w:b w:val="1"/>
          <w:bCs w:val="1"/>
          <w:i w:val="1"/>
          <w:iCs w:val="1"/>
          <w:color w:val="auto"/>
        </w:rPr>
        <w:t xml:space="preserve">you’ve been specifically told that you are subject to a trading restriction period. </w:t>
      </w:r>
      <w:r>
        <w:rPr>
          <w:rFonts w:ascii="Arial" w:cs="Arial" w:eastAsia="Arial" w:hAnsi="Arial"/>
          <w:sz w:val="20"/>
          <w:szCs w:val="20"/>
          <w:color w:val="auto"/>
        </w:rPr>
        <w:t>Refer to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1154CC"/>
        </w:rPr>
        <w:t>Frequently Asked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1154CC"/>
        </w:rPr>
        <w:t>Questions</w:t>
      </w:r>
      <w:r>
        <w:rPr>
          <w:rFonts w:ascii="Arial" w:cs="Arial" w:eastAsia="Arial" w:hAnsi="Arial"/>
          <w:sz w:val="20"/>
          <w:szCs w:val="20"/>
          <w:b w:val="1"/>
          <w:bCs w:val="1"/>
          <w:color w:val="1154CC"/>
        </w:rPr>
        <w:t xml:space="preserve"> </w:t>
      </w:r>
      <w:r>
        <w:rPr>
          <w:rFonts w:ascii="Arial" w:cs="Arial" w:eastAsia="Arial" w:hAnsi="Arial"/>
          <w:sz w:val="20"/>
          <w:szCs w:val="20"/>
          <w:color w:val="000000"/>
        </w:rPr>
        <w:t>for more information on what transactions are prohibited during a trading restriction period.</w:t>
      </w:r>
    </w:p>
    <w:p>
      <w:pPr>
        <w:spacing w:after="0" w:line="193" w:lineRule="exact"/>
        <w:rPr>
          <w:sz w:val="20"/>
          <w:szCs w:val="20"/>
          <w:color w:val="auto"/>
        </w:rPr>
      </w:pPr>
    </w:p>
    <w:p>
      <w:pPr>
        <w:ind w:right="980"/>
        <w:spacing w:after="0" w:line="262" w:lineRule="auto"/>
        <w:rPr>
          <w:sz w:val="20"/>
          <w:szCs w:val="20"/>
          <w:color w:val="auto"/>
        </w:rPr>
      </w:pPr>
      <w:r>
        <w:rPr>
          <w:rFonts w:ascii="Arial" w:cs="Arial" w:eastAsia="Arial" w:hAnsi="Arial"/>
          <w:sz w:val="20"/>
          <w:szCs w:val="20"/>
          <w:color w:val="auto"/>
        </w:rPr>
        <w:t>In limited circumstances, we may impose an event-specific trading restriction period on another company’s stock when our colleagues may have access to inside information regarding that company. One example is when another company is involved in M&amp;A activity with CME Group.</w:t>
      </w:r>
    </w:p>
    <w:p>
      <w:pPr>
        <w:sectPr>
          <w:pgSz w:w="11900" w:h="16838" w:orient="portrait"/>
          <w:cols w:equalWidth="0" w:num="1">
            <w:col w:w="11060"/>
          </w:cols>
          <w:pgMar w:left="500" w:top="833"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color w:val="auto"/>
        </w:rPr>
        <w:t>Exhibit 19.1</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472C3"/>
        </w:rPr>
        <w:t>Pre-arranged trading plans</w:t>
      </w:r>
    </w:p>
    <w:p>
      <w:pPr>
        <w:spacing w:after="0" w:line="175" w:lineRule="exact"/>
        <w:rPr>
          <w:sz w:val="20"/>
          <w:szCs w:val="20"/>
          <w:color w:val="auto"/>
        </w:rPr>
      </w:pPr>
    </w:p>
    <w:p>
      <w:pPr>
        <w:ind w:right="700"/>
        <w:spacing w:after="0" w:line="251" w:lineRule="auto"/>
        <w:rPr>
          <w:sz w:val="20"/>
          <w:szCs w:val="20"/>
          <w:color w:val="auto"/>
        </w:rPr>
      </w:pPr>
      <w:r>
        <w:rPr>
          <w:rFonts w:ascii="Arial" w:cs="Arial" w:eastAsia="Arial" w:hAnsi="Arial"/>
          <w:sz w:val="20"/>
          <w:szCs w:val="20"/>
          <w:color w:val="auto"/>
        </w:rPr>
        <w:t>Under U.S. securities laws, in certain circumstances, an individual may pre-arrange a plan to trade in CME Group securities or the securities of other companies in the future. A pre-arranged trading plan may provide an individual with an affirmative defense to a charge of violating insider trading laws. This means that you may be able to pre-arrange transactions which may go forward, irrespective of your knowledge of inside information at the time of such transactions.</w:t>
      </w:r>
    </w:p>
    <w:p>
      <w:pPr>
        <w:spacing w:after="0" w:line="3" w:lineRule="exact"/>
        <w:rPr>
          <w:sz w:val="20"/>
          <w:szCs w:val="20"/>
          <w:color w:val="auto"/>
        </w:rPr>
      </w:pPr>
    </w:p>
    <w:p>
      <w:pPr>
        <w:ind w:right="820"/>
        <w:spacing w:after="0" w:line="265" w:lineRule="auto"/>
        <w:rPr>
          <w:sz w:val="20"/>
          <w:szCs w:val="20"/>
          <w:color w:val="auto"/>
        </w:rPr>
      </w:pPr>
      <w:r>
        <w:rPr>
          <w:rFonts w:ascii="Arial" w:cs="Arial" w:eastAsia="Arial" w:hAnsi="Arial"/>
          <w:sz w:val="20"/>
          <w:szCs w:val="20"/>
          <w:color w:val="auto"/>
        </w:rPr>
        <w:t xml:space="preserve">Such arrangements must be entered into in good faith, at a time when you do not possess inside information and must meet the criteria set forth in Rule 10b5-1. Establishing any trading plan involving CME Group securities must be pre-cleared by the Corporate Secretary. Refer to the </w:t>
      </w:r>
      <w:r>
        <w:rPr>
          <w:rFonts w:ascii="Arial" w:cs="Arial" w:eastAsia="Arial" w:hAnsi="Arial"/>
          <w:sz w:val="20"/>
          <w:szCs w:val="20"/>
          <w:b w:val="1"/>
          <w:bCs w:val="1"/>
          <w:u w:val="single" w:color="auto"/>
          <w:color w:val="1154CC"/>
        </w:rPr>
        <w:t>Frequently Asked Questions</w:t>
      </w:r>
      <w:r>
        <w:rPr>
          <w:rFonts w:ascii="Arial" w:cs="Arial" w:eastAsia="Arial" w:hAnsi="Arial"/>
          <w:sz w:val="20"/>
          <w:szCs w:val="20"/>
          <w:color w:val="auto"/>
        </w:rPr>
        <w:t xml:space="preserve"> for more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472C3"/>
        </w:rPr>
        <w:t>Company repurchase of shares</w:t>
      </w:r>
    </w:p>
    <w:p>
      <w:pPr>
        <w:spacing w:after="0" w:line="175" w:lineRule="exact"/>
        <w:rPr>
          <w:sz w:val="20"/>
          <w:szCs w:val="20"/>
          <w:color w:val="auto"/>
        </w:rPr>
      </w:pPr>
    </w:p>
    <w:p>
      <w:pPr>
        <w:ind w:right="980"/>
        <w:spacing w:after="0" w:line="259" w:lineRule="auto"/>
        <w:rPr>
          <w:sz w:val="20"/>
          <w:szCs w:val="20"/>
          <w:color w:val="auto"/>
        </w:rPr>
      </w:pPr>
      <w:r>
        <w:rPr>
          <w:rFonts w:ascii="Arial" w:cs="Arial" w:eastAsia="Arial" w:hAnsi="Arial"/>
          <w:sz w:val="20"/>
          <w:szCs w:val="20"/>
          <w:color w:val="auto"/>
        </w:rPr>
        <w:t>The Board of Directors of CME Group may from time to time authorize CME Group to repurchase CME Group securities under such terms and conditions that the Board of Directors may determine. It is CME Group's policy to comply with all applicable securities and state laws and this policy when the company is engaging in transactions in CME Group's securities.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472C3"/>
        </w:rPr>
        <w:t>Confidentiality of CME Group information</w:t>
      </w:r>
    </w:p>
    <w:p>
      <w:pPr>
        <w:spacing w:after="0" w:line="189" w:lineRule="exact"/>
        <w:rPr>
          <w:sz w:val="20"/>
          <w:szCs w:val="20"/>
          <w:color w:val="auto"/>
        </w:rPr>
      </w:pPr>
    </w:p>
    <w:p>
      <w:pPr>
        <w:ind w:right="960"/>
        <w:spacing w:after="0" w:line="255" w:lineRule="auto"/>
        <w:rPr>
          <w:sz w:val="20"/>
          <w:szCs w:val="20"/>
          <w:color w:val="auto"/>
        </w:rPr>
      </w:pPr>
      <w:r>
        <w:rPr>
          <w:rFonts w:ascii="Arial" w:cs="Arial" w:eastAsia="Arial" w:hAnsi="Arial"/>
          <w:sz w:val="20"/>
          <w:szCs w:val="20"/>
          <w:color w:val="auto"/>
        </w:rPr>
        <w:t xml:space="preserve">Everyone subject to this Appendix has an ethical and legal obligation to maintain the confidentiality of information about CME Group and the companies with which we do business as described in the </w:t>
      </w:r>
      <w:r>
        <w:rPr>
          <w:rFonts w:ascii="Arial" w:cs="Arial" w:eastAsia="Arial" w:hAnsi="Arial"/>
          <w:sz w:val="20"/>
          <w:szCs w:val="20"/>
          <w:b w:val="1"/>
          <w:bCs w:val="1"/>
          <w:u w:val="single" w:color="auto"/>
          <w:color w:val="1154CC"/>
        </w:rPr>
        <w:t>Code of Conduct</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1154CC"/>
        </w:rPr>
        <w:t>Board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1154CC"/>
        </w:rPr>
        <w:t>Code of Ethics</w:t>
      </w:r>
      <w:r>
        <w:rPr>
          <w:rFonts w:ascii="Arial" w:cs="Arial" w:eastAsia="Arial" w:hAnsi="Arial"/>
          <w:sz w:val="20"/>
          <w:szCs w:val="20"/>
          <w:color w:val="000000"/>
        </w:rPr>
        <w:t>, the</w:t>
      </w:r>
      <w:r>
        <w:rPr>
          <w:rFonts w:ascii="Arial" w:cs="Arial" w:eastAsia="Arial" w:hAnsi="Arial"/>
          <w:sz w:val="20"/>
          <w:szCs w:val="20"/>
          <w:b w:val="1"/>
          <w:bCs w:val="1"/>
          <w:color w:val="1154CC"/>
        </w:rPr>
        <w:t xml:space="preserve"> </w:t>
      </w:r>
      <w:r>
        <w:rPr>
          <w:rFonts w:ascii="Arial" w:cs="Arial" w:eastAsia="Arial" w:hAnsi="Arial"/>
          <w:sz w:val="20"/>
          <w:szCs w:val="20"/>
          <w:b w:val="1"/>
          <w:bCs w:val="1"/>
          <w:u w:val="single" w:color="auto"/>
          <w:color w:val="1154CC"/>
        </w:rPr>
        <w:t>Confidentiality and Data Protection Policy</w:t>
      </w:r>
      <w:r>
        <w:rPr>
          <w:rFonts w:ascii="Arial" w:cs="Arial" w:eastAsia="Arial" w:hAnsi="Arial"/>
          <w:sz w:val="20"/>
          <w:szCs w:val="20"/>
          <w:b w:val="1"/>
          <w:bCs w:val="1"/>
          <w:color w:val="1154CC"/>
        </w:rPr>
        <w:t xml:space="preserve"> </w:t>
      </w:r>
      <w:r>
        <w:rPr>
          <w:rFonts w:ascii="Arial" w:cs="Arial" w:eastAsia="Arial" w:hAnsi="Arial"/>
          <w:sz w:val="20"/>
          <w:szCs w:val="20"/>
          <w:color w:val="000000"/>
        </w:rPr>
        <w:t>and in the</w:t>
      </w:r>
      <w:r>
        <w:rPr>
          <w:rFonts w:ascii="Arial" w:cs="Arial" w:eastAsia="Arial" w:hAnsi="Arial"/>
          <w:sz w:val="20"/>
          <w:szCs w:val="20"/>
          <w:b w:val="1"/>
          <w:bCs w:val="1"/>
          <w:color w:val="1154CC"/>
        </w:rPr>
        <w:t xml:space="preserve"> </w:t>
      </w:r>
      <w:r>
        <w:rPr>
          <w:rFonts w:ascii="Arial" w:cs="Arial" w:eastAsia="Arial" w:hAnsi="Arial"/>
          <w:sz w:val="20"/>
          <w:szCs w:val="20"/>
          <w:b w:val="1"/>
          <w:bCs w:val="1"/>
          <w:u w:val="single" w:color="auto"/>
          <w:color w:val="1154CC"/>
        </w:rPr>
        <w:t>Rulebooks</w:t>
      </w:r>
      <w:r>
        <w:rPr>
          <w:rFonts w:ascii="Arial" w:cs="Arial" w:eastAsia="Arial" w:hAnsi="Arial"/>
          <w:sz w:val="20"/>
          <w:szCs w:val="20"/>
          <w:b w:val="1"/>
          <w:bCs w:val="1"/>
          <w:color w:val="1154CC"/>
        </w:rPr>
        <w:t xml:space="preserve"> </w:t>
      </w:r>
      <w:r>
        <w:rPr>
          <w:rFonts w:ascii="Arial" w:cs="Arial" w:eastAsia="Arial" w:hAnsi="Arial"/>
          <w:sz w:val="20"/>
          <w:szCs w:val="20"/>
          <w:color w:val="000000"/>
        </w:rPr>
        <w:t>of CME, CBOT, NYMEX</w:t>
      </w:r>
      <w:r>
        <w:rPr>
          <w:rFonts w:ascii="Arial" w:cs="Arial" w:eastAsia="Arial" w:hAnsi="Arial"/>
          <w:sz w:val="20"/>
          <w:szCs w:val="20"/>
          <w:b w:val="1"/>
          <w:bCs w:val="1"/>
          <w:color w:val="1154CC"/>
        </w:rPr>
        <w:t xml:space="preserve"> </w:t>
      </w:r>
      <w:r>
        <w:rPr>
          <w:rFonts w:ascii="Arial" w:cs="Arial" w:eastAsia="Arial" w:hAnsi="Arial"/>
          <w:sz w:val="20"/>
          <w:szCs w:val="20"/>
          <w:color w:val="000000"/>
        </w:rPr>
        <w:t>and COMEX, as applicable to your role.</w:t>
      </w:r>
    </w:p>
    <w:p>
      <w:pPr>
        <w:sectPr>
          <w:pgSz w:w="11900" w:h="16838" w:orient="portrait"/>
          <w:cols w:equalWidth="0" w:num="1">
            <w:col w:w="11060"/>
          </w:cols>
          <w:pgMar w:left="500" w:top="833"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color w:val="auto"/>
        </w:rPr>
        <w:t>Exhibit 19.1</w:t>
      </w:r>
    </w:p>
    <w:p>
      <w:pPr>
        <w:spacing w:after="0" w:line="348" w:lineRule="exact"/>
        <w:rPr>
          <w:sz w:val="20"/>
          <w:szCs w:val="20"/>
          <w:color w:val="auto"/>
        </w:rPr>
      </w:pPr>
    </w:p>
    <w:p>
      <w:pPr>
        <w:ind w:right="1660"/>
        <w:spacing w:after="0" w:line="298" w:lineRule="auto"/>
        <w:rPr>
          <w:sz w:val="20"/>
          <w:szCs w:val="20"/>
          <w:color w:val="auto"/>
        </w:rPr>
      </w:pPr>
      <w:r>
        <w:rPr>
          <w:rFonts w:ascii="Arial" w:cs="Arial" w:eastAsia="Arial" w:hAnsi="Arial"/>
          <w:sz w:val="25"/>
          <w:szCs w:val="25"/>
          <w:b w:val="1"/>
          <w:bCs w:val="1"/>
          <w:color w:val="4472C3"/>
        </w:rPr>
        <w:t>APPENDIX B: Requirements relating to individuals subject to Section 16 of the Exchange Act</w:t>
      </w:r>
    </w:p>
    <w:p>
      <w:pPr>
        <w:spacing w:after="0" w:line="99" w:lineRule="exact"/>
        <w:rPr>
          <w:sz w:val="20"/>
          <w:szCs w:val="20"/>
          <w:color w:val="auto"/>
        </w:rPr>
      </w:pPr>
    </w:p>
    <w:p>
      <w:pPr>
        <w:ind w:right="1700"/>
        <w:spacing w:after="0" w:line="286" w:lineRule="auto"/>
        <w:rPr>
          <w:sz w:val="20"/>
          <w:szCs w:val="20"/>
          <w:color w:val="auto"/>
        </w:rPr>
      </w:pPr>
      <w:r>
        <w:rPr>
          <w:rFonts w:ascii="Arial" w:cs="Arial" w:eastAsia="Arial" w:hAnsi="Arial"/>
          <w:sz w:val="20"/>
          <w:szCs w:val="20"/>
          <w:color w:val="auto"/>
        </w:rPr>
        <w:t xml:space="preserve">This Appendix applies to all </w:t>
      </w:r>
      <w:r>
        <w:rPr>
          <w:rFonts w:ascii="Arial" w:cs="Arial" w:eastAsia="Arial" w:hAnsi="Arial"/>
          <w:sz w:val="20"/>
          <w:szCs w:val="20"/>
          <w:b w:val="1"/>
          <w:bCs w:val="1"/>
          <w:i w:val="1"/>
          <w:iCs w:val="1"/>
          <w:color w:val="auto"/>
        </w:rPr>
        <w:t>executive officers</w:t>
      </w:r>
      <w:r>
        <w:rPr>
          <w:rFonts w:ascii="Arial" w:cs="Arial" w:eastAsia="Arial" w:hAnsi="Arial"/>
          <w:sz w:val="20"/>
          <w:szCs w:val="20"/>
          <w:color w:val="auto"/>
        </w:rPr>
        <w:t xml:space="preserve"> (the Chairman and Chief Executive Officer, members of the Management Team and the Chief Accounting Officer) and CME Group Board Members.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TRADING RESTRICTIONS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 may purchase or sell CME Group securities </w:t>
      </w:r>
      <w:r>
        <w:rPr>
          <w:rFonts w:ascii="Arial" w:cs="Arial" w:eastAsia="Arial" w:hAnsi="Arial"/>
          <w:sz w:val="20"/>
          <w:szCs w:val="20"/>
          <w:b w:val="1"/>
          <w:bCs w:val="1"/>
          <w:i w:val="1"/>
          <w:iCs w:val="1"/>
          <w:color w:val="auto"/>
        </w:rPr>
        <w:t>only</w:t>
      </w:r>
      <w:r>
        <w:rPr>
          <w:rFonts w:ascii="Arial" w:cs="Arial" w:eastAsia="Arial" w:hAnsi="Arial"/>
          <w:sz w:val="20"/>
          <w:szCs w:val="20"/>
          <w:color w:val="auto"/>
        </w:rPr>
        <w:t xml:space="preserve"> if you can satisfy </w:t>
      </w:r>
      <w:r>
        <w:rPr>
          <w:rFonts w:ascii="Arial" w:cs="Arial" w:eastAsia="Arial" w:hAnsi="Arial"/>
          <w:sz w:val="20"/>
          <w:szCs w:val="20"/>
          <w:b w:val="1"/>
          <w:bCs w:val="1"/>
          <w:u w:val="single" w:color="auto"/>
          <w:color w:val="auto"/>
        </w:rPr>
        <w:t>ALL</w:t>
      </w:r>
      <w:r>
        <w:rPr>
          <w:rFonts w:ascii="Arial" w:cs="Arial" w:eastAsia="Arial" w:hAnsi="Arial"/>
          <w:sz w:val="20"/>
          <w:szCs w:val="20"/>
          <w:color w:val="auto"/>
        </w:rPr>
        <w:t xml:space="preserve"> of the following:</w:t>
      </w:r>
    </w:p>
    <w:p>
      <w:pPr>
        <w:spacing w:after="0" w:line="231" w:lineRule="exact"/>
        <w:rPr>
          <w:sz w:val="20"/>
          <w:szCs w:val="20"/>
          <w:color w:val="auto"/>
        </w:rPr>
      </w:pPr>
    </w:p>
    <w:p>
      <w:pPr>
        <w:ind w:left="660" w:hanging="329"/>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You DO NOT have access to inside information;</w:t>
      </w:r>
    </w:p>
    <w:p>
      <w:pPr>
        <w:spacing w:after="0" w:line="121" w:lineRule="exact"/>
        <w:rPr>
          <w:rFonts w:ascii="Arial" w:cs="Arial" w:eastAsia="Arial" w:hAnsi="Arial"/>
          <w:sz w:val="20"/>
          <w:szCs w:val="20"/>
          <w:color w:val="auto"/>
        </w:rPr>
      </w:pPr>
    </w:p>
    <w:p>
      <w:pPr>
        <w:ind w:left="660" w:hanging="329"/>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You are NOT subject to a trading restriction;</w:t>
      </w:r>
    </w:p>
    <w:p>
      <w:pPr>
        <w:spacing w:after="0" w:line="107" w:lineRule="exact"/>
        <w:rPr>
          <w:rFonts w:ascii="Arial" w:cs="Arial" w:eastAsia="Arial" w:hAnsi="Arial"/>
          <w:sz w:val="20"/>
          <w:szCs w:val="20"/>
          <w:color w:val="auto"/>
        </w:rPr>
      </w:pPr>
    </w:p>
    <w:p>
      <w:pPr>
        <w:ind w:left="660" w:hanging="329"/>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You have pre-cleared the transaction with a member of the Office of the Secretary; AND</w:t>
      </w:r>
    </w:p>
    <w:p>
      <w:pPr>
        <w:spacing w:after="0" w:line="121" w:lineRule="exact"/>
        <w:rPr>
          <w:rFonts w:ascii="Arial" w:cs="Arial" w:eastAsia="Arial" w:hAnsi="Arial"/>
          <w:sz w:val="20"/>
          <w:szCs w:val="20"/>
          <w:color w:val="auto"/>
        </w:rPr>
      </w:pPr>
    </w:p>
    <w:p>
      <w:pPr>
        <w:ind w:left="660" w:right="960" w:hanging="329"/>
        <w:spacing w:after="0" w:line="262" w:lineRule="auto"/>
        <w:tabs>
          <w:tab w:leader="none" w:pos="658" w:val="left"/>
        </w:tabs>
        <w:numPr>
          <w:ilvl w:val="0"/>
          <w:numId w:val="59"/>
        </w:numPr>
        <w:rPr>
          <w:rFonts w:ascii="Arial" w:cs="Arial" w:eastAsia="Arial" w:hAnsi="Arial"/>
          <w:sz w:val="20"/>
          <w:szCs w:val="20"/>
          <w:color w:val="auto"/>
        </w:rPr>
      </w:pPr>
      <w:r>
        <w:rPr>
          <w:rFonts w:ascii="Arial" w:cs="Arial" w:eastAsia="Arial" w:hAnsi="Arial"/>
          <w:sz w:val="20"/>
          <w:szCs w:val="20"/>
          <w:color w:val="auto"/>
        </w:rPr>
        <w:t>You have not engaged in a matchable transaction within the prior six months if the transaction involves CME Group equity (meaning if you want to sell shares in the open market you have not purchased shares in the open market within the last six months and vice versa).</w:t>
      </w:r>
    </w:p>
    <w:p>
      <w:pPr>
        <w:spacing w:after="0" w:line="70" w:lineRule="exact"/>
        <w:rPr>
          <w:sz w:val="20"/>
          <w:szCs w:val="20"/>
          <w:color w:val="auto"/>
        </w:rPr>
      </w:pPr>
    </w:p>
    <w:p>
      <w:pPr>
        <w:ind w:right="860"/>
        <w:spacing w:after="0" w:line="262" w:lineRule="auto"/>
        <w:rPr>
          <w:sz w:val="20"/>
          <w:szCs w:val="20"/>
          <w:color w:val="auto"/>
        </w:rPr>
      </w:pPr>
      <w:r>
        <w:rPr>
          <w:rFonts w:ascii="Arial" w:cs="Arial" w:eastAsia="Arial" w:hAnsi="Arial"/>
          <w:sz w:val="20"/>
          <w:szCs w:val="20"/>
          <w:color w:val="auto"/>
        </w:rPr>
        <w:t>If you have engaged in a matchable transaction within the last six months, the Nominating and Governance Committee may authorize you to engage in the proposed transaction; provided that such transaction would not result in a recognizable gain for purposes of Section 16(b) of the Exchange Act.</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MANDATORY PRE-CLEARANCE PROCEDURES</w:t>
      </w:r>
    </w:p>
    <w:p>
      <w:pPr>
        <w:spacing w:after="0" w:line="228" w:lineRule="exact"/>
        <w:rPr>
          <w:sz w:val="20"/>
          <w:szCs w:val="20"/>
          <w:color w:val="auto"/>
        </w:rPr>
      </w:pPr>
    </w:p>
    <w:p>
      <w:pPr>
        <w:ind w:right="1420"/>
        <w:spacing w:after="0" w:line="262" w:lineRule="auto"/>
        <w:rPr>
          <w:sz w:val="20"/>
          <w:szCs w:val="20"/>
          <w:color w:val="auto"/>
        </w:rPr>
      </w:pPr>
      <w:r>
        <w:rPr>
          <w:rFonts w:ascii="Arial" w:cs="Arial" w:eastAsia="Arial" w:hAnsi="Arial"/>
          <w:sz w:val="20"/>
          <w:szCs w:val="20"/>
          <w:color w:val="auto"/>
        </w:rPr>
        <w:t>All of your transactions involving CME Group securities must be pre-cleared by a member of the Office of the Secretary. These procedures will help ensure you are not engaging in insider trading and you are fulfilling your reporting obligations with respect to such transactions.</w:t>
      </w:r>
    </w:p>
    <w:p>
      <w:pPr>
        <w:spacing w:after="0" w:line="192" w:lineRule="exact"/>
        <w:rPr>
          <w:sz w:val="20"/>
          <w:szCs w:val="20"/>
          <w:color w:val="auto"/>
        </w:rPr>
      </w:pPr>
    </w:p>
    <w:p>
      <w:pPr>
        <w:ind w:right="820"/>
        <w:spacing w:after="0" w:line="262" w:lineRule="auto"/>
        <w:rPr>
          <w:sz w:val="20"/>
          <w:szCs w:val="20"/>
          <w:color w:val="auto"/>
        </w:rPr>
      </w:pPr>
      <w:r>
        <w:rPr>
          <w:rFonts w:ascii="Arial" w:cs="Arial" w:eastAsia="Arial" w:hAnsi="Arial"/>
          <w:sz w:val="20"/>
          <w:szCs w:val="20"/>
          <w:color w:val="auto"/>
        </w:rPr>
        <w:t>CME Group Board Members, the Chairman and Chief Executive Officer and members of the Management Team also are subject to stock ownership guidelines which should be considered prior to engaging in any transaction involving CME Group equity.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Transactions requiring pre-clearance include:</w:t>
      </w:r>
    </w:p>
    <w:p>
      <w:pPr>
        <w:spacing w:after="0" w:line="229" w:lineRule="exact"/>
        <w:rPr>
          <w:sz w:val="20"/>
          <w:szCs w:val="20"/>
          <w:color w:val="auto"/>
        </w:rPr>
      </w:pPr>
    </w:p>
    <w:p>
      <w:pPr>
        <w:ind w:left="660" w:right="1180" w:hanging="329"/>
        <w:spacing w:after="0" w:line="262" w:lineRule="auto"/>
        <w:tabs>
          <w:tab w:leader="none" w:pos="65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transactions involving your CME Group securities (including the execution of a pre-arranged trading plan, the execution of a limit order, a gift, or a contribution to or transfer from a trust or any other transfer); and</w:t>
      </w:r>
    </w:p>
    <w:p>
      <w:pPr>
        <w:spacing w:after="0" w:line="191" w:lineRule="exact"/>
        <w:rPr>
          <w:rFonts w:ascii="Arial" w:cs="Arial" w:eastAsia="Arial" w:hAnsi="Arial"/>
          <w:sz w:val="20"/>
          <w:szCs w:val="20"/>
          <w:color w:val="auto"/>
        </w:rPr>
      </w:pPr>
    </w:p>
    <w:p>
      <w:pPr>
        <w:ind w:left="660" w:right="1140" w:hanging="329"/>
        <w:spacing w:after="0" w:line="255" w:lineRule="auto"/>
        <w:tabs>
          <w:tab w:leader="none" w:pos="658"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Any transactions by your connected persons involving CME Group securities in which you have a direct or indirect financial interest (for example, the ability to profit in some way from transactions in the securities). </w:t>
      </w:r>
      <w:r>
        <w:rPr>
          <w:rFonts w:ascii="Arial" w:cs="Arial" w:eastAsia="Arial" w:hAnsi="Arial"/>
          <w:sz w:val="20"/>
          <w:szCs w:val="20"/>
          <w:i w:val="1"/>
          <w:iCs w:val="1"/>
          <w:color w:val="auto"/>
        </w:rPr>
        <w:t>The SEC will presume you have a financial interest in securities held by your immediate family members sharing the same household.</w:t>
      </w:r>
    </w:p>
    <w:p>
      <w:pPr>
        <w:sectPr>
          <w:pgSz w:w="11900" w:h="16838" w:orient="portrait"/>
          <w:cols w:equalWidth="0" w:num="1">
            <w:col w:w="11060"/>
          </w:cols>
          <w:pgMar w:left="500" w:top="83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color w:val="auto"/>
        </w:rPr>
        <w:t>Exhibit 19.1</w:t>
      </w:r>
    </w:p>
    <w:p>
      <w:pPr>
        <w:spacing w:after="0" w:line="351" w:lineRule="exact"/>
        <w:rPr>
          <w:sz w:val="20"/>
          <w:szCs w:val="20"/>
          <w:color w:val="auto"/>
        </w:rPr>
      </w:pPr>
    </w:p>
    <w:p>
      <w:pPr>
        <w:ind w:right="720"/>
        <w:spacing w:after="0" w:line="251" w:lineRule="auto"/>
        <w:rPr>
          <w:sz w:val="20"/>
          <w:szCs w:val="20"/>
          <w:color w:val="auto"/>
        </w:rPr>
      </w:pPr>
      <w:r>
        <w:rPr>
          <w:rFonts w:ascii="Arial" w:cs="Arial" w:eastAsia="Arial" w:hAnsi="Arial"/>
          <w:sz w:val="20"/>
          <w:szCs w:val="20"/>
          <w:color w:val="auto"/>
        </w:rPr>
        <w:t>Pre-clearance of a transaction by a member of the Office of the Secretary does not authorize or condone a transaction that may contravene securities law, such as trading with inside information and does not necessarily protect you from liability under the laws prohibiting insider trading. Each pre-clearance expires on the second business day following the date the</w:t>
      </w:r>
    </w:p>
    <w:p>
      <w:pPr>
        <w:spacing w:after="0" w:line="1" w:lineRule="exact"/>
        <w:rPr>
          <w:sz w:val="20"/>
          <w:szCs w:val="20"/>
          <w:color w:val="auto"/>
        </w:rPr>
      </w:pPr>
    </w:p>
    <w:p>
      <w:pPr>
        <w:ind w:right="780"/>
        <w:spacing w:after="0" w:line="253" w:lineRule="auto"/>
        <w:rPr>
          <w:sz w:val="20"/>
          <w:szCs w:val="20"/>
          <w:color w:val="auto"/>
        </w:rPr>
      </w:pPr>
      <w:r>
        <w:rPr>
          <w:rFonts w:ascii="Arial" w:cs="Arial" w:eastAsia="Arial" w:hAnsi="Arial"/>
          <w:sz w:val="20"/>
          <w:szCs w:val="20"/>
          <w:color w:val="auto"/>
        </w:rPr>
        <w:t>pre-clearance was issued, unless otherwise extended by a member of the Office of the Secretary. In addition, the pre-clearance may be revoked at any time before the trade by any member of the Office of the Secretary and by the issuance of a “no trade” directive. You will be notified if a “no-trade” directive is issued or pre-clearance is revoked.</w:t>
      </w:r>
    </w:p>
    <w:p>
      <w:pPr>
        <w:spacing w:after="0" w:line="200" w:lineRule="exact"/>
        <w:rPr>
          <w:sz w:val="20"/>
          <w:szCs w:val="20"/>
          <w:color w:val="auto"/>
        </w:rPr>
      </w:pPr>
    </w:p>
    <w:p>
      <w:pPr>
        <w:ind w:right="1120"/>
        <w:spacing w:after="0" w:line="271" w:lineRule="auto"/>
        <w:rPr>
          <w:sz w:val="20"/>
          <w:szCs w:val="20"/>
          <w:color w:val="auto"/>
        </w:rPr>
      </w:pPr>
      <w:r>
        <w:rPr>
          <w:rFonts w:ascii="Arial" w:cs="Arial" w:eastAsia="Arial" w:hAnsi="Arial"/>
          <w:sz w:val="20"/>
          <w:szCs w:val="20"/>
          <w:color w:val="auto"/>
        </w:rPr>
        <w:t xml:space="preserve">To request pre-clearance for a transaction, please contact the </w:t>
      </w:r>
      <w:r>
        <w:rPr>
          <w:rFonts w:ascii="Arial" w:cs="Arial" w:eastAsia="Arial" w:hAnsi="Arial"/>
          <w:sz w:val="20"/>
          <w:szCs w:val="20"/>
          <w:u w:val="single" w:color="auto"/>
          <w:color w:val="1154CC"/>
        </w:rPr>
        <w:t>Corporate Secretary</w:t>
      </w:r>
      <w:r>
        <w:rPr>
          <w:rFonts w:ascii="Arial" w:cs="Arial" w:eastAsia="Arial" w:hAnsi="Arial"/>
          <w:sz w:val="20"/>
          <w:szCs w:val="20"/>
          <w:color w:val="auto"/>
        </w:rPr>
        <w:t xml:space="preserve"> and provide all of the following information:</w:t>
      </w:r>
    </w:p>
    <w:p>
      <w:pPr>
        <w:spacing w:after="0" w:line="183" w:lineRule="exact"/>
        <w:rPr>
          <w:sz w:val="20"/>
          <w:szCs w:val="20"/>
          <w:color w:val="auto"/>
        </w:rPr>
      </w:pPr>
    </w:p>
    <w:p>
      <w:pPr>
        <w:ind w:left="660" w:right="1480" w:hanging="329"/>
        <w:spacing w:after="0" w:line="271" w:lineRule="auto"/>
        <w:tabs>
          <w:tab w:leader="none" w:pos="658" w:val="left"/>
        </w:tabs>
        <w:numPr>
          <w:ilvl w:val="0"/>
          <w:numId w:val="61"/>
        </w:numPr>
        <w:rPr>
          <w:rFonts w:ascii="Arial" w:cs="Arial" w:eastAsia="Arial" w:hAnsi="Arial"/>
          <w:sz w:val="20"/>
          <w:szCs w:val="20"/>
          <w:color w:val="auto"/>
        </w:rPr>
      </w:pPr>
      <w:r>
        <w:rPr>
          <w:rFonts w:ascii="Arial" w:cs="Arial" w:eastAsia="Arial" w:hAnsi="Arial"/>
          <w:sz w:val="20"/>
          <w:szCs w:val="20"/>
          <w:color w:val="auto"/>
        </w:rPr>
        <w:t>Description of proposed transaction, such as whether it is an open market sale or purchase of stock or notes, 10b5-1 pre-arranged trading plan, gift, etc.;</w:t>
      </w:r>
    </w:p>
    <w:p>
      <w:pPr>
        <w:spacing w:after="0" w:line="61" w:lineRule="exact"/>
        <w:rPr>
          <w:rFonts w:ascii="Arial" w:cs="Arial" w:eastAsia="Arial" w:hAnsi="Arial"/>
          <w:sz w:val="20"/>
          <w:szCs w:val="20"/>
          <w:color w:val="auto"/>
        </w:rPr>
      </w:pPr>
    </w:p>
    <w:p>
      <w:pPr>
        <w:ind w:left="660" w:right="1200" w:hanging="329"/>
        <w:spacing w:after="0" w:line="271" w:lineRule="auto"/>
        <w:tabs>
          <w:tab w:leader="none" w:pos="658"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Anticipated date of the transaction and whether the transaction remains subject to any conditions such as stock price; AND</w:t>
      </w:r>
    </w:p>
    <w:p>
      <w:pPr>
        <w:spacing w:after="0" w:line="61" w:lineRule="exact"/>
        <w:rPr>
          <w:rFonts w:ascii="Arial" w:cs="Arial" w:eastAsia="Arial" w:hAnsi="Arial"/>
          <w:sz w:val="20"/>
          <w:szCs w:val="20"/>
          <w:color w:val="auto"/>
        </w:rPr>
      </w:pPr>
    </w:p>
    <w:p>
      <w:pPr>
        <w:ind w:left="660" w:hanging="329"/>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Name and contact information of the broker executing the trade.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her absence you may also contact the </w:t>
      </w:r>
      <w:r>
        <w:rPr>
          <w:rFonts w:ascii="Arial" w:cs="Arial" w:eastAsia="Arial" w:hAnsi="Arial"/>
          <w:sz w:val="20"/>
          <w:szCs w:val="20"/>
          <w:u w:val="single" w:color="auto"/>
          <w:color w:val="0000FF"/>
        </w:rPr>
        <w:t>General Counsel</w:t>
      </w:r>
      <w:r>
        <w:rPr>
          <w:rFonts w:ascii="Arial" w:cs="Arial" w:eastAsia="Arial" w:hAnsi="Arial"/>
          <w:sz w:val="20"/>
          <w:szCs w:val="20"/>
          <w:color w:val="auto"/>
        </w:rPr>
        <w:t xml:space="preserve"> or the </w:t>
      </w:r>
      <w:r>
        <w:rPr>
          <w:rFonts w:ascii="Arial" w:cs="Arial" w:eastAsia="Arial" w:hAnsi="Arial"/>
          <w:sz w:val="20"/>
          <w:szCs w:val="20"/>
          <w:u w:val="single" w:color="auto"/>
          <w:color w:val="0000FF"/>
        </w:rPr>
        <w:t>Assistant Corporate Secretary</w:t>
      </w:r>
      <w:r>
        <w:rPr>
          <w:rFonts w:ascii="Arial" w:cs="Arial" w:eastAsia="Arial" w:hAnsi="Arial"/>
          <w:sz w:val="20"/>
          <w:szCs w:val="20"/>
          <w:color w:val="auto"/>
        </w:rPr>
        <w:t>.</w:t>
      </w:r>
    </w:p>
    <w:p>
      <w:pPr>
        <w:spacing w:after="0" w:line="229" w:lineRule="exact"/>
        <w:rPr>
          <w:sz w:val="20"/>
          <w:szCs w:val="20"/>
          <w:color w:val="auto"/>
        </w:rPr>
      </w:pPr>
    </w:p>
    <w:p>
      <w:pPr>
        <w:jc w:val="both"/>
        <w:ind w:right="1520"/>
        <w:spacing w:after="0" w:line="262" w:lineRule="auto"/>
        <w:rPr>
          <w:sz w:val="20"/>
          <w:szCs w:val="20"/>
          <w:color w:val="auto"/>
        </w:rPr>
      </w:pPr>
      <w:r>
        <w:rPr>
          <w:rFonts w:ascii="Arial" w:cs="Arial" w:eastAsia="Arial" w:hAnsi="Arial"/>
          <w:sz w:val="20"/>
          <w:szCs w:val="20"/>
          <w:color w:val="auto"/>
        </w:rPr>
        <w:t>In order for the Office of the Secretary to complete your Section 16 forms, your broker must provide detailed transaction information. You must authorize the broker to provide such information directly to the Office of the Secretary.</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NOTIFICATION OF SALES OF CME GROUP STOCK</w:t>
      </w:r>
    </w:p>
    <w:p>
      <w:pPr>
        <w:spacing w:after="0" w:line="242" w:lineRule="exact"/>
        <w:rPr>
          <w:sz w:val="20"/>
          <w:szCs w:val="20"/>
          <w:color w:val="auto"/>
        </w:rPr>
      </w:pPr>
    </w:p>
    <w:p>
      <w:pPr>
        <w:ind w:right="1080"/>
        <w:spacing w:after="0" w:line="286" w:lineRule="auto"/>
        <w:rPr>
          <w:sz w:val="20"/>
          <w:szCs w:val="20"/>
          <w:color w:val="auto"/>
        </w:rPr>
      </w:pPr>
      <w:r>
        <w:rPr>
          <w:rFonts w:ascii="Arial" w:cs="Arial" w:eastAsia="Arial" w:hAnsi="Arial"/>
          <w:sz w:val="20"/>
          <w:szCs w:val="20"/>
          <w:color w:val="auto"/>
        </w:rPr>
        <w:t>In addition to pre-clearance, CME Group Board Members and members of the Management Team planning to sell shares of CME Group stock also must advise the Chairman and Chief Executive Officer of their intention.</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COMPLIANCE WITH RULE 144</w:t>
      </w:r>
    </w:p>
    <w:p>
      <w:pPr>
        <w:spacing w:after="0" w:line="242" w:lineRule="exact"/>
        <w:rPr>
          <w:sz w:val="20"/>
          <w:szCs w:val="20"/>
          <w:color w:val="auto"/>
        </w:rPr>
      </w:pPr>
    </w:p>
    <w:p>
      <w:pPr>
        <w:ind w:right="980"/>
        <w:spacing w:after="0" w:line="267" w:lineRule="auto"/>
        <w:rPr>
          <w:sz w:val="20"/>
          <w:szCs w:val="20"/>
          <w:color w:val="auto"/>
        </w:rPr>
      </w:pPr>
      <w:r>
        <w:rPr>
          <w:rFonts w:ascii="Arial" w:cs="Arial" w:eastAsia="Arial" w:hAnsi="Arial"/>
          <w:sz w:val="19"/>
          <w:szCs w:val="19"/>
          <w:color w:val="auto"/>
        </w:rPr>
        <w:t>You must ensure your broker completes all necessary paperwork for any sales made in accordance with Rule 144; provided, however, the company may undertake the filing of the Form 144 with your Section 16 report. Rule 144 applies to all open market sales of shares of CME Group by any “affiliate” of CME Group. In general, CME Group Board Members and executive officers of CME Group can resell shares of CME Group stock owned by them provided they follow the provisions of Rule 144. Unless you comply with the provisions of Rule 144, you may not be able to make open market sales of shares of CME Group without registering the shares under the Securities Act.</w:t>
      </w:r>
    </w:p>
    <w:p>
      <w:pPr>
        <w:sectPr>
          <w:pgSz w:w="11900" w:h="16838" w:orient="portrait"/>
          <w:cols w:equalWidth="0" w:num="1">
            <w:col w:w="11060"/>
          </w:cols>
          <w:pgMar w:left="500" w:top="83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color w:val="auto"/>
        </w:rPr>
        <w:t>Exhibit 19.1</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REPORTING OF TRANSACTIONS IN CME GROUP STOCK</w:t>
      </w:r>
    </w:p>
    <w:p>
      <w:pPr>
        <w:spacing w:after="0" w:line="228" w:lineRule="exact"/>
        <w:rPr>
          <w:sz w:val="20"/>
          <w:szCs w:val="20"/>
          <w:color w:val="auto"/>
        </w:rPr>
      </w:pPr>
    </w:p>
    <w:p>
      <w:pPr>
        <w:ind w:right="940"/>
        <w:spacing w:after="0" w:line="269" w:lineRule="auto"/>
        <w:rPr>
          <w:sz w:val="20"/>
          <w:szCs w:val="20"/>
          <w:color w:val="auto"/>
        </w:rPr>
      </w:pPr>
      <w:r>
        <w:rPr>
          <w:rFonts w:ascii="Arial" w:cs="Arial" w:eastAsia="Arial" w:hAnsi="Arial"/>
          <w:sz w:val="20"/>
          <w:szCs w:val="20"/>
          <w:color w:val="auto"/>
        </w:rPr>
        <w:t>All of your transactions in CME Group Class A and Class B common stock must be reported to the Securities and Exchange Commission in accordance with Section 16(a) of the Exchange Act, typically within two (2) business days following the date of the trade. The company is required to disclose any late filings in its proxy statement.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E81BD"/>
        </w:rPr>
        <w:t>Reports required to be filed under Section 16(a)</w:t>
      </w:r>
    </w:p>
    <w:p>
      <w:pPr>
        <w:spacing w:after="0" w:line="216" w:lineRule="exact"/>
        <w:rPr>
          <w:sz w:val="20"/>
          <w:szCs w:val="20"/>
          <w:color w:val="auto"/>
        </w:rPr>
      </w:pPr>
    </w:p>
    <w:p>
      <w:pPr>
        <w:ind w:right="780"/>
        <w:spacing w:after="0" w:line="252" w:lineRule="auto"/>
        <w:rPr>
          <w:sz w:val="20"/>
          <w:szCs w:val="20"/>
          <w:color w:val="auto"/>
        </w:rPr>
      </w:pPr>
      <w:r>
        <w:rPr>
          <w:rFonts w:ascii="Arial" w:cs="Arial" w:eastAsia="Arial" w:hAnsi="Arial"/>
          <w:sz w:val="20"/>
          <w:szCs w:val="20"/>
          <w:color w:val="auto"/>
        </w:rPr>
        <w:t xml:space="preserve">CME Group Board Members and executive officers are individually responsible for timely reporting to the SEC any purchases, sales or other acquisitions or dispositions of equity securities of CME Group “beneficially owned” by such persons. However, the Office of the Secretary will prepare and file your Section 16 forms for you. </w:t>
      </w:r>
      <w:r>
        <w:rPr>
          <w:rFonts w:ascii="Arial" w:cs="Arial" w:eastAsia="Arial" w:hAnsi="Arial"/>
          <w:sz w:val="20"/>
          <w:szCs w:val="20"/>
          <w:b w:val="1"/>
          <w:bCs w:val="1"/>
          <w:i w:val="1"/>
          <w:iCs w:val="1"/>
          <w:color w:val="auto"/>
        </w:rPr>
        <w:t>“Beneficial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ownership” </w:t>
      </w:r>
      <w:r>
        <w:rPr>
          <w:rFonts w:ascii="Arial" w:cs="Arial" w:eastAsia="Arial" w:hAnsi="Arial"/>
          <w:sz w:val="20"/>
          <w:szCs w:val="20"/>
          <w:color w:val="auto"/>
        </w:rPr>
        <w:t>includes any security in which a person has any direct or indirect financial interest. Equity securities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CME Group include securities which are exercisable or exchangeable for or convertible into, or which have a value which derives from the value of, an equity security of CME Group. These latter securities, known as “derivative securities,” include: stock options; warrants; convertible securities; stock appreciation rights and similar rights with exercise or conversion privileges at a price related to an equity security; or similar securities with a value derived from the value of an equity security. For purposes of Section 16, derivative securities are deemed to be the same class of equity security as the underlying security.</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SHORT SWING LIABILITY FOR PURCHASES &amp; SALES WITHIN SIX MONTHS</w:t>
      </w:r>
    </w:p>
    <w:p>
      <w:pPr>
        <w:spacing w:after="0" w:line="228" w:lineRule="exact"/>
        <w:rPr>
          <w:sz w:val="20"/>
          <w:szCs w:val="20"/>
          <w:color w:val="auto"/>
        </w:rPr>
      </w:pPr>
    </w:p>
    <w:p>
      <w:pPr>
        <w:ind w:right="920"/>
        <w:spacing w:after="0" w:line="254" w:lineRule="auto"/>
        <w:rPr>
          <w:sz w:val="20"/>
          <w:szCs w:val="20"/>
          <w:color w:val="auto"/>
        </w:rPr>
      </w:pPr>
      <w:r>
        <w:rPr>
          <w:rFonts w:ascii="Arial" w:cs="Arial" w:eastAsia="Arial" w:hAnsi="Arial"/>
          <w:sz w:val="20"/>
          <w:szCs w:val="20"/>
          <w:color w:val="auto"/>
        </w:rPr>
        <w:t xml:space="preserve">To deter insiders from profiting on transactions in the equity securities of CME Group on the basis of undisclosed information, Section 16(b) of the Exchange Act requires you to disgorge your “statutory profit” realized in either a non-exempt purchase and sale or a non-exempt sale and purchase (or any number of these transactions) of equity securities of CME Group (including derivative securities) which takes place within any six-month period. This area of the law is complicated. Additional information on this restriction, including what constitutes an exempt transaction, is included in the </w:t>
      </w:r>
      <w:r>
        <w:rPr>
          <w:rFonts w:ascii="Arial" w:cs="Arial" w:eastAsia="Arial" w:hAnsi="Arial"/>
          <w:sz w:val="20"/>
          <w:szCs w:val="20"/>
          <w:b w:val="1"/>
          <w:bCs w:val="1"/>
          <w:u w:val="single" w:color="auto"/>
          <w:color w:val="1154CC"/>
        </w:rPr>
        <w:t>Frequently Asked Questions</w:t>
      </w:r>
      <w:r>
        <w:rPr>
          <w:rFonts w:ascii="Arial" w:cs="Arial" w:eastAsia="Arial" w:hAnsi="Arial"/>
          <w:sz w:val="20"/>
          <w:szCs w:val="20"/>
          <w:color w:val="auto"/>
        </w:rPr>
        <w:t xml:space="preserve"> which is available on OpenExchange and in the portal for board materials and from the Office of the Secretary.</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PROHIBITION AGAINST SHORT SALES UNDER SECTION 16(C)</w:t>
      </w:r>
    </w:p>
    <w:p>
      <w:pPr>
        <w:spacing w:after="0" w:line="242" w:lineRule="exact"/>
        <w:rPr>
          <w:sz w:val="20"/>
          <w:szCs w:val="20"/>
          <w:color w:val="auto"/>
        </w:rPr>
      </w:pPr>
    </w:p>
    <w:p>
      <w:pPr>
        <w:ind w:right="840"/>
        <w:spacing w:after="0" w:line="255" w:lineRule="auto"/>
        <w:rPr>
          <w:sz w:val="20"/>
          <w:szCs w:val="20"/>
          <w:color w:val="auto"/>
        </w:rPr>
      </w:pPr>
      <w:r>
        <w:rPr>
          <w:rFonts w:ascii="Arial" w:cs="Arial" w:eastAsia="Arial" w:hAnsi="Arial"/>
          <w:sz w:val="20"/>
          <w:szCs w:val="20"/>
          <w:color w:val="auto"/>
        </w:rPr>
        <w:t>Section 16 insiders are specifically prohibited under Section 16(c) of the Exchange Act from making any short sale of CME Group equity securities. A short sale has occurred if the seller (1) does not own the securities sold or (2) owns the securities sold, but does not deliver them against a sale within 20 days thereafter or does not within 5 days after the sale deposit the securities in the mail or other usual channels of transportation.</w:t>
      </w:r>
    </w:p>
    <w:p>
      <w:pPr>
        <w:sectPr>
          <w:pgSz w:w="11900" w:h="16838" w:orient="portrait"/>
          <w:cols w:equalWidth="0" w:num="1">
            <w:col w:w="11060"/>
          </w:cols>
          <w:pgMar w:left="500" w:top="83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color w:val="auto"/>
        </w:rPr>
        <w:t>Exhibit 19.1</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RESTRICTIONS ON PLEDGING CLASS A COMMON STOCK</w:t>
      </w:r>
    </w:p>
    <w:p>
      <w:pPr>
        <w:spacing w:after="0" w:line="215" w:lineRule="exact"/>
        <w:rPr>
          <w:sz w:val="20"/>
          <w:szCs w:val="20"/>
          <w:color w:val="auto"/>
        </w:rPr>
      </w:pPr>
    </w:p>
    <w:p>
      <w:pPr>
        <w:ind w:right="1220"/>
        <w:spacing w:after="0" w:line="298" w:lineRule="auto"/>
        <w:rPr>
          <w:sz w:val="20"/>
          <w:szCs w:val="20"/>
          <w:color w:val="auto"/>
        </w:rPr>
      </w:pPr>
      <w:r>
        <w:rPr>
          <w:rFonts w:ascii="Arial" w:cs="Arial" w:eastAsia="Arial" w:hAnsi="Arial"/>
          <w:sz w:val="19"/>
          <w:szCs w:val="19"/>
          <w:color w:val="auto"/>
        </w:rPr>
        <w:t>CME Group Board Members and executive officers are also prohibited from entering into pledging arrangements relating to their shares of Class A common stock, including pledging shares for margin or collateral.</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4472C3"/>
        </w:rPr>
        <w:t>CME GROUP CLASS B COMMON STOCK AND TRADING RESTRICTIONS</w:t>
      </w:r>
    </w:p>
    <w:p>
      <w:pPr>
        <w:spacing w:after="0" w:line="188" w:lineRule="exact"/>
        <w:rPr>
          <w:sz w:val="20"/>
          <w:szCs w:val="20"/>
          <w:color w:val="auto"/>
        </w:rPr>
      </w:pPr>
    </w:p>
    <w:p>
      <w:pPr>
        <w:ind w:right="820"/>
        <w:spacing w:after="0" w:line="259" w:lineRule="auto"/>
        <w:rPr>
          <w:sz w:val="20"/>
          <w:szCs w:val="20"/>
          <w:color w:val="auto"/>
        </w:rPr>
      </w:pPr>
      <w:r>
        <w:rPr>
          <w:rFonts w:ascii="Arial" w:cs="Arial" w:eastAsia="Arial" w:hAnsi="Arial"/>
          <w:sz w:val="20"/>
          <w:szCs w:val="20"/>
          <w:color w:val="auto"/>
        </w:rPr>
        <w:t>Board members may purchase or sell the Class B share associated with a membership on the CME exchange during a trading restriction; provided that such Board member does not have access to inside information at the time of the transaction. Such transaction must still follow the pre-clearance and reporting requirements described in this Appendix.</w:t>
      </w:r>
    </w:p>
    <w:p>
      <w:pPr>
        <w:sectPr>
          <w:pgSz w:w="11900" w:h="16838" w:orient="portrait"/>
          <w:cols w:equalWidth="0" w:num="1">
            <w:col w:w="11060"/>
          </w:cols>
          <w:pgMar w:left="500" w:top="83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CME Group Subsidiaries</w:t>
            </w:r>
          </w:p>
        </w:tc>
      </w:tr>
      <w:tr>
        <w:trPr>
          <w:trHeight w:val="20"/>
        </w:trPr>
        <w:tc>
          <w:tcPr>
            <w:tcW w:w="1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
        </w:trPr>
        <w:tc>
          <w:tcPr>
            <w:tcW w:w="16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Trade of the City of Chicago,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Americas LLC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Europe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Holdings Inc.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Mercantile Exchange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Mercantile Exchange Korea Inc.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Amsterdam B.V.</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Consulting (Beijing) Co. Ltd.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Finance Holdings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Global Marketplace Inc.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Asia Holdings Pte. Ltd.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Australia Pty LTD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Benchmark Administrative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Hong Kong Limited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Index Services LLC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Japan Kabushiki Kaisha</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Marketing Canada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Singapore Operations Pte. Ltd.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Strategic Investments LLC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India Holdings LLC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India Private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London Limited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Operations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Platforms Inc.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Securities Clearing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Shareholder Servicing LLC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Technology and Support Services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Ventures LLC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Brazil 1 Participações Ltda.</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Brazil Investments 1 LLC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Brazil Investments 2 LLC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Finance Holdings LLC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Foundation Services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México, S. de R.L. de C.V.</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NYMEX Holdings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COMEX Clearing Association, Inc.</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Exchange,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EBO Investments Limited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Malta</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Dealing Resources International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Dealing Resources Japan Limited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Dealing Resources, Inc.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Financial Technologies Ltd.*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Group Limited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00"/>
          </w:cols>
          <w:pgMar w:left="360" w:top="981"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EBS No. 2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Service Company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Elysian Systems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F&amp;O Financial LLC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F&amp;O Holdings LLC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Godsell Astley &amp; Pearce (Holdings) Ltd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(Germany) GmbH*</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Capital Markets LLC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Securities Inc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New York Mercantile Exchange, Inc.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Group Holdings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Group Investments Inc.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Group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International Investments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International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Markets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Optimisation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SEF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Services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Services North America LLC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Services Pte. Ltd**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liquidation</w:t>
            </w:r>
          </w:p>
        </w:tc>
        <w:tc>
          <w:tcPr>
            <w:tcW w:w="6920" w:type="dxa"/>
            <w:vAlign w:val="bottom"/>
          </w:tcPr>
          <w:p>
            <w:pPr>
              <w:spacing w:after="0"/>
              <w:rPr>
                <w:sz w:val="19"/>
                <w:szCs w:val="19"/>
                <w:color w:val="auto"/>
              </w:rPr>
            </w:pP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**Amalgamated</w:t>
            </w:r>
          </w:p>
        </w:tc>
        <w:tc>
          <w:tcPr>
            <w:tcW w:w="6920" w:type="dxa"/>
            <w:vAlign w:val="bottom"/>
            <w:shd w:val="clear" w:color="auto" w:fill="CCEEFF"/>
          </w:tcPr>
          <w:p>
            <w:pPr>
              <w:spacing w:after="0"/>
              <w:rPr>
                <w:sz w:val="19"/>
                <w:szCs w:val="19"/>
                <w:color w:val="auto"/>
              </w:rPr>
            </w:pPr>
          </w:p>
        </w:tc>
      </w:tr>
    </w:tbl>
    <w:p>
      <w:pPr>
        <w:sectPr>
          <w:pgSz w:w="11900" w:h="16838" w:orient="portrait"/>
          <w:cols w:equalWidth="0" w:num="1">
            <w:col w:w="11180"/>
          </w:cols>
          <w:pgMar w:left="360" w:top="1026" w:right="359" w:bottom="1440" w:gutter="0" w:footer="0" w:header="0"/>
        </w:sectPr>
      </w:pPr>
    </w:p>
    <w:bookmarkStart w:id="110" w:name="page111"/>
    <w:bookmarkEnd w:id="110"/>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112" w:lineRule="exact"/>
        <w:rPr>
          <w:sz w:val="20"/>
          <w:szCs w:val="20"/>
          <w:color w:val="auto"/>
        </w:rPr>
      </w:pPr>
    </w:p>
    <w:p>
      <w:pPr>
        <w:ind w:right="2860" w:firstLine="2858"/>
        <w:spacing w:after="0" w:line="354"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ind w:left="420" w:right="20" w:hanging="7"/>
        <w:spacing w:after="0" w:line="271" w:lineRule="auto"/>
        <w:tabs>
          <w:tab w:leader="none" w:pos="77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333-105236 as filed on May 14, 2003) pertaining to the CME Group Inc. Amended and Restated Omnibus Stock Plan,</w:t>
      </w:r>
    </w:p>
    <w:p>
      <w:pPr>
        <w:spacing w:after="0" w:line="49" w:lineRule="exact"/>
        <w:rPr>
          <w:rFonts w:ascii="Times New Roman" w:cs="Times New Roman" w:eastAsia="Times New Roman" w:hAnsi="Times New Roman"/>
          <w:sz w:val="22"/>
          <w:szCs w:val="22"/>
          <w:color w:val="auto"/>
        </w:rPr>
      </w:pPr>
    </w:p>
    <w:p>
      <w:pPr>
        <w:ind w:left="420" w:right="20" w:hanging="7"/>
        <w:spacing w:after="0" w:line="271" w:lineRule="auto"/>
        <w:tabs>
          <w:tab w:leader="none" w:pos="77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333-159932 as filed on June 12, 2009) pertaining to the CME Group Inc. Amended and Restated Omnibus Stock Plan and the 2005 Director Stock Plan,</w:t>
      </w:r>
    </w:p>
    <w:p>
      <w:pPr>
        <w:spacing w:after="0" w:line="49" w:lineRule="exact"/>
        <w:rPr>
          <w:rFonts w:ascii="Times New Roman" w:cs="Times New Roman" w:eastAsia="Times New Roman" w:hAnsi="Times New Roman"/>
          <w:sz w:val="22"/>
          <w:szCs w:val="22"/>
          <w:color w:val="auto"/>
        </w:rPr>
      </w:pPr>
    </w:p>
    <w:p>
      <w:pPr>
        <w:jc w:val="both"/>
        <w:ind w:left="420" w:hanging="7"/>
        <w:spacing w:after="0" w:line="263" w:lineRule="auto"/>
        <w:tabs>
          <w:tab w:leader="none" w:pos="74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and Post-Effective Amendments No. 1 and No. 2 No. 333-104804 as filed on April 29, 2003, September 9, 2003 and April 12, 2004); Form S-8 No. 333-115656 as filed on May 20, 2004) pertaining to the Agreement between Chicago Mercantile Exchange Holdings Inc. and James J. McNulty,</w:t>
      </w:r>
    </w:p>
    <w:p>
      <w:pPr>
        <w:spacing w:after="0" w:line="59" w:lineRule="exact"/>
        <w:rPr>
          <w:rFonts w:ascii="Times New Roman" w:cs="Times New Roman" w:eastAsia="Times New Roman" w:hAnsi="Times New Roman"/>
          <w:sz w:val="22"/>
          <w:szCs w:val="22"/>
          <w:color w:val="auto"/>
        </w:rPr>
      </w:pPr>
    </w:p>
    <w:p>
      <w:pPr>
        <w:ind w:left="420" w:hanging="7"/>
        <w:spacing w:after="0" w:line="271" w:lineRule="auto"/>
        <w:tabs>
          <w:tab w:leader="none" w:pos="72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333-124497 as filed on April 29, 2005) pertaining to the Employee Stock Purchase Plan and the 2005 Director Stock Plan,</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7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333-144543 as filed on July 13, 2007) pertaining to CBOT Holdings, Inc.’s 2005 Long-Term Equity Incentive Plan,</w:t>
      </w:r>
    </w:p>
    <w:p>
      <w:pPr>
        <w:spacing w:after="0" w:line="63" w:lineRule="exact"/>
        <w:rPr>
          <w:rFonts w:ascii="Times New Roman" w:cs="Times New Roman" w:eastAsia="Times New Roman" w:hAnsi="Times New Roman"/>
          <w:sz w:val="22"/>
          <w:szCs w:val="22"/>
          <w:color w:val="auto"/>
        </w:rPr>
      </w:pPr>
    </w:p>
    <w:p>
      <w:pPr>
        <w:jc w:val="both"/>
        <w:ind w:left="420" w:hanging="7"/>
        <w:spacing w:after="0" w:line="257" w:lineRule="auto"/>
        <w:tabs>
          <w:tab w:leader="none" w:pos="73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333-153462 as filed on September 12, 2008) and Post-Effective Amendments No. 1 and No. 2 to Registration Statement on Form S-4 (Form S-8 No. 333-151577 as filed on July 18, 2012) pertaining to the NYMEX Holdings, Inc.’s 2006 Omnibus Long-Term Incentive Plan,</w:t>
      </w:r>
    </w:p>
    <w:p>
      <w:pPr>
        <w:spacing w:after="0" w:line="64" w:lineRule="exact"/>
        <w:rPr>
          <w:rFonts w:ascii="Times New Roman" w:cs="Times New Roman" w:eastAsia="Times New Roman" w:hAnsi="Times New Roman"/>
          <w:sz w:val="22"/>
          <w:szCs w:val="22"/>
          <w:color w:val="auto"/>
        </w:rPr>
      </w:pPr>
    </w:p>
    <w:p>
      <w:pPr>
        <w:ind w:left="420" w:right="20" w:hanging="7"/>
        <w:spacing w:after="0" w:line="271" w:lineRule="auto"/>
        <w:tabs>
          <w:tab w:leader="none" w:pos="73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333-265499 as filed on June 9, 2022) pertaining to the Employee Stock Purchase Plan and CME Group Inc. Director Stock Plan as amended and restated effective May 4, 2022,</w:t>
      </w:r>
    </w:p>
    <w:p>
      <w:pPr>
        <w:spacing w:after="0" w:line="63" w:lineRule="exact"/>
        <w:rPr>
          <w:rFonts w:ascii="Times New Roman" w:cs="Times New Roman" w:eastAsia="Times New Roman" w:hAnsi="Times New Roman"/>
          <w:sz w:val="22"/>
          <w:szCs w:val="22"/>
          <w:color w:val="auto"/>
        </w:rPr>
      </w:pPr>
    </w:p>
    <w:p>
      <w:pPr>
        <w:ind w:left="420" w:hanging="7"/>
        <w:spacing w:after="0" w:line="271" w:lineRule="auto"/>
        <w:tabs>
          <w:tab w:leader="none" w:pos="7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333-163473 as filed on December 3, 2009)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7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333-185311 as filed on December 6, 2012)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84" w:lineRule="auto"/>
        <w:tabs>
          <w:tab w:leader="none" w:pos="8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333-208334 as filed on December 4, 2015) Shelf Registration Statement for the offering of debt securities, Class A Common Stock, Preferred Stock and Warrants.</w:t>
      </w:r>
    </w:p>
    <w:p>
      <w:pPr>
        <w:spacing w:after="0" w:line="35" w:lineRule="exact"/>
        <w:rPr>
          <w:rFonts w:ascii="Times New Roman" w:cs="Times New Roman" w:eastAsia="Times New Roman" w:hAnsi="Times New Roman"/>
          <w:sz w:val="22"/>
          <w:szCs w:val="22"/>
          <w:color w:val="auto"/>
        </w:rPr>
      </w:pPr>
    </w:p>
    <w:p>
      <w:pPr>
        <w:ind w:left="420" w:hanging="7"/>
        <w:spacing w:after="0" w:line="271" w:lineRule="auto"/>
        <w:tabs>
          <w:tab w:leader="none" w:pos="8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333-232982 as filed on August 2, 2019)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8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333-263130 as filed on March 1, 2022) Shelf Registration Statement for the offering of debt securities, Class A Common Stock, Preferred Stock and Warrants.</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our reports dated February 27, 2025, with respect to the consolidated financial statements and schedule of CME Group Inc., and the effectiveness of internal control over financial reporting of CME Group Inc., included in this Annual Report (Form 10-K) of CME Group Inc. for the year ended December 31, 2024.</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27, 2025</w:t>
      </w:r>
    </w:p>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71" w:lineRule="exact"/>
        <w:rPr>
          <w:sz w:val="20"/>
          <w:szCs w:val="20"/>
          <w:color w:val="auto"/>
        </w:rPr>
      </w:pPr>
    </w:p>
    <w:p>
      <w:pPr>
        <w:ind w:left="640" w:hanging="187"/>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tab/>
        <w:t>Terrence A. Duffy</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71" w:lineRule="exact"/>
        <w:rPr>
          <w:sz w:val="20"/>
          <w:szCs w:val="20"/>
          <w:color w:val="auto"/>
        </w:rPr>
      </w:pPr>
    </w:p>
    <w:p>
      <w:pPr>
        <w:ind w:left="640" w:hanging="187"/>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Lynne Fitzpatrick</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CME Group Inc. (Company) for the year ended December 31, 2024 as filed with the Securities and Exchange Commission on the date hereof (Report), Terrence A. Duffy, as Chief Executive Officer of the Company, and Lynne Fitzpatrick,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60" w:hanging="261"/>
        <w:spacing w:after="0"/>
        <w:tabs>
          <w:tab w:leader="none" w:pos="1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Terrence A. Duffy</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Lynne Fitzpatrick</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11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3"/>
    </w:lvl>
  </w:abstractNum>
  <w:abstractNum w:abstractNumId="46">
    <w:nsid w:val="354FE9F9"/>
    <w:multiLevelType w:val="hybridMultilevel"/>
    <w:lvl w:ilvl="0">
      <w:lvlJc w:val="left"/>
      <w:lvlText w:val="%1."/>
      <w:numFmt w:val="decimal"/>
      <w:start w:val="3"/>
    </w:lvl>
  </w:abstractNum>
  <w:abstractNum w:abstractNumId="47">
    <w:nsid w:val="15B5AF5C"/>
    <w:multiLevelType w:val="hybridMultilevel"/>
    <w:lvl w:ilvl="0">
      <w:lvlJc w:val="left"/>
      <w:lvlText w:val="%1."/>
      <w:numFmt w:val="decimal"/>
      <w:start w:val="4"/>
    </w:lvl>
  </w:abstractNum>
  <w:abstractNum w:abstractNumId="48">
    <w:nsid w:val="741226BB"/>
    <w:multiLevelType w:val="hybridMultilevel"/>
    <w:lvl w:ilvl="0">
      <w:lvlJc w:val="left"/>
      <w:lvlText w:val="%1."/>
      <w:numFmt w:val="decimal"/>
      <w:start w:val="10"/>
    </w:lvl>
  </w:abstractNum>
  <w:abstractNum w:abstractNumId="49">
    <w:nsid w:val="D34B6A8"/>
    <w:multiLevelType w:val="hybridMultilevel"/>
    <w:lvl w:ilvl="0">
      <w:lvlJc w:val="left"/>
      <w:lvlText w:val="%1"/>
      <w:numFmt w:val="decimal"/>
      <w:start w:val="101"/>
    </w:lvl>
  </w:abstractNum>
  <w:abstractNum w:abstractNumId="50">
    <w:nsid w:val="10233C99"/>
    <w:multiLevelType w:val="hybridMultilevel"/>
    <w:lvl w:ilvl="0">
      <w:lvlJc w:val="left"/>
      <w:lvlText w:val="%1"/>
      <w:numFmt w:val="decimal"/>
      <w:start w:val="104"/>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lowerRoman"/>
      <w:start w:val="1"/>
    </w:lvl>
  </w:abstractNum>
  <w:abstractNum w:abstractNumId="55">
    <w:nsid w:val="579BE4F1"/>
    <w:multiLevelType w:val="hybridMultilevel"/>
    <w:lvl w:ilvl="0">
      <w:lvlJc w:val="left"/>
      <w:lvlText w:val="(%1)"/>
      <w:numFmt w:val="lowerLetter"/>
      <w:start w:val="1"/>
    </w:lvl>
    <w:lvl w:ilvl="1">
      <w:lvlJc w:val="left"/>
      <w:lvlText w:val="(%2)"/>
      <w:numFmt w:val="lowerRoman"/>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decimal"/>
      <w:start w:val="5"/>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decimal"/>
      <w:start w:val="5"/>
    </w:lvl>
  </w:abstractNum>
  <w:abstractNum w:abstractNumId="69">
    <w:nsid w:val="98A3148"/>
    <w:multiLevelType w:val="hybridMultilevel"/>
    <w:lvl w:ilvl="0">
      <w:lvlJc w:val="left"/>
      <w:lvlText w:val="%1)"/>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jpe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24" Type="http://schemas.openxmlformats.org/officeDocument/2006/relationships/hyperlink" Target="https://www.sec.gov/Archives/edgar/data/1156375/000119312521319504/d204323dex32.htm" TargetMode="External"/><Relationship Id="rId125" Type="http://schemas.openxmlformats.org/officeDocument/2006/relationships/hyperlink" Target="https://www.sec.gov/Archives/edgar/data/1156375/000119312522301477/d412380dex31.htm" TargetMode="External"/><Relationship Id="rId126" Type="http://schemas.openxmlformats.org/officeDocument/2006/relationships/hyperlink" Target="https://www.sec.gov/Archives/edgar/data/1156375/000119312521319504/d204323dex31.htm" TargetMode="External"/><Relationship Id="rId127" Type="http://schemas.openxmlformats.org/officeDocument/2006/relationships/hyperlink" Target="https://www.sec.gov/Archives/edgar/data/1156375/000115637515000014/cme-2014123110kex41.htm" TargetMode="External"/><Relationship Id="rId128" Type="http://schemas.openxmlformats.org/officeDocument/2006/relationships/hyperlink" Target="https://www.sec.gov/Archives/edgar/data/1156375/000115637515000014/cme-2014123110kex43.htm" TargetMode="External"/><Relationship Id="rId129" Type="http://schemas.openxmlformats.org/officeDocument/2006/relationships/hyperlink" Target="https://www.sec.gov/Archives/edgar/data/1156375/000115637515000014/cme-2014123110kex44.htm" TargetMode="External"/><Relationship Id="rId130" Type="http://schemas.openxmlformats.org/officeDocument/2006/relationships/hyperlink" Target="https://www.sec.gov/Archives/edgar/data/1156375/000119312508176550/dex41.htm" TargetMode="External"/><Relationship Id="rId131" Type="http://schemas.openxmlformats.org/officeDocument/2006/relationships/hyperlink" Target="https://www.sec.gov/Archives/edgar/data/1156375/000119312513360978/d594525dex42.htm" TargetMode="External"/><Relationship Id="rId132" Type="http://schemas.openxmlformats.org/officeDocument/2006/relationships/hyperlink" Target="https://www.sec.gov/Archives/edgar/data/1156375/000119312515082491/d887316dex42.htm" TargetMode="External"/><Relationship Id="rId133" Type="http://schemas.openxmlformats.org/officeDocument/2006/relationships/hyperlink" Target="https://www.sec.gov/Archives/edgar/data/1156375/000119312518199544/d771010dex42.htm" TargetMode="External"/><Relationship Id="rId134" Type="http://schemas.openxmlformats.org/officeDocument/2006/relationships/hyperlink" Target="https://www.sec.gov/Archives/edgar/data/1156375/000119312518199544/d771010dex43.htm" TargetMode="External"/><Relationship Id="rId135" Type="http://schemas.openxmlformats.org/officeDocument/2006/relationships/hyperlink" Target="https://www.sec.gov/Archives/edgar/data/1156375/000119312522069252/d301292dex42.htm" TargetMode="External"/><Relationship Id="rId136" Type="http://schemas.openxmlformats.org/officeDocument/2006/relationships/hyperlink" Target="https://www.sec.gov/Archives/edgar/data/1156375/000115637522000076/cme-2021123110kex411.htm" TargetMode="External"/><Relationship Id="rId137" Type="http://schemas.openxmlformats.org/officeDocument/2006/relationships/hyperlink" Target="https://www.sec.gov/Archives/edgar/data/1156375/000119312524062191/d14382dex101.htm" TargetMode="External"/><Relationship Id="rId138" Type="http://schemas.openxmlformats.org/officeDocument/2006/relationships/hyperlink" Target="https://www.sec.gov/Archives/edgar/data/1156375/000119312522171053/d280362dex991.htm" TargetMode="External"/><Relationship Id="rId139" Type="http://schemas.openxmlformats.org/officeDocument/2006/relationships/hyperlink" Target="https://www.sec.gov/Archives/edgar/data/1156375/000115637518000026/cme-2017123110kex105.htm" TargetMode="External"/><Relationship Id="rId140" Type="http://schemas.openxmlformats.org/officeDocument/2006/relationships/hyperlink" Target="https://www.sec.gov/Archives/edgar/data/1156375/000119312522171053/d280362dex992.htm" TargetMode="External"/><Relationship Id="rId143" Type="http://schemas.openxmlformats.org/officeDocument/2006/relationships/hyperlink" Target="https://www.sec.gov/Archives/edgar/data/1156375/000115637524000010/exhibit105cmegroup_amendme.htm" TargetMode="External"/><Relationship Id="rId144" Type="http://schemas.openxmlformats.org/officeDocument/2006/relationships/hyperlink" Target="https://www.sec.gov/Archives/edgar/data/1156375/000119312509042361/dex109.htm" TargetMode="External"/><Relationship Id="rId145" Type="http://schemas.openxmlformats.org/officeDocument/2006/relationships/hyperlink" Target="https://www.sec.gov/Archives/edgar/data/1105018/000095012301002844/y46628e10-k.txt" TargetMode="External"/><Relationship Id="rId146" Type="http://schemas.openxmlformats.org/officeDocument/2006/relationships/hyperlink" Target="https://www.sec.gov/Archives/edgar/data/1156375/000119312521139919/d185277dex101.htm" TargetMode="External"/><Relationship Id="rId147" Type="http://schemas.openxmlformats.org/officeDocument/2006/relationships/hyperlink" Target="https://www.sec.gov/Archives/edgar/data/1156375/000119312522127526/d329281dex101.htm" TargetMode="External"/><Relationship Id="rId148" Type="http://schemas.openxmlformats.org/officeDocument/2006/relationships/hyperlink" Target="https://www.sec.gov/Archives/edgar/data/1156375/000119312523123953/d500246dex101.htm" TargetMode="External"/><Relationship Id="rId149" Type="http://schemas.openxmlformats.org/officeDocument/2006/relationships/hyperlink" Target="https://www.sec.gov/Archives/edgar/data/1156375/000119312524113786/d818559dex101.htm" TargetMode="External"/><Relationship Id="rId150" Type="http://schemas.openxmlformats.org/officeDocument/2006/relationships/hyperlink" Target="https://www.sec.gov/Archives/edgar/data/1156375/000115637521000167/equitygrantletterrestricte.htm" TargetMode="External"/><Relationship Id="rId151" Type="http://schemas.openxmlformats.org/officeDocument/2006/relationships/hyperlink" Target="https://www.sec.gov/Archives/edgar/data/1156375/000115637523000190/mtpsagrantlettertemplate20.htm" TargetMode="External"/><Relationship Id="rId154" Type="http://schemas.openxmlformats.org/officeDocument/2006/relationships/hyperlink" Target="https://www.sec.gov/Archives/edgar/data/1156375/000119312521330866/d260121dex101.htm" TargetMode="External"/><Relationship Id="rId155" Type="http://schemas.openxmlformats.org/officeDocument/2006/relationships/hyperlink" Target="https://www.sec.gov/Archives/edgar/data/1156375/000115637522000215/a20120629splicenseagreemen.htm" TargetMode="External"/><Relationship Id="rId156" Type="http://schemas.openxmlformats.org/officeDocument/2006/relationships/hyperlink" Target="https://www.sec.gov/Archives/edgar/data/1156375/000119312523067672/d472500dex101.htm" TargetMode="External"/><Relationship Id="rId157" Type="http://schemas.openxmlformats.org/officeDocument/2006/relationships/hyperlink" Target="https://www.sec.gov/Archives/edgar/data/1156375/000119312523275501/d412098dex102.htm" TargetMode="External"/><Relationship Id="rId158" Type="http://schemas.openxmlformats.org/officeDocument/2006/relationships/hyperlink" Target="https://www.sec.gov/Archives/edgar/data/1156375/000119312524252912/d859792dex101.htm" TargetMode="External"/><Relationship Id="rId159" Type="http://schemas.openxmlformats.org/officeDocument/2006/relationships/hyperlink" Target="https://www.sec.gov/Archives/edgar/data/1156375/000115637524000010/exhibit971compensation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2025-02-27T16:47:18Z</dcterms:created>
  <dcterms:modified xsi:type="dcterms:W3CDTF">2025-02-27T16:47:18Z</dcterms:modified>
</cp:coreProperties>
</file>