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GERDES LARRY G</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CBOT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NYSE: 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gridSpan w:val="3"/>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gridSpan w:val="3"/>
            <w:vMerge w:val="continue"/>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580" w:type="dxa"/>
            <w:vAlign w:val="bottom"/>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vMerge w:val="restart"/>
          </w:tcPr>
          <w:p>
            <w:pPr>
              <w:spacing w:after="0"/>
              <w:rPr>
                <w:sz w:val="20"/>
                <w:szCs w:val="20"/>
                <w:color w:val="auto"/>
              </w:rPr>
            </w:pPr>
            <w:r>
              <w:rPr>
                <w:rFonts w:ascii="Arial" w:cs="Arial" w:eastAsia="Arial" w:hAnsi="Arial"/>
                <w:sz w:val="18"/>
                <w:szCs w:val="18"/>
                <w:color w:val="0000FF"/>
                <w:w w:val="94"/>
              </w:rPr>
              <w:t>C/O CBOT HOLDINGS, INC.</w:t>
            </w:r>
          </w:p>
        </w:tc>
        <w:tc>
          <w:tcPr>
            <w:tcW w:w="1580" w:type="dxa"/>
            <w:vAlign w:val="bottom"/>
          </w:tcPr>
          <w:p>
            <w:pPr>
              <w:spacing w:after="0"/>
              <w:rPr>
                <w:sz w:val="19"/>
                <w:szCs w:val="19"/>
                <w:color w:val="auto"/>
              </w:rPr>
            </w:pPr>
          </w:p>
        </w:tc>
        <w:tc>
          <w:tcPr>
            <w:tcW w:w="1740" w:type="dxa"/>
            <w:vAlign w:val="bottom"/>
            <w:gridSpan w:val="4"/>
          </w:tcPr>
          <w:p>
            <w:pPr>
              <w:ind w:left="160"/>
              <w:spacing w:after="0"/>
              <w:rPr>
                <w:sz w:val="20"/>
                <w:szCs w:val="20"/>
                <w:color w:val="auto"/>
              </w:rPr>
            </w:pPr>
            <w:r>
              <w:rPr>
                <w:rFonts w:ascii="Arial" w:cs="Arial" w:eastAsia="Arial" w:hAnsi="Arial"/>
                <w:sz w:val="18"/>
                <w:szCs w:val="18"/>
                <w:color w:val="0000FF"/>
              </w:rPr>
              <w:t>07/12/2007</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141 WEST JACKSON BOULEVARD</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180" w:type="dxa"/>
            <w:vAlign w:val="bottom"/>
            <w:gridSpan w:val="2"/>
          </w:tcPr>
          <w:p>
            <w:pPr>
              <w:ind w:left="240"/>
              <w:spacing w:after="0"/>
              <w:rPr>
                <w:sz w:val="20"/>
                <w:szCs w:val="20"/>
                <w:color w:val="auto"/>
              </w:rPr>
            </w:pPr>
            <w:r>
              <w:rPr>
                <w:rFonts w:ascii="Arial" w:cs="Arial" w:eastAsia="Arial" w:hAnsi="Arial"/>
                <w:sz w:val="18"/>
                <w:szCs w:val="18"/>
                <w:color w:val="0000FF"/>
              </w:rPr>
              <w:t>IL</w:t>
            </w:r>
          </w:p>
        </w:tc>
        <w:tc>
          <w:tcPr>
            <w:tcW w:w="1580" w:type="dxa"/>
            <w:vAlign w:val="bottom"/>
          </w:tcPr>
          <w:p>
            <w:pPr>
              <w:ind w:left="320"/>
              <w:spacing w:after="0"/>
              <w:rPr>
                <w:sz w:val="20"/>
                <w:szCs w:val="20"/>
                <w:color w:val="auto"/>
              </w:rPr>
            </w:pPr>
            <w:r>
              <w:rPr>
                <w:rFonts w:ascii="Arial" w:cs="Arial" w:eastAsia="Arial" w:hAnsi="Arial"/>
                <w:sz w:val="18"/>
                <w:szCs w:val="18"/>
                <w:color w:val="0000FF"/>
              </w:rPr>
              <w:t>60604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ind w:left="18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1580" w:type="dxa"/>
            <w:vAlign w:val="bottom"/>
          </w:tcPr>
          <w:p>
            <w:pPr>
              <w:ind w:left="3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12"/>
          </w:tcPr>
          <w:p>
            <w:pPr>
              <w:ind w:left="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80" w:type="dxa"/>
            <w:vAlign w:val="bottom"/>
            <w:gridSpan w:val="4"/>
          </w:tcPr>
          <w:p>
            <w:pPr>
              <w:ind w:left="11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gridSpan w:val="4"/>
          </w:tcPr>
          <w:p>
            <w:pPr>
              <w:ind w:left="1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tbl>
      <w:tblPr>
        <w:tblLayout w:type="fixed"/>
        <w:tblInd w:w="8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0000FF"/>
                <w:w w:val="91"/>
              </w:rPr>
              <w:t>Class A Common Stock, par value $0.001 per</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0000FF"/>
                <w:w w:val="99"/>
              </w:rPr>
              <w:t>07/12/2007</w:t>
            </w:r>
          </w:p>
        </w:tc>
        <w:tc>
          <w:tcPr>
            <w:tcW w:w="0" w:type="dxa"/>
            <w:vAlign w:val="bottom"/>
          </w:tcPr>
          <w:p>
            <w:pPr>
              <w:spacing w:after="0"/>
              <w:rPr>
                <w:sz w:val="1"/>
                <w:szCs w:val="1"/>
                <w:color w:val="auto"/>
              </w:rPr>
            </w:pPr>
          </w:p>
        </w:tc>
      </w:tr>
      <w:tr>
        <w:trPr>
          <w:trHeight w:val="114"/>
        </w:trPr>
        <w:tc>
          <w:tcPr>
            <w:tcW w:w="3360" w:type="dxa"/>
            <w:vAlign w:val="bottom"/>
            <w:vMerge w:val="restart"/>
          </w:tcPr>
          <w:p>
            <w:pPr>
              <w:spacing w:after="0"/>
              <w:rPr>
                <w:sz w:val="20"/>
                <w:szCs w:val="20"/>
                <w:color w:val="auto"/>
              </w:rPr>
            </w:pPr>
            <w:r>
              <w:rPr>
                <w:rFonts w:ascii="Arial" w:cs="Arial" w:eastAsia="Arial" w:hAnsi="Arial"/>
                <w:sz w:val="18"/>
                <w:szCs w:val="18"/>
                <w:color w:val="0000FF"/>
              </w:rPr>
              <w:t>share</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820" w:val="left"/>
          <w:tab w:leader="none" w:pos="1640" w:val="left"/>
          <w:tab w:leader="none" w:pos="2120" w:val="left"/>
          <w:tab w:leader="none" w:pos="3140" w:val="left"/>
          <w:tab w:leader="none" w:pos="4200" w:val="left"/>
        </w:tabs>
        <w:rPr>
          <w:sz w:val="20"/>
          <w:szCs w:val="20"/>
          <w:color w:val="auto"/>
        </w:rPr>
      </w:pPr>
      <w:r>
        <w:rPr>
          <w:rFonts w:ascii="Arial" w:cs="Arial" w:eastAsia="Arial" w:hAnsi="Arial"/>
          <w:sz w:val="14"/>
          <w:szCs w:val="14"/>
          <w:color w:val="0000FF"/>
        </w:rPr>
        <w:t>D</w:t>
      </w:r>
      <w:r>
        <w:rPr>
          <w:sz w:val="20"/>
          <w:szCs w:val="20"/>
          <w:color w:val="auto"/>
        </w:rPr>
        <w:tab/>
      </w:r>
      <w:r>
        <w:rPr>
          <w:rFonts w:ascii="Arial" w:cs="Arial" w:eastAsia="Arial" w:hAnsi="Arial"/>
          <w:sz w:val="18"/>
          <w:szCs w:val="18"/>
          <w:color w:val="0000FF"/>
        </w:rPr>
        <w:t>1,343</w:t>
      </w:r>
      <w:r>
        <w:rPr>
          <w:sz w:val="20"/>
          <w:szCs w:val="20"/>
          <w:color w:val="auto"/>
        </w:rPr>
        <w:tab/>
      </w:r>
      <w:r>
        <w:rPr>
          <w:rFonts w:ascii="Arial" w:cs="Arial" w:eastAsia="Arial" w:hAnsi="Arial"/>
          <w:sz w:val="18"/>
          <w:szCs w:val="18"/>
          <w:color w:val="0000FF"/>
        </w:rPr>
        <w:t>D</w:t>
      </w:r>
      <w:r>
        <w:rPr>
          <w:sz w:val="20"/>
          <w:szCs w:val="20"/>
          <w:color w:val="auto"/>
        </w:rPr>
        <w:tab/>
      </w: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22"/>
          <w:szCs w:val="22"/>
          <w:color w:val="008000"/>
          <w:vertAlign w:val="superscript"/>
        </w:rPr>
        <w:t>(1)</w:t>
      </w:r>
      <w:r>
        <w:rPr>
          <w:sz w:val="20"/>
          <w:szCs w:val="20"/>
          <w:color w:val="auto"/>
        </w:rPr>
        <w:tab/>
      </w:r>
      <w:r>
        <w:rPr>
          <w:rFonts w:ascii="Arial" w:cs="Arial" w:eastAsia="Arial" w:hAnsi="Arial"/>
          <w:sz w:val="18"/>
          <w:szCs w:val="18"/>
          <w:color w:val="0000FF"/>
        </w:rPr>
        <w:t>0</w:t>
      </w:r>
      <w:r>
        <w:rPr>
          <w:sz w:val="20"/>
          <w:szCs w:val="20"/>
          <w:color w:val="auto"/>
        </w:rPr>
        <w:tab/>
      </w:r>
      <w:r>
        <w:rPr>
          <w:rFonts w:ascii="Arial" w:cs="Arial" w:eastAsia="Arial" w:hAnsi="Arial"/>
          <w:sz w:val="16"/>
          <w:szCs w:val="16"/>
          <w:color w:val="0000FF"/>
        </w:rPr>
        <w:t>D</w:t>
      </w:r>
    </w:p>
    <w:p>
      <w:pPr>
        <w:spacing w:after="0" w:line="222" w:lineRule="exact"/>
        <w:rPr>
          <w:sz w:val="20"/>
          <w:szCs w:val="20"/>
          <w:color w:val="auto"/>
        </w:rPr>
      </w:pPr>
    </w:p>
    <w:p>
      <w:pPr>
        <w:sectPr>
          <w:pgSz w:w="11900" w:h="16838" w:orient="portrait"/>
          <w:cols w:equalWidth="0" w:num="2">
            <w:col w:w="5120" w:space="720"/>
            <w:col w:w="558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with Chicago Mercantile Exchange Holdings Inc. at an exchange ratio of 0.3750 shares of CME Group common stock for each share of CBOT Holdings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Paul J. Draths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07/16/2007</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25105" TargetMode="External"/><Relationship Id="rId13" Type="http://schemas.openxmlformats.org/officeDocument/2006/relationships/hyperlink" Target="http://www.sec.gov/cgi-bin/browse-edgar?action=getcompany&amp;CIK=0001161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2019-12-17T13:24:02Z</dcterms:created>
  <dcterms:modified xsi:type="dcterms:W3CDTF">2019-12-17T13:24:02Z</dcterms:modified>
</cp:coreProperties>
</file>