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69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695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20" w:space="34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Durkin Bryan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CBOT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141 WEST JACKSON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CBOT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NYSE: BOT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07/12/2007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EVP &amp; Chief Operating Officer</w:t>
      </w:r>
    </w:p>
    <w:p>
      <w:pPr>
        <w:spacing w:after="0" w:line="408" w:lineRule="exact"/>
        <w:rPr>
          <w:sz w:val="24"/>
          <w:szCs w:val="24"/>
          <w:color w:val="auto"/>
        </w:rPr>
      </w:pPr>
    </w:p>
    <w:p>
      <w:pPr>
        <w:sectPr>
          <w:pgSz w:w="11900" w:h="16838" w:orient="portrait"/>
          <w:cols w:equalWidth="0" w:num="3">
            <w:col w:w="3360" w:space="720"/>
            <w:col w:w="3340" w:space="63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00" w:type="dxa"/>
            <w:vAlign w:val="bottom"/>
            <w:vMerge w:val="restart"/>
          </w:tcPr>
          <w:p>
            <w:pPr>
              <w:spacing w:after="0"/>
              <w:rPr>
                <w:sz w:val="20"/>
                <w:szCs w:val="20"/>
                <w:color w:val="auto"/>
              </w:rPr>
            </w:pPr>
            <w:r>
              <w:rPr>
                <w:rFonts w:ascii="Arial" w:cs="Arial" w:eastAsia="Arial" w:hAnsi="Arial"/>
                <w:sz w:val="17"/>
                <w:szCs w:val="17"/>
                <w:color w:val="0000FF"/>
              </w:rPr>
              <w:t>IL</w:t>
            </w:r>
          </w:p>
        </w:tc>
        <w:tc>
          <w:tcPr>
            <w:tcW w:w="102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60604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5"/>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20,000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80"/>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54</w:t>
            </w:r>
          </w:p>
        </w:tc>
        <w:tc>
          <w:tcPr>
            <w:tcW w:w="200" w:type="dxa"/>
            <w:vAlign w:val="bottom"/>
          </w:tcPr>
          <w:p>
            <w:pPr>
              <w:spacing w:after="0"/>
              <w:rPr>
                <w:sz w:val="5"/>
                <w:szCs w:val="5"/>
                <w:color w:val="auto"/>
              </w:rPr>
            </w:pP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5"/>
              </w:rPr>
              <w:t>20,000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10/19/2015</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100"/>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93.76</w:t>
            </w:r>
          </w:p>
        </w:tc>
        <w:tc>
          <w:tcPr>
            <w:tcW w:w="200" w:type="dxa"/>
            <w:vAlign w:val="bottom"/>
          </w:tcPr>
          <w:p>
            <w:pPr>
              <w:spacing w:after="0"/>
              <w:rPr>
                <w:sz w:val="5"/>
                <w:szCs w:val="5"/>
                <w:color w:val="auto"/>
              </w:rPr>
            </w:pP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8,000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01/03/2016</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80"/>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151.47</w:t>
            </w:r>
          </w:p>
        </w:tc>
        <w:tc>
          <w:tcPr>
            <w:tcW w:w="200" w:type="dxa"/>
            <w:vAlign w:val="bottom"/>
          </w:tcPr>
          <w:p>
            <w:pPr>
              <w:spacing w:after="0"/>
              <w:rPr>
                <w:sz w:val="5"/>
                <w:szCs w:val="5"/>
                <w:color w:val="auto"/>
              </w:rPr>
            </w:pP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6,000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01/02/2017</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Option becomes exercisable in four equal annual installments on the first four anniversaries of the original grant date or the earlier of 12 months of employment with CME Group or involuntary termination.</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an option to purchase 7,500 shares of CME Group common stock at an exercise price of $144.00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an option to purchase 3,000 shares of CME Group common stock at an exercise price of $250.03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Option became exercisable on 07/12/07.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an option to purchase 2,250 shares of CME Group common stock at an exercise price of $403.92 per share.</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Paul J. Draths,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07/16/2007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363"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2019-12-17T13:06:34Z</dcterms:created>
  <dcterms:modified xsi:type="dcterms:W3CDTF">2019-12-17T13:06:34Z</dcterms:modified>
</cp:coreProperties>
</file>