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0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4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2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Pietrzak John L</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CBOT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NYSE: BOT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gridSpan w:val="3"/>
            <w:vMerge w:val="continue"/>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gridSpan w:val="3"/>
            <w:vMerge w:val="continue"/>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14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00" w:type="dxa"/>
            <w:vAlign w:val="bottom"/>
            <w:vMerge w:val="restart"/>
          </w:tcPr>
          <w:p>
            <w:pPr>
              <w:ind w:left="16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0" w:type="dxa"/>
            <w:vAlign w:val="bottom"/>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5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7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100" w:type="dxa"/>
            <w:vAlign w:val="bottom"/>
            <w:gridSpan w:val="5"/>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1180" w:type="dxa"/>
            <w:vAlign w:val="bottom"/>
            <w:gridSpan w:val="2"/>
          </w:tcPr>
          <w:p>
            <w:pPr>
              <w:ind w:left="240"/>
              <w:spacing w:after="0"/>
              <w:rPr>
                <w:sz w:val="20"/>
                <w:szCs w:val="20"/>
                <w:color w:val="auto"/>
              </w:rPr>
            </w:pPr>
            <w:r>
              <w:rPr>
                <w:rFonts w:ascii="Arial" w:cs="Arial" w:eastAsia="Arial" w:hAnsi="Arial"/>
                <w:sz w:val="14"/>
                <w:szCs w:val="14"/>
                <w:color w:val="auto"/>
              </w:rPr>
              <w:t>(First)</w:t>
            </w:r>
          </w:p>
        </w:tc>
        <w:tc>
          <w:tcPr>
            <w:tcW w:w="1580" w:type="dxa"/>
            <w:vAlign w:val="bottom"/>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gridSpan w:val="5"/>
            <w:vMerge w:val="continue"/>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ind w:left="160"/>
              <w:spacing w:after="0"/>
              <w:rPr>
                <w:sz w:val="20"/>
                <w:szCs w:val="20"/>
                <w:color w:val="auto"/>
              </w:rPr>
            </w:pPr>
            <w:r>
              <w:rPr>
                <w:rFonts w:ascii="Arial" w:cs="Arial" w:eastAsia="Arial" w:hAnsi="Arial"/>
                <w:sz w:val="14"/>
                <w:szCs w:val="14"/>
                <w:color w:val="auto"/>
              </w:rPr>
              <w:t>below)</w:t>
            </w:r>
          </w:p>
        </w:tc>
        <w:tc>
          <w:tcPr>
            <w:tcW w:w="1020" w:type="dxa"/>
            <w:vAlign w:val="bottom"/>
          </w:tcPr>
          <w:p>
            <w:pPr>
              <w:ind w:left="6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gridSpan w:val="3"/>
            <w:vMerge w:val="restart"/>
          </w:tcPr>
          <w:p>
            <w:pPr>
              <w:spacing w:after="0"/>
              <w:rPr>
                <w:sz w:val="20"/>
                <w:szCs w:val="20"/>
                <w:color w:val="auto"/>
              </w:rPr>
            </w:pPr>
            <w:r>
              <w:rPr>
                <w:rFonts w:ascii="Arial" w:cs="Arial" w:eastAsia="Arial" w:hAnsi="Arial"/>
                <w:sz w:val="18"/>
                <w:szCs w:val="18"/>
                <w:color w:val="0000FF"/>
                <w:w w:val="94"/>
              </w:rPr>
              <w:t>C/O CBOT HOLDINGS, INC.</w:t>
            </w:r>
          </w:p>
        </w:tc>
        <w:tc>
          <w:tcPr>
            <w:tcW w:w="1580" w:type="dxa"/>
            <w:vAlign w:val="bottom"/>
          </w:tcPr>
          <w:p>
            <w:pPr>
              <w:spacing w:after="0"/>
              <w:rPr>
                <w:sz w:val="19"/>
                <w:szCs w:val="19"/>
                <w:color w:val="auto"/>
              </w:rPr>
            </w:pPr>
          </w:p>
        </w:tc>
        <w:tc>
          <w:tcPr>
            <w:tcW w:w="1720" w:type="dxa"/>
            <w:vAlign w:val="bottom"/>
            <w:gridSpan w:val="4"/>
          </w:tcPr>
          <w:p>
            <w:pPr>
              <w:ind w:left="160"/>
              <w:spacing w:after="0"/>
              <w:rPr>
                <w:sz w:val="20"/>
                <w:szCs w:val="20"/>
                <w:color w:val="auto"/>
              </w:rPr>
            </w:pPr>
            <w:r>
              <w:rPr>
                <w:rFonts w:ascii="Arial" w:cs="Arial" w:eastAsia="Arial" w:hAnsi="Arial"/>
                <w:sz w:val="18"/>
                <w:szCs w:val="18"/>
                <w:color w:val="0000FF"/>
              </w:rPr>
              <w:t>07/12/2007</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2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rPr>
              <w:t>141 W. JACKSON BLVD., SUITE 600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00" w:type="dxa"/>
            <w:vAlign w:val="bottom"/>
            <w:gridSpan w:val="6"/>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00" w:type="dxa"/>
            <w:vAlign w:val="bottom"/>
          </w:tcPr>
          <w:p>
            <w:pPr>
              <w:spacing w:after="0"/>
              <w:rPr>
                <w:sz w:val="9"/>
                <w:szCs w:val="9"/>
                <w:color w:val="auto"/>
              </w:rPr>
            </w:pPr>
          </w:p>
        </w:tc>
        <w:tc>
          <w:tcPr>
            <w:tcW w:w="3440" w:type="dxa"/>
            <w:vAlign w:val="bottom"/>
            <w:gridSpan w:val="5"/>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0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4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5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60" w:type="dxa"/>
            <w:vAlign w:val="bottom"/>
            <w:vMerge w:val="restart"/>
          </w:tcPr>
          <w:p>
            <w:pPr>
              <w:ind w:left="80"/>
              <w:spacing w:after="0"/>
              <w:rPr>
                <w:sz w:val="20"/>
                <w:szCs w:val="20"/>
                <w:color w:val="auto"/>
              </w:rPr>
            </w:pPr>
            <w:r>
              <w:rPr>
                <w:rFonts w:ascii="Arial" w:cs="Arial" w:eastAsia="Arial" w:hAnsi="Arial"/>
                <w:sz w:val="14"/>
                <w:szCs w:val="14"/>
                <w:color w:val="auto"/>
              </w:rPr>
              <w:t>Line)</w:t>
            </w:r>
          </w:p>
        </w:tc>
        <w:tc>
          <w:tcPr>
            <w:tcW w:w="1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gridSpan w:val="5"/>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CHICAGO</w:t>
            </w:r>
          </w:p>
        </w:tc>
        <w:tc>
          <w:tcPr>
            <w:tcW w:w="1180" w:type="dxa"/>
            <w:vAlign w:val="bottom"/>
            <w:gridSpan w:val="2"/>
          </w:tcPr>
          <w:p>
            <w:pPr>
              <w:ind w:left="240"/>
              <w:spacing w:after="0"/>
              <w:rPr>
                <w:sz w:val="20"/>
                <w:szCs w:val="20"/>
                <w:color w:val="auto"/>
              </w:rPr>
            </w:pPr>
            <w:r>
              <w:rPr>
                <w:rFonts w:ascii="Arial" w:cs="Arial" w:eastAsia="Arial" w:hAnsi="Arial"/>
                <w:sz w:val="18"/>
                <w:szCs w:val="18"/>
                <w:color w:val="0000FF"/>
              </w:rPr>
              <w:t>IL</w:t>
            </w:r>
          </w:p>
        </w:tc>
        <w:tc>
          <w:tcPr>
            <w:tcW w:w="1580" w:type="dxa"/>
            <w:vAlign w:val="bottom"/>
          </w:tcPr>
          <w:p>
            <w:pPr>
              <w:ind w:left="320"/>
              <w:spacing w:after="0"/>
              <w:rPr>
                <w:sz w:val="20"/>
                <w:szCs w:val="20"/>
                <w:color w:val="auto"/>
              </w:rPr>
            </w:pPr>
            <w:r>
              <w:rPr>
                <w:rFonts w:ascii="Arial" w:cs="Arial" w:eastAsia="Arial" w:hAnsi="Arial"/>
                <w:sz w:val="18"/>
                <w:szCs w:val="18"/>
                <w:color w:val="0000FF"/>
              </w:rPr>
              <w:t>60604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80" w:type="dxa"/>
            <w:vAlign w:val="bottom"/>
            <w:gridSpan w:val="4"/>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ind w:left="180"/>
              <w:spacing w:after="0" w:line="136" w:lineRule="exact"/>
              <w:rPr>
                <w:sz w:val="20"/>
                <w:szCs w:val="20"/>
                <w:color w:val="auto"/>
              </w:rPr>
            </w:pPr>
            <w:r>
              <w:rPr>
                <w:rFonts w:ascii="Arial" w:cs="Arial" w:eastAsia="Arial" w:hAnsi="Arial"/>
                <w:sz w:val="14"/>
                <w:szCs w:val="14"/>
                <w:color w:val="auto"/>
              </w:rPr>
              <w:t>Person</w:t>
            </w: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gridSpan w:val="2"/>
          </w:tcPr>
          <w:p>
            <w:pPr>
              <w:ind w:left="240"/>
              <w:spacing w:after="0"/>
              <w:rPr>
                <w:sz w:val="20"/>
                <w:szCs w:val="20"/>
                <w:color w:val="auto"/>
              </w:rPr>
            </w:pPr>
            <w:r>
              <w:rPr>
                <w:rFonts w:ascii="Arial" w:cs="Arial" w:eastAsia="Arial" w:hAnsi="Arial"/>
                <w:sz w:val="14"/>
                <w:szCs w:val="14"/>
                <w:color w:val="auto"/>
              </w:rPr>
              <w:t>(State)</w:t>
            </w:r>
          </w:p>
        </w:tc>
        <w:tc>
          <w:tcPr>
            <w:tcW w:w="1580" w:type="dxa"/>
            <w:vAlign w:val="bottom"/>
          </w:tcPr>
          <w:p>
            <w:pPr>
              <w:ind w:left="3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12"/>
          </w:tcPr>
          <w:p>
            <w:pPr>
              <w:ind w:left="4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10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160" w:type="dxa"/>
            <w:vAlign w:val="bottom"/>
            <w:gridSpan w:val="4"/>
          </w:tcPr>
          <w:p>
            <w:pPr>
              <w:ind w:left="1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80" w:type="dxa"/>
            <w:vAlign w:val="bottom"/>
          </w:tcPr>
          <w:p>
            <w:pPr>
              <w:ind w:left="11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160" w:type="dxa"/>
            <w:vAlign w:val="bottom"/>
            <w:gridSpan w:val="4"/>
          </w:tcPr>
          <w:p>
            <w:pPr>
              <w:ind w:left="11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10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tbl>
      <w:tblPr>
        <w:tblLayout w:type="fixed"/>
        <w:tblInd w:w="80" w:type="dxa"/>
        <w:tblCellMar>
          <w:top w:w="0" w:type="dxa"/>
          <w:left w:w="0" w:type="dxa"/>
          <w:bottom w:w="0" w:type="dxa"/>
          <w:right w:w="0" w:type="dxa"/>
        </w:tblCellMar>
      </w:tblPr>
      <w:tr>
        <w:trPr>
          <w:trHeight w:val="216"/>
        </w:trPr>
        <w:tc>
          <w:tcPr>
            <w:tcW w:w="3320" w:type="dxa"/>
            <w:vAlign w:val="bottom"/>
          </w:tcPr>
          <w:p>
            <w:pPr>
              <w:spacing w:after="0"/>
              <w:rPr>
                <w:sz w:val="20"/>
                <w:szCs w:val="20"/>
                <w:color w:val="auto"/>
              </w:rPr>
            </w:pPr>
            <w:r>
              <w:rPr>
                <w:rFonts w:ascii="Arial" w:cs="Arial" w:eastAsia="Arial" w:hAnsi="Arial"/>
                <w:sz w:val="18"/>
                <w:szCs w:val="18"/>
                <w:color w:val="0000FF"/>
                <w:w w:val="92"/>
              </w:rPr>
              <w:t>Class A common stock, par value $0.001 per</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0000FF"/>
              </w:rPr>
              <w:t>07/12/2007</w:t>
            </w:r>
          </w:p>
        </w:tc>
        <w:tc>
          <w:tcPr>
            <w:tcW w:w="0" w:type="dxa"/>
            <w:vAlign w:val="bottom"/>
          </w:tcPr>
          <w:p>
            <w:pPr>
              <w:spacing w:after="0"/>
              <w:rPr>
                <w:sz w:val="1"/>
                <w:szCs w:val="1"/>
                <w:color w:val="auto"/>
              </w:rPr>
            </w:pPr>
          </w:p>
        </w:tc>
      </w:tr>
      <w:tr>
        <w:trPr>
          <w:trHeight w:val="114"/>
        </w:trPr>
        <w:tc>
          <w:tcPr>
            <w:tcW w:w="3320" w:type="dxa"/>
            <w:vAlign w:val="bottom"/>
            <w:vMerge w:val="restart"/>
          </w:tcPr>
          <w:p>
            <w:pPr>
              <w:spacing w:after="0"/>
              <w:rPr>
                <w:sz w:val="20"/>
                <w:szCs w:val="20"/>
                <w:color w:val="auto"/>
              </w:rPr>
            </w:pPr>
            <w:r>
              <w:rPr>
                <w:rFonts w:ascii="Arial" w:cs="Arial" w:eastAsia="Arial" w:hAnsi="Arial"/>
                <w:sz w:val="18"/>
                <w:szCs w:val="18"/>
                <w:color w:val="0000FF"/>
              </w:rPr>
              <w:t>share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tabs>
          <w:tab w:leader="none" w:pos="800" w:val="left"/>
          <w:tab w:leader="none" w:pos="1660" w:val="left"/>
          <w:tab w:leader="none" w:pos="2140" w:val="left"/>
          <w:tab w:leader="none" w:pos="3160" w:val="left"/>
          <w:tab w:leader="none" w:pos="4220" w:val="left"/>
        </w:tabs>
        <w:rPr>
          <w:sz w:val="20"/>
          <w:szCs w:val="20"/>
          <w:color w:val="auto"/>
        </w:rPr>
      </w:pPr>
      <w:r>
        <w:rPr>
          <w:rFonts w:ascii="Arial" w:cs="Arial" w:eastAsia="Arial" w:hAnsi="Arial"/>
          <w:sz w:val="14"/>
          <w:szCs w:val="14"/>
          <w:color w:val="0000FF"/>
        </w:rPr>
        <w:t>D</w:t>
      </w:r>
      <w:r>
        <w:rPr>
          <w:sz w:val="20"/>
          <w:szCs w:val="20"/>
          <w:color w:val="auto"/>
        </w:rPr>
        <w:tab/>
      </w:r>
      <w:r>
        <w:rPr>
          <w:rFonts w:ascii="Arial" w:cs="Arial" w:eastAsia="Arial" w:hAnsi="Arial"/>
          <w:sz w:val="18"/>
          <w:szCs w:val="18"/>
          <w:color w:val="0000FF"/>
        </w:rPr>
        <w:t>27,807</w:t>
      </w:r>
      <w:r>
        <w:rPr>
          <w:sz w:val="20"/>
          <w:szCs w:val="20"/>
          <w:color w:val="auto"/>
        </w:rPr>
        <w:tab/>
      </w:r>
      <w:r>
        <w:rPr>
          <w:rFonts w:ascii="Arial" w:cs="Arial" w:eastAsia="Arial" w:hAnsi="Arial"/>
          <w:sz w:val="18"/>
          <w:szCs w:val="18"/>
          <w:color w:val="0000FF"/>
        </w:rPr>
        <w:t>D</w:t>
      </w:r>
      <w:r>
        <w:rPr>
          <w:sz w:val="20"/>
          <w:szCs w:val="20"/>
          <w:color w:val="auto"/>
        </w:rPr>
        <w:tab/>
      </w:r>
      <w:r>
        <w:rPr>
          <w:rFonts w:ascii="Arial" w:cs="Arial" w:eastAsia="Arial" w:hAnsi="Arial"/>
          <w:sz w:val="18"/>
          <w:szCs w:val="18"/>
          <w:color w:val="auto"/>
        </w:rPr>
        <w:t>$</w:t>
      </w:r>
      <w:r>
        <w:rPr>
          <w:rFonts w:ascii="Arial" w:cs="Arial" w:eastAsia="Arial" w:hAnsi="Arial"/>
          <w:sz w:val="18"/>
          <w:szCs w:val="18"/>
          <w:color w:val="0000FF"/>
        </w:rPr>
        <w:t>0</w:t>
      </w:r>
      <w:r>
        <w:rPr>
          <w:rFonts w:ascii="Arial" w:cs="Arial" w:eastAsia="Arial" w:hAnsi="Arial"/>
          <w:sz w:val="22"/>
          <w:szCs w:val="22"/>
          <w:color w:val="008000"/>
          <w:vertAlign w:val="superscript"/>
        </w:rPr>
        <w:t>(1)</w:t>
      </w:r>
      <w:r>
        <w:rPr>
          <w:sz w:val="20"/>
          <w:szCs w:val="20"/>
          <w:color w:val="auto"/>
        </w:rPr>
        <w:tab/>
      </w:r>
      <w:r>
        <w:rPr>
          <w:rFonts w:ascii="Arial" w:cs="Arial" w:eastAsia="Arial" w:hAnsi="Arial"/>
          <w:sz w:val="18"/>
          <w:szCs w:val="18"/>
          <w:color w:val="0000FF"/>
        </w:rPr>
        <w:t>0</w:t>
      </w:r>
      <w:r>
        <w:rPr>
          <w:sz w:val="20"/>
          <w:szCs w:val="20"/>
          <w:color w:val="auto"/>
        </w:rPr>
        <w:tab/>
      </w:r>
      <w:r>
        <w:rPr>
          <w:rFonts w:ascii="Arial" w:cs="Arial" w:eastAsia="Arial" w:hAnsi="Arial"/>
          <w:sz w:val="16"/>
          <w:szCs w:val="16"/>
          <w:color w:val="0000FF"/>
        </w:rPr>
        <w:t>D</w:t>
      </w:r>
    </w:p>
    <w:p>
      <w:pPr>
        <w:spacing w:after="0" w:line="206" w:lineRule="exact"/>
        <w:rPr>
          <w:sz w:val="20"/>
          <w:szCs w:val="20"/>
          <w:color w:val="auto"/>
        </w:rPr>
      </w:pPr>
    </w:p>
    <w:p>
      <w:pPr>
        <w:sectPr>
          <w:pgSz w:w="11900" w:h="16838" w:orient="portrait"/>
          <w:cols w:equalWidth="0" w:num="2">
            <w:col w:w="5100" w:space="720"/>
            <w:col w:w="5600"/>
          </w:cols>
          <w:pgMar w:left="240" w:top="226" w:right="239" w:bottom="1440" w:gutter="0" w:footer="0" w:header="0"/>
          <w:type w:val="continuous"/>
        </w:sectPr>
      </w:pPr>
    </w:p>
    <w:tbl>
      <w:tblPr>
        <w:tblLayout w:type="fixed"/>
        <w:tblInd w:w="80" w:type="dxa"/>
        <w:tblCellMar>
          <w:top w:w="0" w:type="dxa"/>
          <w:left w:w="0" w:type="dxa"/>
          <w:bottom w:w="0" w:type="dxa"/>
          <w:right w:w="0" w:type="dxa"/>
        </w:tblCellMar>
      </w:tblPr>
      <w:tr>
        <w:trPr>
          <w:trHeight w:val="216"/>
        </w:trPr>
        <w:tc>
          <w:tcPr>
            <w:tcW w:w="3320" w:type="dxa"/>
            <w:vAlign w:val="bottom"/>
          </w:tcPr>
          <w:p>
            <w:pPr>
              <w:spacing w:after="0"/>
              <w:rPr>
                <w:sz w:val="20"/>
                <w:szCs w:val="20"/>
                <w:color w:val="auto"/>
              </w:rPr>
            </w:pPr>
            <w:r>
              <w:rPr>
                <w:rFonts w:ascii="Arial" w:cs="Arial" w:eastAsia="Arial" w:hAnsi="Arial"/>
                <w:sz w:val="18"/>
                <w:szCs w:val="18"/>
                <w:color w:val="0000FF"/>
                <w:w w:val="92"/>
              </w:rPr>
              <w:t>Class A common stock, par value $0.001 per</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0000FF"/>
              </w:rPr>
              <w:t>07/12/2007</w:t>
            </w:r>
          </w:p>
        </w:tc>
        <w:tc>
          <w:tcPr>
            <w:tcW w:w="0" w:type="dxa"/>
            <w:vAlign w:val="bottom"/>
          </w:tcPr>
          <w:p>
            <w:pPr>
              <w:spacing w:after="0"/>
              <w:rPr>
                <w:sz w:val="1"/>
                <w:szCs w:val="1"/>
                <w:color w:val="auto"/>
              </w:rPr>
            </w:pPr>
          </w:p>
        </w:tc>
      </w:tr>
      <w:tr>
        <w:trPr>
          <w:trHeight w:val="114"/>
        </w:trPr>
        <w:tc>
          <w:tcPr>
            <w:tcW w:w="3320" w:type="dxa"/>
            <w:vAlign w:val="bottom"/>
            <w:vMerge w:val="restart"/>
          </w:tcPr>
          <w:p>
            <w:pPr>
              <w:spacing w:after="0"/>
              <w:rPr>
                <w:sz w:val="20"/>
                <w:szCs w:val="20"/>
                <w:color w:val="auto"/>
              </w:rPr>
            </w:pPr>
            <w:r>
              <w:rPr>
                <w:rFonts w:ascii="Arial" w:cs="Arial" w:eastAsia="Arial" w:hAnsi="Arial"/>
                <w:sz w:val="18"/>
                <w:szCs w:val="18"/>
                <w:color w:val="0000FF"/>
              </w:rPr>
              <w:t>share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tabs>
          <w:tab w:leader="none" w:pos="800" w:val="left"/>
          <w:tab w:leader="none" w:pos="1660" w:val="left"/>
          <w:tab w:leader="none" w:pos="2140" w:val="left"/>
          <w:tab w:leader="none" w:pos="3160" w:val="left"/>
          <w:tab w:leader="none" w:pos="4260" w:val="left"/>
          <w:tab w:leader="none" w:pos="4840" w:val="left"/>
        </w:tabs>
        <w:rPr>
          <w:sz w:val="20"/>
          <w:szCs w:val="20"/>
          <w:color w:val="auto"/>
        </w:rPr>
      </w:pPr>
      <w:r>
        <w:rPr>
          <w:rFonts w:ascii="Arial" w:cs="Arial" w:eastAsia="Arial" w:hAnsi="Arial"/>
          <w:sz w:val="14"/>
          <w:szCs w:val="14"/>
          <w:color w:val="0000FF"/>
        </w:rPr>
        <w:t>D</w:t>
      </w:r>
      <w:r>
        <w:rPr>
          <w:sz w:val="20"/>
          <w:szCs w:val="20"/>
          <w:color w:val="auto"/>
        </w:rPr>
        <w:tab/>
      </w:r>
      <w:r>
        <w:rPr>
          <w:rFonts w:ascii="Arial" w:cs="Arial" w:eastAsia="Arial" w:hAnsi="Arial"/>
          <w:sz w:val="18"/>
          <w:szCs w:val="18"/>
          <w:color w:val="0000FF"/>
        </w:rPr>
        <w:t>27,338</w:t>
      </w:r>
      <w:r>
        <w:rPr>
          <w:sz w:val="20"/>
          <w:szCs w:val="20"/>
          <w:color w:val="auto"/>
        </w:rPr>
        <w:tab/>
      </w:r>
      <w:r>
        <w:rPr>
          <w:rFonts w:ascii="Arial" w:cs="Arial" w:eastAsia="Arial" w:hAnsi="Arial"/>
          <w:sz w:val="18"/>
          <w:szCs w:val="18"/>
          <w:color w:val="0000FF"/>
        </w:rPr>
        <w:t>D</w:t>
      </w:r>
      <w:r>
        <w:rPr>
          <w:sz w:val="20"/>
          <w:szCs w:val="20"/>
          <w:color w:val="auto"/>
        </w:rPr>
        <w:tab/>
      </w:r>
      <w:r>
        <w:rPr>
          <w:rFonts w:ascii="Arial" w:cs="Arial" w:eastAsia="Arial" w:hAnsi="Arial"/>
          <w:sz w:val="18"/>
          <w:szCs w:val="18"/>
          <w:color w:val="auto"/>
        </w:rPr>
        <w:t>$</w:t>
      </w:r>
      <w:r>
        <w:rPr>
          <w:rFonts w:ascii="Arial" w:cs="Arial" w:eastAsia="Arial" w:hAnsi="Arial"/>
          <w:sz w:val="18"/>
          <w:szCs w:val="18"/>
          <w:color w:val="0000FF"/>
        </w:rPr>
        <w:t>0</w:t>
      </w:r>
      <w:r>
        <w:rPr>
          <w:rFonts w:ascii="Arial" w:cs="Arial" w:eastAsia="Arial" w:hAnsi="Arial"/>
          <w:sz w:val="22"/>
          <w:szCs w:val="22"/>
          <w:color w:val="008000"/>
          <w:vertAlign w:val="superscript"/>
        </w:rPr>
        <w:t>(1)</w:t>
      </w:r>
      <w:r>
        <w:rPr>
          <w:sz w:val="20"/>
          <w:szCs w:val="20"/>
          <w:color w:val="auto"/>
        </w:rPr>
        <w:tab/>
      </w:r>
      <w:r>
        <w:rPr>
          <w:rFonts w:ascii="Arial" w:cs="Arial" w:eastAsia="Arial" w:hAnsi="Arial"/>
          <w:sz w:val="18"/>
          <w:szCs w:val="18"/>
          <w:color w:val="0000FF"/>
        </w:rPr>
        <w:t>0</w:t>
      </w:r>
      <w:r>
        <w:rPr>
          <w:sz w:val="20"/>
          <w:szCs w:val="20"/>
          <w:color w:val="auto"/>
        </w:rPr>
        <w:tab/>
      </w:r>
      <w:r>
        <w:rPr>
          <w:rFonts w:ascii="Arial" w:cs="Arial" w:eastAsia="Arial" w:hAnsi="Arial"/>
          <w:sz w:val="18"/>
          <w:szCs w:val="18"/>
          <w:color w:val="0000FF"/>
        </w:rPr>
        <w:t>I</w:t>
      </w:r>
      <w:r>
        <w:rPr>
          <w:sz w:val="20"/>
          <w:szCs w:val="20"/>
          <w:color w:val="auto"/>
        </w:rPr>
        <w:tab/>
      </w:r>
      <w:r>
        <w:rPr>
          <w:rFonts w:ascii="Arial" w:cs="Arial" w:eastAsia="Arial" w:hAnsi="Arial"/>
          <w:sz w:val="16"/>
          <w:szCs w:val="16"/>
          <w:color w:val="0000FF"/>
        </w:rPr>
        <w:t>By trust</w:t>
      </w:r>
    </w:p>
    <w:p>
      <w:pPr>
        <w:spacing w:after="0" w:line="222" w:lineRule="exact"/>
        <w:rPr>
          <w:sz w:val="20"/>
          <w:szCs w:val="20"/>
          <w:color w:val="auto"/>
        </w:rPr>
      </w:pPr>
    </w:p>
    <w:p>
      <w:pPr>
        <w:sectPr>
          <w:pgSz w:w="11900" w:h="16838" w:orient="portrait"/>
          <w:cols w:equalWidth="0" w:num="2">
            <w:col w:w="5100" w:space="720"/>
            <w:col w:w="560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Disposed of pursuant to merger agreement with Chicago Mercantile Exchange Holdings Inc. at an exchange ratio of 0.3750 shares of CME Group common stock for each share of CBOT Holdings common stock.</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6"/>
              </w:rPr>
              <w:t>/s/ Paul J. Draths, as attorney-</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07/16/2007</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2265" TargetMode="External"/><Relationship Id="rId13" Type="http://schemas.openxmlformats.org/officeDocument/2006/relationships/hyperlink" Target="http://www.sec.gov/cgi-bin/browse-edgar?action=getcompany&amp;CIK=00011614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2019-12-17T13:19:55Z</dcterms:created>
  <dcterms:modified xsi:type="dcterms:W3CDTF">2019-12-17T13:19:55Z</dcterms:modified>
</cp:coreProperties>
</file>