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4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620" w:hanging="585"/>
        <w:spacing w:after="0" w:line="219" w:lineRule="auto"/>
        <w:tabs>
          <w:tab w:leader="none" w:pos="62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200" w:lineRule="exact"/>
        <w:rPr>
          <w:sz w:val="24"/>
          <w:szCs w:val="24"/>
          <w:color w:val="auto"/>
        </w:rPr>
      </w:pPr>
    </w:p>
    <w:p>
      <w:pPr>
        <w:spacing w:after="0" w:line="278"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00" w:type="dxa"/>
            <w:vAlign w:val="bottom"/>
          </w:tcPr>
          <w:p>
            <w:pPr>
              <w:spacing w:after="0"/>
              <w:rPr>
                <w:sz w:val="15"/>
                <w:szCs w:val="15"/>
                <w:color w:val="auto"/>
              </w:rPr>
            </w:pPr>
          </w:p>
        </w:tc>
        <w:tc>
          <w:tcPr>
            <w:tcW w:w="3120" w:type="dxa"/>
            <w:vAlign w:val="bottom"/>
          </w:tcPr>
          <w:p>
            <w:pPr>
              <w:ind w:left="780"/>
              <w:spacing w:after="0"/>
              <w:rPr>
                <w:sz w:val="20"/>
                <w:szCs w:val="20"/>
                <w:color w:val="auto"/>
              </w:rPr>
            </w:pPr>
            <w:r>
              <w:rPr>
                <w:rFonts w:ascii="Arial" w:cs="Arial" w:eastAsia="Arial" w:hAnsi="Arial"/>
                <w:sz w:val="14"/>
                <w:szCs w:val="14"/>
                <w:b w:val="1"/>
                <w:bCs w:val="1"/>
                <w:color w:val="auto"/>
                <w:w w:val="96"/>
              </w:rPr>
              <w:t>Commission File Number 001-31553</w:t>
            </w:r>
          </w:p>
        </w:tc>
        <w:tc>
          <w:tcPr>
            <w:tcW w:w="660" w:type="dxa"/>
            <w:vAlign w:val="bottom"/>
          </w:tcPr>
          <w:p>
            <w:pPr>
              <w:spacing w:after="0"/>
              <w:rPr>
                <w:sz w:val="15"/>
                <w:szCs w:val="15"/>
                <w:color w:val="auto"/>
              </w:rPr>
            </w:pPr>
          </w:p>
        </w:tc>
        <w:tc>
          <w:tcPr>
            <w:tcW w:w="3840" w:type="dxa"/>
            <w:vAlign w:val="bottom"/>
          </w:tcPr>
          <w:p>
            <w:pPr>
              <w:spacing w:after="0"/>
              <w:rPr>
                <w:sz w:val="15"/>
                <w:szCs w:val="15"/>
                <w:color w:val="auto"/>
              </w:rPr>
            </w:pPr>
          </w:p>
        </w:tc>
      </w:tr>
      <w:tr>
        <w:trPr>
          <w:trHeight w:val="565"/>
        </w:trPr>
        <w:tc>
          <w:tcPr>
            <w:tcW w:w="3800" w:type="dxa"/>
            <w:vAlign w:val="bottom"/>
          </w:tcPr>
          <w:p>
            <w:pPr>
              <w:spacing w:after="0"/>
              <w:rPr>
                <w:sz w:val="24"/>
                <w:szCs w:val="24"/>
                <w:color w:val="auto"/>
              </w:rPr>
            </w:pPr>
          </w:p>
        </w:tc>
        <w:tc>
          <w:tcPr>
            <w:tcW w:w="3780" w:type="dxa"/>
            <w:vAlign w:val="bottom"/>
            <w:gridSpan w:val="2"/>
          </w:tcPr>
          <w:p>
            <w:pPr>
              <w:jc w:val="center"/>
              <w:spacing w:after="0"/>
              <w:rPr>
                <w:sz w:val="20"/>
                <w:szCs w:val="20"/>
                <w:color w:val="auto"/>
              </w:rPr>
            </w:pPr>
            <w:r>
              <w:rPr>
                <w:rFonts w:ascii="Arial" w:cs="Arial" w:eastAsia="Arial" w:hAnsi="Arial"/>
                <w:sz w:val="43"/>
                <w:szCs w:val="43"/>
                <w:b w:val="1"/>
                <w:bCs w:val="1"/>
                <w:color w:val="auto"/>
              </w:rPr>
              <w:t>CME GROUP INC.</w:t>
            </w:r>
          </w:p>
        </w:tc>
        <w:tc>
          <w:tcPr>
            <w:tcW w:w="3840" w:type="dxa"/>
            <w:vAlign w:val="bottom"/>
          </w:tcPr>
          <w:p>
            <w:pPr>
              <w:spacing w:after="0"/>
              <w:rPr>
                <w:sz w:val="24"/>
                <w:szCs w:val="24"/>
                <w:color w:val="auto"/>
              </w:rPr>
            </w:pPr>
          </w:p>
        </w:tc>
      </w:tr>
      <w:tr>
        <w:trPr>
          <w:trHeight w:val="196"/>
        </w:trPr>
        <w:tc>
          <w:tcPr>
            <w:tcW w:w="3800" w:type="dxa"/>
            <w:vAlign w:val="bottom"/>
          </w:tcPr>
          <w:p>
            <w:pPr>
              <w:spacing w:after="0"/>
              <w:rPr>
                <w:sz w:val="17"/>
                <w:szCs w:val="17"/>
                <w:color w:val="auto"/>
              </w:rPr>
            </w:pPr>
          </w:p>
        </w:tc>
        <w:tc>
          <w:tcPr>
            <w:tcW w:w="3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840" w:type="dxa"/>
            <w:vAlign w:val="bottom"/>
          </w:tcPr>
          <w:p>
            <w:pPr>
              <w:spacing w:after="0"/>
              <w:rPr>
                <w:sz w:val="17"/>
                <w:szCs w:val="17"/>
                <w:color w:val="auto"/>
              </w:rPr>
            </w:pPr>
          </w:p>
        </w:tc>
      </w:tr>
      <w:tr>
        <w:trPr>
          <w:trHeight w:val="392"/>
        </w:trPr>
        <w:tc>
          <w:tcPr>
            <w:tcW w:w="3800" w:type="dxa"/>
            <w:vAlign w:val="bottom"/>
          </w:tcPr>
          <w:p>
            <w:pPr>
              <w:jc w:val="center"/>
              <w:ind w:left="1874"/>
              <w:spacing w:after="0"/>
              <w:rPr>
                <w:sz w:val="20"/>
                <w:szCs w:val="20"/>
                <w:color w:val="auto"/>
              </w:rPr>
            </w:pPr>
            <w:r>
              <w:rPr>
                <w:rFonts w:ascii="Arial" w:cs="Arial" w:eastAsia="Arial" w:hAnsi="Arial"/>
                <w:sz w:val="14"/>
                <w:szCs w:val="14"/>
                <w:b w:val="1"/>
                <w:bCs w:val="1"/>
                <w:color w:val="auto"/>
                <w:w w:val="94"/>
              </w:rPr>
              <w:t>Delaware</w:t>
            </w:r>
          </w:p>
        </w:tc>
        <w:tc>
          <w:tcPr>
            <w:tcW w:w="3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40" w:type="dxa"/>
            <w:vAlign w:val="bottom"/>
          </w:tcPr>
          <w:p>
            <w:pPr>
              <w:jc w:val="right"/>
              <w:ind w:right="1414"/>
              <w:spacing w:after="0"/>
              <w:rPr>
                <w:sz w:val="20"/>
                <w:szCs w:val="20"/>
                <w:color w:val="auto"/>
              </w:rPr>
            </w:pPr>
            <w:r>
              <w:rPr>
                <w:rFonts w:ascii="Arial" w:cs="Arial" w:eastAsia="Arial" w:hAnsi="Arial"/>
                <w:sz w:val="14"/>
                <w:szCs w:val="14"/>
                <w:b w:val="1"/>
                <w:bCs w:val="1"/>
                <w:color w:val="auto"/>
              </w:rPr>
              <w:t>36-4459170</w:t>
            </w:r>
          </w:p>
        </w:tc>
      </w:tr>
      <w:tr>
        <w:trPr>
          <w:trHeight w:val="156"/>
        </w:trPr>
        <w:tc>
          <w:tcPr>
            <w:tcW w:w="3800" w:type="dxa"/>
            <w:vAlign w:val="bottom"/>
          </w:tcPr>
          <w:p>
            <w:pPr>
              <w:jc w:val="center"/>
              <w:ind w:left="1854"/>
              <w:spacing w:after="0"/>
              <w:rPr>
                <w:sz w:val="20"/>
                <w:szCs w:val="20"/>
                <w:color w:val="auto"/>
              </w:rPr>
            </w:pPr>
            <w:r>
              <w:rPr>
                <w:rFonts w:ascii="Arial" w:cs="Arial" w:eastAsia="Arial" w:hAnsi="Arial"/>
                <w:sz w:val="13"/>
                <w:szCs w:val="13"/>
                <w:b w:val="1"/>
                <w:bCs w:val="1"/>
                <w:color w:val="auto"/>
                <w:w w:val="89"/>
              </w:rPr>
              <w:t>(State or Other Jurisdiction of</w:t>
            </w:r>
          </w:p>
        </w:tc>
        <w:tc>
          <w:tcPr>
            <w:tcW w:w="3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40" w:type="dxa"/>
            <w:vAlign w:val="bottom"/>
          </w:tcPr>
          <w:p>
            <w:pPr>
              <w:jc w:val="center"/>
              <w:ind w:left="114"/>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800" w:type="dxa"/>
            <w:vAlign w:val="bottom"/>
          </w:tcPr>
          <w:p>
            <w:pPr>
              <w:jc w:val="center"/>
              <w:ind w:left="1874"/>
              <w:spacing w:after="0"/>
              <w:rPr>
                <w:sz w:val="20"/>
                <w:szCs w:val="20"/>
                <w:color w:val="auto"/>
              </w:rPr>
            </w:pPr>
            <w:r>
              <w:rPr>
                <w:rFonts w:ascii="Arial" w:cs="Arial" w:eastAsia="Arial" w:hAnsi="Arial"/>
                <w:sz w:val="13"/>
                <w:szCs w:val="13"/>
                <w:b w:val="1"/>
                <w:bCs w:val="1"/>
                <w:color w:val="auto"/>
                <w:w w:val="90"/>
              </w:rPr>
              <w:t>Incorporation or Organization)</w:t>
            </w:r>
          </w:p>
        </w:tc>
        <w:tc>
          <w:tcPr>
            <w:tcW w:w="3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40" w:type="dxa"/>
            <w:vAlign w:val="bottom"/>
          </w:tcPr>
          <w:p>
            <w:pPr>
              <w:jc w:val="center"/>
              <w:ind w:left="134"/>
              <w:spacing w:after="0"/>
              <w:rPr>
                <w:sz w:val="20"/>
                <w:szCs w:val="20"/>
                <w:color w:val="auto"/>
              </w:rPr>
            </w:pPr>
            <w:r>
              <w:rPr>
                <w:rFonts w:ascii="Arial" w:cs="Arial" w:eastAsia="Arial" w:hAnsi="Arial"/>
                <w:sz w:val="13"/>
                <w:szCs w:val="13"/>
                <w:b w:val="1"/>
                <w:bCs w:val="1"/>
                <w:color w:val="auto"/>
                <w:w w:val="91"/>
              </w:rPr>
              <w:t>Identification No.)</w:t>
            </w:r>
          </w:p>
        </w:tc>
      </w:tr>
      <w:tr>
        <w:trPr>
          <w:trHeight w:val="207"/>
        </w:trPr>
        <w:tc>
          <w:tcPr>
            <w:tcW w:w="3800" w:type="dxa"/>
            <w:vAlign w:val="bottom"/>
          </w:tcPr>
          <w:p>
            <w:pPr>
              <w:jc w:val="center"/>
              <w:ind w:left="1854"/>
              <w:spacing w:after="0"/>
              <w:rPr>
                <w:sz w:val="20"/>
                <w:szCs w:val="20"/>
                <w:color w:val="auto"/>
              </w:rPr>
            </w:pPr>
            <w:r>
              <w:rPr>
                <w:rFonts w:ascii="Arial" w:cs="Arial" w:eastAsia="Arial" w:hAnsi="Arial"/>
                <w:sz w:val="14"/>
                <w:szCs w:val="14"/>
                <w:b w:val="1"/>
                <w:bCs w:val="1"/>
                <w:color w:val="auto"/>
                <w:w w:val="94"/>
              </w:rPr>
              <w:t>20 South Wacker Drive</w:t>
            </w:r>
          </w:p>
        </w:tc>
        <w:tc>
          <w:tcPr>
            <w:tcW w:w="3120" w:type="dxa"/>
            <w:vAlign w:val="bottom"/>
          </w:tcPr>
          <w:p>
            <w:pPr>
              <w:ind w:left="2240"/>
              <w:spacing w:after="0"/>
              <w:rPr>
                <w:sz w:val="20"/>
                <w:szCs w:val="20"/>
                <w:color w:val="auto"/>
              </w:rPr>
            </w:pPr>
            <w:r>
              <w:rPr>
                <w:rFonts w:ascii="Arial" w:cs="Arial" w:eastAsia="Arial" w:hAnsi="Arial"/>
                <w:sz w:val="14"/>
                <w:szCs w:val="14"/>
                <w:b w:val="1"/>
                <w:bCs w:val="1"/>
                <w:color w:val="auto"/>
              </w:rPr>
              <w:t>Chicago</w:t>
            </w: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Illinois</w:t>
            </w:r>
          </w:p>
        </w:tc>
        <w:tc>
          <w:tcPr>
            <w:tcW w:w="3840" w:type="dxa"/>
            <w:vAlign w:val="bottom"/>
          </w:tcPr>
          <w:p>
            <w:pPr>
              <w:jc w:val="right"/>
              <w:ind w:right="1574"/>
              <w:spacing w:after="0"/>
              <w:rPr>
                <w:sz w:val="20"/>
                <w:szCs w:val="20"/>
                <w:color w:val="auto"/>
              </w:rPr>
            </w:pPr>
            <w:r>
              <w:rPr>
                <w:rFonts w:ascii="Arial" w:cs="Arial" w:eastAsia="Arial" w:hAnsi="Arial"/>
                <w:sz w:val="14"/>
                <w:szCs w:val="14"/>
                <w:b w:val="1"/>
                <w:bCs w:val="1"/>
                <w:color w:val="auto"/>
              </w:rPr>
              <w:t>60606</w:t>
            </w:r>
          </w:p>
        </w:tc>
      </w:tr>
      <w:tr>
        <w:trPr>
          <w:trHeight w:val="185"/>
        </w:trPr>
        <w:tc>
          <w:tcPr>
            <w:tcW w:w="6920" w:type="dxa"/>
            <w:vAlign w:val="bottom"/>
            <w:gridSpan w:val="2"/>
          </w:tcPr>
          <w:p>
            <w:pPr>
              <w:ind w:left="2820"/>
              <w:spacing w:after="0"/>
              <w:rPr>
                <w:sz w:val="20"/>
                <w:szCs w:val="20"/>
                <w:color w:val="auto"/>
              </w:rPr>
            </w:pPr>
            <w:r>
              <w:rPr>
                <w:rFonts w:ascii="Arial" w:cs="Arial" w:eastAsia="Arial" w:hAnsi="Arial"/>
                <w:sz w:val="13"/>
                <w:szCs w:val="13"/>
                <w:b w:val="1"/>
                <w:bCs w:val="1"/>
                <w:color w:val="auto"/>
              </w:rPr>
              <w:t>(Address of Principal Executive Offices)</w:t>
            </w:r>
          </w:p>
        </w:tc>
        <w:tc>
          <w:tcPr>
            <w:tcW w:w="660" w:type="dxa"/>
            <w:vAlign w:val="bottom"/>
          </w:tcPr>
          <w:p>
            <w:pPr>
              <w:spacing w:after="0"/>
              <w:rPr>
                <w:sz w:val="16"/>
                <w:szCs w:val="16"/>
                <w:color w:val="auto"/>
              </w:rPr>
            </w:pPr>
          </w:p>
        </w:tc>
        <w:tc>
          <w:tcPr>
            <w:tcW w:w="3840" w:type="dxa"/>
            <w:vAlign w:val="bottom"/>
          </w:tcPr>
          <w:p>
            <w:pPr>
              <w:jc w:val="center"/>
              <w:ind w:left="114"/>
              <w:spacing w:after="0"/>
              <w:rPr>
                <w:sz w:val="20"/>
                <w:szCs w:val="20"/>
                <w:color w:val="auto"/>
              </w:rPr>
            </w:pPr>
            <w:r>
              <w:rPr>
                <w:rFonts w:ascii="Arial" w:cs="Arial" w:eastAsia="Arial" w:hAnsi="Arial"/>
                <w:sz w:val="13"/>
                <w:szCs w:val="13"/>
                <w:b w:val="1"/>
                <w:bCs w:val="1"/>
                <w:color w:val="auto"/>
                <w:w w:val="90"/>
              </w:rPr>
              <w:t>(Zip Code)</w:t>
            </w:r>
          </w:p>
        </w:tc>
      </w:tr>
      <w:tr>
        <w:trPr>
          <w:trHeight w:val="234"/>
        </w:trPr>
        <w:tc>
          <w:tcPr>
            <w:tcW w:w="1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Registrant’s telephone number, including area code: (312) 930-1000</w:t>
            </w:r>
          </w:p>
        </w:tc>
      </w:tr>
      <w:tr>
        <w:trPr>
          <w:trHeight w:val="216"/>
        </w:trPr>
        <w:tc>
          <w:tcPr>
            <w:tcW w:w="3800" w:type="dxa"/>
            <w:vAlign w:val="bottom"/>
          </w:tcPr>
          <w:p>
            <w:pPr>
              <w:spacing w:after="0"/>
              <w:rPr>
                <w:sz w:val="18"/>
                <w:szCs w:val="18"/>
                <w:color w:val="auto"/>
              </w:rPr>
            </w:pPr>
          </w:p>
        </w:tc>
        <w:tc>
          <w:tcPr>
            <w:tcW w:w="3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840" w:type="dxa"/>
            <w:vAlign w:val="bottom"/>
          </w:tcPr>
          <w:p>
            <w:pPr>
              <w:spacing w:after="0"/>
              <w:rPr>
                <w:sz w:val="18"/>
                <w:szCs w:val="18"/>
                <w:color w:val="auto"/>
              </w:rPr>
            </w:pPr>
          </w:p>
        </w:tc>
      </w:tr>
      <w:tr>
        <w:trPr>
          <w:trHeight w:val="316"/>
        </w:trPr>
        <w:tc>
          <w:tcPr>
            <w:tcW w:w="3800" w:type="dxa"/>
            <w:vAlign w:val="bottom"/>
            <w:tcBorders>
              <w:bottom w:val="single" w:sz="8" w:color="auto"/>
            </w:tcBorders>
          </w:tcPr>
          <w:p>
            <w:pPr>
              <w:jc w:val="center"/>
              <w:ind w:left="1174"/>
              <w:spacing w:after="0"/>
              <w:rPr>
                <w:sz w:val="20"/>
                <w:szCs w:val="20"/>
                <w:color w:val="auto"/>
              </w:rPr>
            </w:pPr>
            <w:r>
              <w:rPr>
                <w:rFonts w:ascii="Arial" w:cs="Arial" w:eastAsia="Arial" w:hAnsi="Arial"/>
                <w:sz w:val="13"/>
                <w:szCs w:val="13"/>
                <w:b w:val="1"/>
                <w:bCs w:val="1"/>
                <w:color w:val="auto"/>
                <w:w w:val="88"/>
              </w:rPr>
              <w:t>Title Of Each Class</w:t>
            </w:r>
          </w:p>
        </w:tc>
        <w:tc>
          <w:tcPr>
            <w:tcW w:w="3120" w:type="dxa"/>
            <w:vAlign w:val="bottom"/>
            <w:tcBorders>
              <w:bottom w:val="single" w:sz="8" w:color="auto"/>
            </w:tcBorders>
          </w:tcPr>
          <w:p>
            <w:pPr>
              <w:jc w:val="center"/>
              <w:ind w:left="510"/>
              <w:spacing w:after="0"/>
              <w:rPr>
                <w:sz w:val="20"/>
                <w:szCs w:val="20"/>
                <w:color w:val="auto"/>
              </w:rPr>
            </w:pPr>
            <w:r>
              <w:rPr>
                <w:rFonts w:ascii="Arial" w:cs="Arial" w:eastAsia="Arial" w:hAnsi="Arial"/>
                <w:sz w:val="13"/>
                <w:szCs w:val="13"/>
                <w:b w:val="1"/>
                <w:bCs w:val="1"/>
                <w:color w:val="auto"/>
                <w:w w:val="86"/>
              </w:rPr>
              <w:t>Trading symbol</w:t>
            </w:r>
          </w:p>
        </w:tc>
        <w:tc>
          <w:tcPr>
            <w:tcW w:w="6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1234"/>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3"/>
        </w:trPr>
        <w:tc>
          <w:tcPr>
            <w:tcW w:w="3800" w:type="dxa"/>
            <w:vAlign w:val="bottom"/>
          </w:tcPr>
          <w:p>
            <w:pPr>
              <w:jc w:val="center"/>
              <w:ind w:left="1174"/>
              <w:spacing w:after="0"/>
              <w:rPr>
                <w:sz w:val="20"/>
                <w:szCs w:val="20"/>
                <w:color w:val="auto"/>
              </w:rPr>
            </w:pPr>
            <w:r>
              <w:rPr>
                <w:rFonts w:ascii="Arial" w:cs="Arial" w:eastAsia="Arial" w:hAnsi="Arial"/>
                <w:sz w:val="13"/>
                <w:szCs w:val="13"/>
                <w:b w:val="1"/>
                <w:bCs w:val="1"/>
                <w:color w:val="auto"/>
                <w:w w:val="87"/>
              </w:rPr>
              <w:t>Class A Common Stock $0.01 par value</w:t>
            </w:r>
          </w:p>
        </w:tc>
        <w:tc>
          <w:tcPr>
            <w:tcW w:w="3120" w:type="dxa"/>
            <w:vAlign w:val="bottom"/>
          </w:tcPr>
          <w:p>
            <w:pPr>
              <w:jc w:val="center"/>
              <w:ind w:left="510"/>
              <w:spacing w:after="0"/>
              <w:rPr>
                <w:sz w:val="20"/>
                <w:szCs w:val="20"/>
                <w:color w:val="auto"/>
              </w:rPr>
            </w:pPr>
            <w:r>
              <w:rPr>
                <w:rFonts w:ascii="Arial" w:cs="Arial" w:eastAsia="Arial" w:hAnsi="Arial"/>
                <w:sz w:val="13"/>
                <w:szCs w:val="13"/>
                <w:b w:val="1"/>
                <w:bCs w:val="1"/>
                <w:color w:val="auto"/>
                <w:w w:val="96"/>
              </w:rPr>
              <w:t>CME</w:t>
            </w:r>
          </w:p>
        </w:tc>
        <w:tc>
          <w:tcPr>
            <w:tcW w:w="660" w:type="dxa"/>
            <w:vAlign w:val="bottom"/>
          </w:tcPr>
          <w:p>
            <w:pPr>
              <w:spacing w:after="0"/>
              <w:rPr>
                <w:sz w:val="15"/>
                <w:szCs w:val="15"/>
                <w:color w:val="auto"/>
              </w:rPr>
            </w:pPr>
          </w:p>
        </w:tc>
        <w:tc>
          <w:tcPr>
            <w:tcW w:w="3840" w:type="dxa"/>
            <w:vAlign w:val="bottom"/>
          </w:tcPr>
          <w:p>
            <w:pPr>
              <w:jc w:val="center"/>
              <w:ind w:right="1234"/>
              <w:spacing w:after="0"/>
              <w:rPr>
                <w:sz w:val="20"/>
                <w:szCs w:val="20"/>
                <w:color w:val="auto"/>
              </w:rPr>
            </w:pPr>
            <w:r>
              <w:rPr>
                <w:rFonts w:ascii="Arial" w:cs="Arial" w:eastAsia="Arial" w:hAnsi="Arial"/>
                <w:sz w:val="13"/>
                <w:szCs w:val="13"/>
                <w:b w:val="1"/>
                <w:bCs w:val="1"/>
                <w:color w:val="auto"/>
                <w:w w:val="95"/>
              </w:rPr>
              <w:t>NASDAQ</w:t>
            </w:r>
          </w:p>
        </w:tc>
      </w:tr>
    </w:tbl>
    <w:p>
      <w:pPr>
        <w:spacing w:after="0" w:line="56" w:lineRule="exact"/>
        <w:rPr>
          <w:sz w:val="24"/>
          <w:szCs w:val="24"/>
          <w:color w:val="auto"/>
        </w:rPr>
      </w:pPr>
    </w:p>
    <w:p>
      <w:pPr>
        <w:ind w:left="4080"/>
        <w:spacing w:after="0"/>
        <w:rPr>
          <w:sz w:val="20"/>
          <w:szCs w:val="20"/>
          <w:color w:val="auto"/>
        </w:rPr>
      </w:pPr>
      <w:r>
        <w:rPr>
          <w:rFonts w:ascii="Arial" w:cs="Arial" w:eastAsia="Arial" w:hAnsi="Arial"/>
          <w:sz w:val="13"/>
          <w:szCs w:val="13"/>
          <w:color w:val="auto"/>
        </w:rPr>
        <w:t>____________________________________________________</w:t>
      </w:r>
    </w:p>
    <w:p>
      <w:pPr>
        <w:spacing w:after="0" w:line="49" w:lineRule="exact"/>
        <w:rPr>
          <w:sz w:val="24"/>
          <w:szCs w:val="24"/>
          <w:color w:val="auto"/>
        </w:rPr>
      </w:pPr>
    </w:p>
    <w:p>
      <w:pPr>
        <w:ind w:right="60"/>
        <w:spacing w:after="0" w:line="261" w:lineRule="auto"/>
        <w:rPr>
          <w:sz w:val="20"/>
          <w:szCs w:val="20"/>
          <w:color w:val="auto"/>
        </w:rPr>
      </w:pPr>
      <w:r>
        <w:rPr>
          <w:rFonts w:ascii="Arial" w:cs="Arial" w:eastAsia="Arial" w:hAnsi="Arial"/>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ectPr>
          <w:pgSz w:w="11900" w:h="16838" w:orient="portrait"/>
          <w:cols w:equalWidth="0" w:num="1">
            <w:col w:w="11420"/>
          </w:cols>
          <w:pgMar w:left="240" w:top="535" w:right="2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6760" w:space="140"/>
            <w:col w:w="220" w:space="60"/>
            <w:col w:w="140" w:space="140"/>
            <w:col w:w="180" w:space="80"/>
            <w:col w:w="3700"/>
          </w:cols>
          <w:pgMar w:left="240" w:top="535"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4" w:lineRule="exact"/>
        <w:rPr>
          <w:sz w:val="24"/>
          <w:szCs w:val="24"/>
          <w:color w:val="auto"/>
        </w:rPr>
      </w:pPr>
    </w:p>
    <w:p>
      <w:pPr>
        <w:sectPr>
          <w:pgSz w:w="11900" w:h="16838" w:orient="portrait"/>
          <w:cols w:equalWidth="0" w:num="5">
            <w:col w:w="6900" w:space="140"/>
            <w:col w:w="200" w:space="80"/>
            <w:col w:w="120" w:space="160"/>
            <w:col w:w="160" w:space="80"/>
            <w:col w:w="3580"/>
          </w:cols>
          <w:pgMar w:left="240" w:top="535" w:right="239" w:bottom="1440" w:gutter="0" w:footer="0" w:header="0"/>
          <w:type w:val="continuous"/>
        </w:sect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Act.</w:t>
      </w:r>
    </w:p>
    <w:p>
      <w:pPr>
        <w:spacing w:after="0" w:line="244"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2620"/>
              <w:spacing w:after="0"/>
              <w:rPr>
                <w:sz w:val="20"/>
                <w:szCs w:val="20"/>
                <w:color w:val="auto"/>
              </w:rPr>
            </w:pPr>
            <w:r>
              <w:rPr>
                <w:rFonts w:ascii="Arial" w:cs="Arial" w:eastAsia="Arial" w:hAnsi="Arial"/>
                <w:sz w:val="14"/>
                <w:szCs w:val="14"/>
                <w:color w:val="auto"/>
              </w:rPr>
              <w:t>Accelerated filer</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29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2620"/>
              <w:spacing w:after="0"/>
              <w:rPr>
                <w:sz w:val="20"/>
                <w:szCs w:val="20"/>
                <w:color w:val="auto"/>
              </w:rPr>
            </w:pPr>
            <w:r>
              <w:rPr>
                <w:rFonts w:ascii="Arial" w:cs="Arial" w:eastAsia="Arial" w:hAnsi="Arial"/>
                <w:sz w:val="14"/>
                <w:szCs w:val="14"/>
                <w:color w:val="auto"/>
              </w:rPr>
              <w:t>Smaller reporting company</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6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300" w:type="dxa"/>
            <w:vAlign w:val="bottom"/>
          </w:tcPr>
          <w:p>
            <w:pPr>
              <w:ind w:left="2620"/>
              <w:spacing w:after="0"/>
              <w:rPr>
                <w:sz w:val="20"/>
                <w:szCs w:val="20"/>
                <w:color w:val="auto"/>
              </w:rPr>
            </w:pPr>
            <w:r>
              <w:rPr>
                <w:rFonts w:ascii="Arial" w:cs="Arial" w:eastAsia="Arial" w:hAnsi="Arial"/>
                <w:sz w:val="14"/>
                <w:szCs w:val="14"/>
                <w:color w:val="auto"/>
              </w:rPr>
              <w:t>Emerging growth company</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bl>
    <w:p>
      <w:pPr>
        <w:ind w:right="1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77" w:lineRule="auto"/>
        <w:rPr>
          <w:sz w:val="20"/>
          <w:szCs w:val="20"/>
          <w:color w:val="auto"/>
        </w:rPr>
      </w:pPr>
      <w:r>
        <w:rPr>
          <w:rFonts w:ascii="Arial" w:cs="Arial" w:eastAsia="Arial" w:hAnsi="Arial"/>
          <w:sz w:val="13"/>
          <w:szCs w:val="13"/>
          <w:color w:val="auto"/>
        </w:rPr>
        <w:t>The aggregate market value of the voting stock held by non-affiliates of the registrant as of June 30, 2019, was approximately $68.5 billion (based on the closing price per share of CME Group Inc. Class A common stock on the NASDAQ Global Select Market (NASDAQ) on such date). The number of shares outstanding of each of the registrant’s classes of common stock as of February 12, 2020 was as follows: 358,402,226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Borders>
              <w:bottom w:val="single" w:sz="8" w:color="auto"/>
            </w:tcBorders>
          </w:tcPr>
          <w:p>
            <w:pPr>
              <w:ind w:left="2740"/>
              <w:spacing w:after="0"/>
              <w:rPr>
                <w:sz w:val="20"/>
                <w:szCs w:val="20"/>
                <w:color w:val="auto"/>
              </w:rPr>
            </w:pPr>
            <w:r>
              <w:rPr>
                <w:rFonts w:ascii="Arial" w:cs="Arial" w:eastAsia="Arial" w:hAnsi="Arial"/>
                <w:sz w:val="13"/>
                <w:szCs w:val="13"/>
                <w:b w:val="1"/>
                <w:bCs w:val="1"/>
                <w:color w:val="auto"/>
              </w:rPr>
              <w:t>Documents</w:t>
            </w:r>
          </w:p>
        </w:tc>
        <w:tc>
          <w:tcPr>
            <w:tcW w:w="120" w:type="dxa"/>
            <w:vAlign w:val="bottom"/>
          </w:tcPr>
          <w:p>
            <w:pPr>
              <w:spacing w:after="0"/>
              <w:rPr>
                <w:sz w:val="15"/>
                <w:szCs w:val="15"/>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Form 10-K Reference</w:t>
            </w:r>
          </w:p>
        </w:tc>
      </w:tr>
      <w:tr>
        <w:trPr>
          <w:trHeight w:val="191"/>
        </w:trPr>
        <w:tc>
          <w:tcPr>
            <w:tcW w:w="6180" w:type="dxa"/>
            <w:vAlign w:val="bottom"/>
            <w:gridSpan w:val="2"/>
          </w:tcPr>
          <w:p>
            <w:pPr>
              <w:ind w:left="40"/>
              <w:spacing w:after="0"/>
              <w:rPr>
                <w:sz w:val="20"/>
                <w:szCs w:val="20"/>
                <w:color w:val="auto"/>
              </w:rPr>
            </w:pPr>
            <w:r>
              <w:rPr>
                <w:rFonts w:ascii="Arial" w:cs="Arial" w:eastAsia="Arial" w:hAnsi="Arial"/>
                <w:sz w:val="14"/>
                <w:szCs w:val="14"/>
                <w:color w:val="auto"/>
              </w:rPr>
              <w:t>Portions of the CME Group Inc.’s Proxy Statement for the 2020 Annual Meeting of Shareholders</w:t>
            </w:r>
          </w:p>
        </w:tc>
        <w:tc>
          <w:tcPr>
            <w:tcW w:w="5240" w:type="dxa"/>
            <w:vAlign w:val="bottom"/>
          </w:tcPr>
          <w:p>
            <w:pPr>
              <w:jc w:val="center"/>
              <w:spacing w:after="0"/>
              <w:rPr>
                <w:sz w:val="20"/>
                <w:szCs w:val="20"/>
                <w:color w:val="auto"/>
              </w:rPr>
            </w:pPr>
            <w:r>
              <w:rPr>
                <w:rFonts w:ascii="Arial" w:cs="Arial" w:eastAsia="Arial" w:hAnsi="Arial"/>
                <w:sz w:val="14"/>
                <w:szCs w:val="14"/>
                <w:color w:val="auto"/>
                <w:w w:val="96"/>
              </w:rPr>
              <w:t>Part III</w:t>
            </w:r>
          </w:p>
        </w:tc>
      </w:tr>
    </w:tbl>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gridSpan w:val="9"/>
          </w:tcPr>
          <w:p>
            <w:pPr>
              <w:jc w:val="center"/>
              <w:ind w:right="3300"/>
              <w:spacing w:after="0"/>
              <w:rPr>
                <w:sz w:val="20"/>
                <w:szCs w:val="20"/>
                <w:color w:val="auto"/>
              </w:rPr>
            </w:pPr>
            <w:r>
              <w:rPr>
                <w:rFonts w:ascii="Arial" w:cs="Arial" w:eastAsia="Arial" w:hAnsi="Arial"/>
                <w:sz w:val="18"/>
                <w:szCs w:val="18"/>
                <w:b w:val="1"/>
                <w:bCs w:val="1"/>
                <w:color w:val="auto"/>
              </w:rPr>
              <w:t>CME GROUP INC.</w:t>
            </w:r>
          </w:p>
        </w:tc>
        <w:tc>
          <w:tcPr>
            <w:tcW w:w="1480" w:type="dxa"/>
            <w:vAlign w:val="bottom"/>
          </w:tcPr>
          <w:p>
            <w:pPr>
              <w:spacing w:after="0"/>
              <w:rPr>
                <w:sz w:val="20"/>
                <w:szCs w:val="20"/>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gridSpan w:val="11"/>
          </w:tcPr>
          <w:p>
            <w:pPr>
              <w:jc w:val="center"/>
              <w:ind w:right="2080"/>
              <w:spacing w:after="0"/>
              <w:rPr>
                <w:sz w:val="20"/>
                <w:szCs w:val="20"/>
                <w:color w:val="auto"/>
              </w:rPr>
            </w:pPr>
            <w:r>
              <w:rPr>
                <w:rFonts w:ascii="Arial" w:cs="Arial" w:eastAsia="Arial" w:hAnsi="Arial"/>
                <w:sz w:val="18"/>
                <w:szCs w:val="18"/>
                <w:b w:val="1"/>
                <w:bCs w:val="1"/>
                <w:color w:val="auto"/>
                <w:w w:val="99"/>
              </w:rPr>
              <w:t>ANNUAL REPORT ON FORM 10-K</w:t>
            </w:r>
          </w:p>
        </w:tc>
        <w:tc>
          <w:tcPr>
            <w:tcW w:w="148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rPr>
              <w:t>INDEX</w:t>
            </w:r>
          </w:p>
        </w:tc>
        <w:tc>
          <w:tcPr>
            <w:tcW w:w="1480" w:type="dxa"/>
            <w:vAlign w:val="bottom"/>
          </w:tcPr>
          <w:p>
            <w:pPr>
              <w:spacing w:after="0"/>
              <w:rPr>
                <w:sz w:val="24"/>
                <w:szCs w:val="24"/>
                <w:color w:val="auto"/>
              </w:rPr>
            </w:pPr>
          </w:p>
        </w:tc>
      </w:tr>
      <w:tr>
        <w:trPr>
          <w:trHeight w:val="52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Page</w:t>
            </w:r>
          </w:p>
        </w:tc>
      </w:tr>
      <w:tr>
        <w:trPr>
          <w:trHeight w:val="527"/>
        </w:trPr>
        <w:tc>
          <w:tcPr>
            <w:tcW w:w="138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372"/>
        </w:trPr>
        <w:tc>
          <w:tcPr>
            <w:tcW w:w="6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760" w:type="dxa"/>
            <w:vAlign w:val="bottom"/>
            <w:gridSpan w:val="5"/>
          </w:tcPr>
          <w:p>
            <w:pPr>
              <w:spacing w:after="0"/>
              <w:rPr>
                <w:sz w:val="24"/>
                <w:szCs w:val="24"/>
                <w:color w:val="auto"/>
              </w:rPr>
            </w:pPr>
          </w:p>
        </w:tc>
        <w:tc>
          <w:tcPr>
            <w:tcW w:w="66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Business</w:t>
              </w:r>
            </w:hyperlink>
          </w:p>
        </w:tc>
        <w:tc>
          <w:tcPr>
            <w:tcW w:w="7860" w:type="dxa"/>
            <w:vAlign w:val="bottom"/>
            <w:gridSpan w:val="21"/>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8520" w:type="dxa"/>
            <w:vAlign w:val="bottom"/>
            <w:gridSpan w:val="22"/>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Risk Factors</w:t>
              </w:r>
            </w:hyperlink>
          </w:p>
        </w:tc>
        <w:tc>
          <w:tcPr>
            <w:tcW w:w="148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8520" w:type="dxa"/>
            <w:vAlign w:val="bottom"/>
            <w:gridSpan w:val="2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Unresolved Staff Comments</w:t>
              </w:r>
            </w:hyperlink>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21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Properties</w:t>
              </w:r>
            </w:hyperlink>
          </w:p>
        </w:tc>
        <w:tc>
          <w:tcPr>
            <w:tcW w:w="6380" w:type="dxa"/>
            <w:vAlign w:val="bottom"/>
            <w:gridSpan w:val="11"/>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1400" w:type="dxa"/>
            <w:vAlign w:val="bottom"/>
            <w:tcBorders>
              <w:bottom w:val="single" w:sz="8" w:color="0000EE"/>
            </w:tcBorders>
            <w:gridSpan w:val="4"/>
          </w:tcPr>
          <w:p>
            <w:pPr>
              <w:spacing w:after="0"/>
              <w:rPr>
                <w:rFonts w:ascii="Arial" w:cs="Arial" w:eastAsia="Arial" w:hAnsi="Arial"/>
                <w:sz w:val="18"/>
                <w:szCs w:val="18"/>
                <w:b w:val="1"/>
                <w:bCs w:val="1"/>
                <w:color w:val="0000EE"/>
                <w:w w:val="86"/>
              </w:rPr>
            </w:pPr>
            <w:hyperlink w:anchor="page25">
              <w:r>
                <w:rPr>
                  <w:rFonts w:ascii="Arial" w:cs="Arial" w:eastAsia="Arial" w:hAnsi="Arial"/>
                  <w:sz w:val="18"/>
                  <w:szCs w:val="18"/>
                  <w:b w:val="1"/>
                  <w:bCs w:val="1"/>
                  <w:color w:val="0000EE"/>
                  <w:w w:val="86"/>
                </w:rPr>
                <w:t>Legal Proceedings</w:t>
              </w:r>
            </w:hyperlink>
          </w:p>
        </w:tc>
        <w:tc>
          <w:tcPr>
            <w:tcW w:w="7120" w:type="dxa"/>
            <w:vAlign w:val="bottom"/>
            <w:gridSpan w:val="18"/>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8520" w:type="dxa"/>
            <w:vAlign w:val="bottom"/>
            <w:gridSpan w:val="22"/>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Mine Safety Disclosures</w:t>
              </w:r>
            </w:hyperlink>
          </w:p>
        </w:tc>
        <w:tc>
          <w:tcPr>
            <w:tcW w:w="14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547"/>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25">
              <w:r>
                <w:rPr>
                  <w:rFonts w:ascii="Arial" w:cs="Arial" w:eastAsia="Arial" w:hAnsi="Arial"/>
                  <w:sz w:val="18"/>
                  <w:szCs w:val="18"/>
                  <w:b w:val="1"/>
                  <w:bCs w:val="1"/>
                  <w:color w:val="0000EE"/>
                  <w:w w:val="98"/>
                </w:rPr>
                <w:t>PART II.</w:t>
              </w:r>
            </w:hyperlink>
          </w:p>
        </w:tc>
        <w:tc>
          <w:tcPr>
            <w:tcW w:w="680" w:type="dxa"/>
            <w:vAlign w:val="bottom"/>
            <w:gridSpan w:val="4"/>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5.</w:t>
            </w:r>
          </w:p>
        </w:tc>
        <w:tc>
          <w:tcPr>
            <w:tcW w:w="7900" w:type="dxa"/>
            <w:vAlign w:val="bottom"/>
            <w:tcBorders>
              <w:bottom w:val="single" w:sz="8" w:color="0000EE"/>
            </w:tcBorders>
            <w:gridSpan w:val="21"/>
          </w:tcPr>
          <w:p>
            <w:pPr>
              <w:spacing w:after="0"/>
              <w:rPr>
                <w:rFonts w:ascii="Arial" w:cs="Arial" w:eastAsia="Arial" w:hAnsi="Arial"/>
                <w:sz w:val="18"/>
                <w:szCs w:val="18"/>
                <w:b w:val="1"/>
                <w:bCs w:val="1"/>
                <w:color w:val="0000EE"/>
                <w:w w:val="90"/>
              </w:rPr>
            </w:pPr>
            <w:hyperlink w:anchor="page25">
              <w:r>
                <w:rPr>
                  <w:rFonts w:ascii="Arial" w:cs="Arial" w:eastAsia="Arial" w:hAnsi="Arial"/>
                  <w:sz w:val="18"/>
                  <w:szCs w:val="18"/>
                  <w:b w:val="1"/>
                  <w:bCs w:val="1"/>
                  <w:color w:val="0000EE"/>
                  <w:w w:val="90"/>
                </w:rPr>
                <w:t>Market for Registrant’s Common Equity, Related Shareholder Matters and Issuer Purchases of Equity</w:t>
              </w:r>
            </w:hyperlink>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20" w:type="dxa"/>
            <w:vAlign w:val="bottom"/>
            <w:gridSpan w:val="22"/>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Securities</w:t>
              </w:r>
            </w:hyperlink>
          </w:p>
        </w:tc>
        <w:tc>
          <w:tcPr>
            <w:tcW w:w="1480" w:type="dxa"/>
            <w:vAlign w:val="bottom"/>
          </w:tcPr>
          <w:p>
            <w:pPr>
              <w:jc w:val="right"/>
              <w:spacing w:after="0" w:line="196" w:lineRule="exact"/>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8520" w:type="dxa"/>
            <w:vAlign w:val="bottom"/>
            <w:gridSpan w:val="2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Selected Financial Data</w:t>
              </w:r>
            </w:hyperlink>
          </w:p>
        </w:tc>
        <w:tc>
          <w:tcPr>
            <w:tcW w:w="14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8520" w:type="dxa"/>
            <w:vAlign w:val="bottom"/>
            <w:gridSpan w:val="2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Management’s Discussion and Analysis of Financial Condition and Results of Operations</w:t>
              </w:r>
            </w:hyperlink>
          </w:p>
        </w:tc>
        <w:tc>
          <w:tcPr>
            <w:tcW w:w="14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462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Quantitative and Qualitative Disclosures about Market Risk</w:t>
              </w:r>
            </w:hyperlink>
          </w:p>
        </w:tc>
        <w:tc>
          <w:tcPr>
            <w:tcW w:w="2200" w:type="dxa"/>
            <w:vAlign w:val="bottom"/>
            <w:tcBorders>
              <w:top w:val="single" w:sz="8" w:color="0000EE"/>
            </w:tcBorders>
            <w:gridSpan w:val="2"/>
          </w:tcPr>
          <w:p>
            <w:pPr>
              <w:spacing w:after="0"/>
              <w:rPr>
                <w:sz w:val="24"/>
                <w:szCs w:val="24"/>
                <w:color w:val="auto"/>
              </w:rPr>
            </w:pPr>
          </w:p>
        </w:tc>
        <w:tc>
          <w:tcPr>
            <w:tcW w:w="1700" w:type="dxa"/>
            <w:vAlign w:val="bottom"/>
            <w:gridSpan w:val="4"/>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8520" w:type="dxa"/>
            <w:vAlign w:val="bottom"/>
            <w:gridSpan w:val="22"/>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Financial Statements and Supplementary Data</w:t>
              </w:r>
            </w:hyperlink>
          </w:p>
        </w:tc>
        <w:tc>
          <w:tcPr>
            <w:tcW w:w="148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8520" w:type="dxa"/>
            <w:vAlign w:val="bottom"/>
            <w:gridSpan w:val="22"/>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Changes in and Disagreements with Accountants on Accounting and Financial Disclosure</w:t>
              </w:r>
            </w:hyperlink>
          </w:p>
        </w:tc>
        <w:tc>
          <w:tcPr>
            <w:tcW w:w="148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192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88"/>
              </w:rPr>
            </w:pPr>
            <w:hyperlink w:anchor="page86">
              <w:r>
                <w:rPr>
                  <w:rFonts w:ascii="Arial" w:cs="Arial" w:eastAsia="Arial" w:hAnsi="Arial"/>
                  <w:sz w:val="18"/>
                  <w:szCs w:val="18"/>
                  <w:b w:val="1"/>
                  <w:bCs w:val="1"/>
                  <w:color w:val="0000EE"/>
                  <w:w w:val="88"/>
                </w:rPr>
                <w:t>Controls and Procedures</w:t>
              </w:r>
            </w:hyperlink>
          </w:p>
        </w:tc>
        <w:tc>
          <w:tcPr>
            <w:tcW w:w="4920" w:type="dxa"/>
            <w:vAlign w:val="bottom"/>
            <w:tcBorders>
              <w:top w:val="single" w:sz="8" w:color="0000EE"/>
            </w:tcBorders>
            <w:gridSpan w:val="9"/>
          </w:tcPr>
          <w:p>
            <w:pPr>
              <w:spacing w:after="0"/>
              <w:rPr>
                <w:sz w:val="24"/>
                <w:szCs w:val="24"/>
                <w:color w:val="auto"/>
              </w:rPr>
            </w:pPr>
          </w:p>
        </w:tc>
        <w:tc>
          <w:tcPr>
            <w:tcW w:w="1680" w:type="dxa"/>
            <w:vAlign w:val="bottom"/>
            <w:gridSpan w:val="3"/>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85</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8520" w:type="dxa"/>
            <w:vAlign w:val="bottom"/>
            <w:gridSpan w:val="22"/>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Other Information</w:t>
              </w:r>
            </w:hyperlink>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547"/>
        </w:trPr>
        <w:tc>
          <w:tcPr>
            <w:tcW w:w="1380" w:type="dxa"/>
            <w:vAlign w:val="bottom"/>
            <w:gridSpan w:val="6"/>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III.</w:t>
              </w:r>
            </w:hyperlink>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372"/>
        </w:trPr>
        <w:tc>
          <w:tcPr>
            <w:tcW w:w="76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Item 10.</w:t>
            </w:r>
          </w:p>
        </w:tc>
        <w:tc>
          <w:tcPr>
            <w:tcW w:w="620" w:type="dxa"/>
            <w:vAlign w:val="bottom"/>
            <w:gridSpan w:val="2"/>
          </w:tcPr>
          <w:p>
            <w:pPr>
              <w:spacing w:after="0"/>
              <w:rPr>
                <w:sz w:val="24"/>
                <w:szCs w:val="24"/>
                <w:color w:val="auto"/>
              </w:rPr>
            </w:pPr>
          </w:p>
        </w:tc>
        <w:tc>
          <w:tcPr>
            <w:tcW w:w="8520" w:type="dxa"/>
            <w:vAlign w:val="bottom"/>
            <w:gridSpan w:val="22"/>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Directors, Executive Officers and Corporate Governance</w:t>
              </w:r>
            </w:hyperlink>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190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7"/>
              </w:rPr>
            </w:pPr>
            <w:hyperlink w:anchor="page90">
              <w:r>
                <w:rPr>
                  <w:rFonts w:ascii="Arial" w:cs="Arial" w:eastAsia="Arial" w:hAnsi="Arial"/>
                  <w:sz w:val="18"/>
                  <w:szCs w:val="18"/>
                  <w:b w:val="1"/>
                  <w:bCs w:val="1"/>
                  <w:color w:val="0000EE"/>
                  <w:w w:val="87"/>
                </w:rPr>
                <w:t>Executive Compensation</w:t>
              </w:r>
            </w:hyperlink>
          </w:p>
        </w:tc>
        <w:tc>
          <w:tcPr>
            <w:tcW w:w="2460" w:type="dxa"/>
            <w:vAlign w:val="bottom"/>
            <w:tcBorders>
              <w:top w:val="single" w:sz="8" w:color="0000EE"/>
            </w:tcBorders>
            <w:gridSpan w:val="6"/>
          </w:tcPr>
          <w:p>
            <w:pPr>
              <w:spacing w:after="0"/>
              <w:rPr>
                <w:sz w:val="24"/>
                <w:szCs w:val="24"/>
                <w:color w:val="auto"/>
              </w:rPr>
            </w:pPr>
          </w:p>
        </w:tc>
        <w:tc>
          <w:tcPr>
            <w:tcW w:w="4160" w:type="dxa"/>
            <w:vAlign w:val="bottom"/>
            <w:gridSpan w:val="7"/>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7820" w:type="dxa"/>
            <w:vAlign w:val="bottom"/>
            <w:tcBorders>
              <w:bottom w:val="single" w:sz="8" w:color="0000EE"/>
            </w:tcBorders>
            <w:gridSpan w:val="20"/>
          </w:tcPr>
          <w:p>
            <w:pPr>
              <w:spacing w:after="0"/>
              <w:rPr>
                <w:rFonts w:ascii="Arial" w:cs="Arial" w:eastAsia="Arial" w:hAnsi="Arial"/>
                <w:sz w:val="18"/>
                <w:szCs w:val="18"/>
                <w:b w:val="1"/>
                <w:bCs w:val="1"/>
                <w:color w:val="0000EE"/>
                <w:w w:val="90"/>
              </w:rPr>
            </w:pPr>
            <w:hyperlink w:anchor="page90">
              <w:r>
                <w:rPr>
                  <w:rFonts w:ascii="Arial" w:cs="Arial" w:eastAsia="Arial" w:hAnsi="Arial"/>
                  <w:sz w:val="18"/>
                  <w:szCs w:val="18"/>
                  <w:b w:val="1"/>
                  <w:bCs w:val="1"/>
                  <w:color w:val="0000EE"/>
                  <w:w w:val="90"/>
                </w:rPr>
                <w:t>Security Ownership of Certain Beneficial Owners and Management and Related Shareholder Matters</w:t>
              </w:r>
            </w:hyperlink>
          </w:p>
        </w:tc>
        <w:tc>
          <w:tcPr>
            <w:tcW w:w="700" w:type="dxa"/>
            <w:vAlign w:val="bottom"/>
            <w:gridSpan w:val="2"/>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8520" w:type="dxa"/>
            <w:vAlign w:val="bottom"/>
            <w:gridSpan w:val="22"/>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Certain Relationships, Related Transactions and Director Independence</w:t>
              </w:r>
            </w:hyperlink>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552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Principal Accountant Fees and Services</w:t>
              </w:r>
            </w:hyperlink>
          </w:p>
        </w:tc>
        <w:tc>
          <w:tcPr>
            <w:tcW w:w="3000" w:type="dxa"/>
            <w:vAlign w:val="bottom"/>
            <w:gridSpan w:val="5"/>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547"/>
        </w:trPr>
        <w:tc>
          <w:tcPr>
            <w:tcW w:w="1380" w:type="dxa"/>
            <w:vAlign w:val="bottom"/>
            <w:gridSpan w:val="6"/>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IV.</w:t>
              </w:r>
            </w:hyperlink>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90</w:t>
              </w:r>
            </w:hyperlink>
          </w:p>
        </w:tc>
      </w:tr>
      <w:tr>
        <w:trPr>
          <w:trHeight w:val="372"/>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15.</w:t>
            </w:r>
          </w:p>
        </w:tc>
        <w:tc>
          <w:tcPr>
            <w:tcW w:w="660" w:type="dxa"/>
            <w:vAlign w:val="bottom"/>
            <w:gridSpan w:val="3"/>
          </w:tcPr>
          <w:p>
            <w:pPr>
              <w:spacing w:after="0"/>
              <w:rPr>
                <w:sz w:val="24"/>
                <w:szCs w:val="24"/>
                <w:color w:val="auto"/>
              </w:rPr>
            </w:pPr>
          </w:p>
        </w:tc>
        <w:tc>
          <w:tcPr>
            <w:tcW w:w="8520" w:type="dxa"/>
            <w:vAlign w:val="bottom"/>
            <w:gridSpan w:val="22"/>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Exhibits and Financial Statement Schedules</w:t>
              </w:r>
            </w:hyperlink>
          </w:p>
        </w:tc>
        <w:tc>
          <w:tcPr>
            <w:tcW w:w="148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90</w:t>
              </w:r>
            </w:hyperlink>
          </w:p>
        </w:tc>
      </w:tr>
      <w:tr>
        <w:trPr>
          <w:trHeight w:val="372"/>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Item 16.</w:t>
            </w:r>
          </w:p>
        </w:tc>
        <w:tc>
          <w:tcPr>
            <w:tcW w:w="336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Form 10-K Summary</w:t>
              </w:r>
            </w:hyperlink>
          </w:p>
        </w:tc>
        <w:tc>
          <w:tcPr>
            <w:tcW w:w="5160" w:type="dxa"/>
            <w:vAlign w:val="bottom"/>
            <w:gridSpan w:val="9"/>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94</w:t>
              </w:r>
            </w:hyperlink>
          </w:p>
        </w:tc>
      </w:tr>
      <w:tr>
        <w:trPr>
          <w:trHeight w:val="372"/>
        </w:trPr>
        <w:tc>
          <w:tcPr>
            <w:tcW w:w="820" w:type="dxa"/>
            <w:vAlign w:val="bottom"/>
            <w:tcBorders>
              <w:bottom w:val="single" w:sz="8" w:color="0000EE"/>
            </w:tcBorders>
            <w:gridSpan w:val="5"/>
          </w:tcPr>
          <w:p>
            <w:pPr>
              <w:spacing w:after="0"/>
              <w:rPr>
                <w:rFonts w:ascii="Arial" w:cs="Arial" w:eastAsia="Arial" w:hAnsi="Arial"/>
                <w:sz w:val="18"/>
                <w:szCs w:val="18"/>
                <w:b w:val="1"/>
                <w:bCs w:val="1"/>
                <w:color w:val="0000EE"/>
                <w:w w:val="85"/>
              </w:rPr>
            </w:pPr>
            <w:hyperlink w:anchor="page96">
              <w:r>
                <w:rPr>
                  <w:rFonts w:ascii="Arial" w:cs="Arial" w:eastAsia="Arial" w:hAnsi="Arial"/>
                  <w:sz w:val="18"/>
                  <w:szCs w:val="18"/>
                  <w:b w:val="1"/>
                  <w:bCs w:val="1"/>
                  <w:color w:val="0000EE"/>
                  <w:w w:val="85"/>
                </w:rPr>
                <w:t>Signatures</w:t>
              </w:r>
            </w:hyperlink>
          </w:p>
        </w:tc>
        <w:tc>
          <w:tcPr>
            <w:tcW w:w="5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95</w:t>
              </w:r>
            </w:hyperlink>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interest rate swaps and credit default swaps as well as volume data for NEX unless otherwise noted. In March 2018, we exited the credit default swaps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NEX, BrokerTec, EBS, TriOptima, and Traiana are trademarks of various entities of NEX Group Limited (NEX).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66" w:lineRule="exact"/>
        <w:rPr>
          <w:sz w:val="20"/>
          <w:szCs w:val="20"/>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existing customers at substantially similar trading levels, develop strategic relationships and attract new customers;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globally offer our products and services;</w:t>
      </w:r>
    </w:p>
    <w:p>
      <w:pPr>
        <w:spacing w:after="0" w:line="225"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regulations, including the impact of any changes in laws or government policy with respect to our products or services or our industry, such as any changes to regulations and policies that require increased financial and operational resources from us or our customers;</w:t>
      </w:r>
    </w:p>
    <w:p>
      <w:pPr>
        <w:spacing w:after="0" w:line="123"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 or changes to regulations in various jurisdictions;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right="28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right="64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146" w:lineRule="exact"/>
        <w:rPr>
          <w:rFonts w:ascii="Arial" w:cs="Arial" w:eastAsia="Arial" w:hAnsi="Arial"/>
          <w:sz w:val="17"/>
          <w:szCs w:val="17"/>
          <w:color w:val="auto"/>
        </w:rPr>
      </w:pPr>
    </w:p>
    <w:p>
      <w:pPr>
        <w:ind w:left="660" w:right="1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providers and exposure to risk through third-parties, including risks related to the performance, reliability and security of technology used by our third-party providers;</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commodity, equity and fixed income prices, and price volatility of financial benchmarks and instruments such as interest rates, credit spreads, equity indices, fixed income instruments and foreign exchange rates;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control the costs and achieve the synergies associated with our strategy for acquisitions, investments and alliances, including those associated with the acquisition of NEX;</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imposition of a transaction tax or user fee on futures and options transactions and/or repeal of the 60/40 tax treatment of such transactions;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brand and reputation;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beginning on page 14.</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2" w:right="2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CME Group enables clients to trade futures, options, cash and over-the-counter (OTC) markets, optimize portfolios, and analyze data </w:t>
      </w:r>
      <w:r>
        <w:rPr>
          <w:rFonts w:ascii="Arial" w:cs="Arial" w:eastAsia="Arial" w:hAnsi="Arial"/>
          <w:sz w:val="18"/>
          <w:szCs w:val="18"/>
          <w:b w:val="1"/>
          <w:bCs w:val="1"/>
          <w:color w:val="auto"/>
        </w:rPr>
        <w:t>-</w:t>
      </w:r>
      <w:r>
        <w:rPr>
          <w:rFonts w:ascii="Arial" w:cs="Arial" w:eastAsia="Arial" w:hAnsi="Arial"/>
          <w:sz w:val="18"/>
          <w:szCs w:val="18"/>
          <w:color w:val="auto"/>
        </w:rPr>
        <w:t xml:space="preserve"> empowering market participants worldwide to efficiently manage risk and capture opportunities.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CME was founded in 1898 as a not-for-profit corporation. It established CME Clearing as a division of CME in 1919. CME demutualized in 2000, and in 2002 its parent company completed its initial public offering of its Class A common stock (NASDAQ: CME). We subsequently acquired CBOT Holdings, Inc. in 2007, NYMEX and COMEX in 2008, the Kansas City Board of Trade in 2012 and NEX Group plc (NEX) in November 2018. Our combination with NEX expands our global customer base and product offerings through the complementary combination of CME Group’s exchange-traded derivative products and NEX’s cash and OTC products. It also creates a leading, client-centric, global markets company, generating capital efficiencies across futures, cash and OTC products for market participants seeking to lower their cost of trading and better manage risk. Our principal executive offices are located at 20 South Wacker Drive, Chicago, Illinois 60606, and our telephone number is 312-930-1000.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CME Group exchanges offer the widest range of global benchmark products across all major asset classes based on interest rates, equity indexes, foreign exchange (FX), agricultural, energy and metal commodities. We offer futures and options on futures trading across asset classes through the CME Globex platform, cash and repo fixed income trading via BrokerTec, and cash and OTC FX trading via EBS. In addition, we operate one of the world’s leading central counterparty clearing providers, CME Clearing, a division of CME. With a range of pre- and post-trade products and services underpinning the entire lifecycle of a trade, CME Group offers optimization, reconciliation and processing services through TriOptima, Traiana and Reset.</w:t>
      </w:r>
    </w:p>
    <w:p>
      <w:pPr>
        <w:spacing w:after="0" w:line="50"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Derivatives Exchange Business: </w:t>
      </w:r>
      <w:r>
        <w:rPr>
          <w:rFonts w:ascii="Arial" w:cs="Arial" w:eastAsia="Arial" w:hAnsi="Arial"/>
          <w:sz w:val="16"/>
          <w:szCs w:val="16"/>
          <w:color w:val="auto"/>
        </w:rPr>
        <w:t>Through our derivatives exchanges and clearing house, we believe our customers choose to trade on our centralized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due to its liquidity, diversity of products, price transparency and technological capabilities. Market liquidity </w:t>
      </w:r>
      <w:r>
        <w:rPr>
          <w:rFonts w:ascii="Arial" w:cs="Arial" w:eastAsia="Arial" w:hAnsi="Arial"/>
          <w:sz w:val="16"/>
          <w:szCs w:val="16"/>
          <w:b w:val="1"/>
          <w:bCs w:val="1"/>
          <w:color w:val="auto"/>
        </w:rPr>
        <w:t>-</w:t>
      </w:r>
      <w:r>
        <w:rPr>
          <w:rFonts w:ascii="Arial" w:cs="Arial" w:eastAsia="Arial" w:hAnsi="Arial"/>
          <w:sz w:val="16"/>
          <w:szCs w:val="16"/>
          <w:color w:val="auto"/>
        </w:rPr>
        <w:t xml:space="preserve"> or the ability of a market to absorb the execution of large purchases or sales quickly and efficiently </w:t>
      </w:r>
      <w:r>
        <w:rPr>
          <w:rFonts w:ascii="Arial" w:cs="Arial" w:eastAsia="Arial" w:hAnsi="Arial"/>
          <w:sz w:val="16"/>
          <w:szCs w:val="16"/>
          <w:b w:val="1"/>
          <w:bCs w:val="1"/>
          <w:color w:val="auto"/>
        </w:rPr>
        <w:t>-</w:t>
      </w:r>
      <w:r>
        <w:rPr>
          <w:rFonts w:ascii="Arial" w:cs="Arial" w:eastAsia="Arial" w:hAnsi="Arial"/>
          <w:sz w:val="16"/>
          <w:szCs w:val="16"/>
          <w:color w:val="auto"/>
        </w:rPr>
        <w:t xml:space="preserve"> is key to attracting and retaining customers and contributing to a market's success. Our CME Group products provide a means for hedging, speculation and asset allocation related to the risks associated with, among other things, interest rate sensitive instruments, equity ownership, changes in the value of foreign currency and changes in the prices of agricultural, energy and metal commodities.</w:t>
      </w:r>
    </w:p>
    <w:p>
      <w:pPr>
        <w:spacing w:after="0" w:line="50" w:lineRule="exact"/>
        <w:rPr>
          <w:sz w:val="20"/>
          <w:szCs w:val="20"/>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CME's </w:t>
      </w:r>
      <w:r>
        <w:rPr>
          <w:rFonts w:ascii="Arial" w:cs="Arial" w:eastAsia="Arial" w:hAnsi="Arial"/>
          <w:sz w:val="18"/>
          <w:szCs w:val="18"/>
          <w:color w:val="auto"/>
        </w:rPr>
        <w:t>product slate includes agricultural, equities, FX and interest rate products, including contracts for Eurodollars, Secured Overnight 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(SOFR) and contracts based on the S&amp;P, NASDAQ-100 and FTSE Russell Indexes.</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CBOT's </w:t>
      </w:r>
      <w:r>
        <w:rPr>
          <w:rFonts w:ascii="Arial" w:cs="Arial" w:eastAsia="Arial" w:hAnsi="Arial"/>
          <w:sz w:val="18"/>
          <w:szCs w:val="18"/>
          <w:color w:val="auto"/>
        </w:rPr>
        <w:t>product slate consists of agricultural, equities, energy and interest rate products, including contracts for United States (U.S.) Treasury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futures, corn and other grains and contracts based on the Dow Jones Industrial Index.</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NYMEX's </w:t>
      </w:r>
      <w:r>
        <w:rPr>
          <w:rFonts w:ascii="Arial" w:cs="Arial" w:eastAsia="Arial" w:hAnsi="Arial"/>
          <w:sz w:val="18"/>
          <w:szCs w:val="18"/>
          <w:color w:val="auto"/>
        </w:rPr>
        <w:t>product slate consists of energy and metals products, including contracts for crude oil, natural gas, heating oil and gasoline.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COMEX's </w:t>
      </w:r>
      <w:r>
        <w:rPr>
          <w:rFonts w:ascii="Arial" w:cs="Arial" w:eastAsia="Arial" w:hAnsi="Arial"/>
          <w:sz w:val="18"/>
          <w:szCs w:val="18"/>
          <w:color w:val="auto"/>
        </w:rPr>
        <w:t>product slate consists of metals products, including contracts for gold, silver and copper.</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the breadth and diversity of our product lines and the variety of their underlying contracts are beneficial to our customers and CME Group's overall performance. Our asset classes contain products designed to address differing risk management needs, and customers are able to achieve operational and capital efficiencies by accessing our diverse products through our platforms and our clearing house.</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CME Group products are traded primarily through CME Globex and other electronic trading platforms, by open outcry auction markets in Chicago, and through privately negotiated transactions. We strive to provide the most flexible and scalable platforms to support the operational and capacity needs of the business along with the delivery of innovative technology solutions to the marketplace. Our CME Globex electronic platform is the trading engine for our central limit order book markets and is available on a global basis nearly 24 hours a day throughout the trading week. The CME Globex platform is accessible through a wide variety of vendor-provided and custom-built trading systems that benefit from our open application programming interface approach. For privately negotiated markets, we offer brokers and customers the CME Direct platform for arranging, executing, recording and risk-managing trades. CME Direct includes CME One for mobile access and CME Straight-Through Processing, which enables direct connectivity for trade information directly with customer order management and risk management systems and is designed to reduce errors and improve efficiency.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Together, our platforms offer:</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certainty of execution;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capabilities to facilitate complex and demanding trading;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fairness, price transparency and anonymity;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convenience and efficiency;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connectivity through highly secure, resilient and low-latency network options; and</w:t>
      </w:r>
    </w:p>
    <w:p>
      <w:pPr>
        <w:spacing w:after="0" w:line="9"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distribution, including connectivity through high-speed international telecommunications hubs in key financial centers or order routing to our global partner exchanges.</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maintain comprehensive business continuity and disaster recovery plans and facilities designed to provide nearly continuous availability of our markets in the event of a business disruption or disaster. We also maintain incident and crisis management plans that address responses to disruptive events.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customer base of our derivatives exchanges includes professional traders, financial institutions, institutional and individual investors, major corporations, manufacturers, producers, governments and central banks. Customers may be members of one or more of our exchanges. Rights to directly access our derivatives markets will depend upon the nature of the customer, such as whether the entity or individual is a member of one of our exchanges or has executed an agreement with us for direct access.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U.S. trading rights and privileges are exchange-specific. Open outcry trading is conducted exclusively by our members. Membership on one of our derivatives exchanges also enables a customer to trade specific products at reduced rates and lower fees. Under the terms of the organizational documents of our exchanges, our members have certain rights that relate primarily to trading right protections, certain trading fee protections and certain membership benefit protections. In 2019, 85% of our contract volume was from trades by our members.</w:t>
      </w:r>
    </w:p>
    <w:p>
      <w:pPr>
        <w:spacing w:after="0" w:line="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CME Clearing Business: </w:t>
      </w:r>
      <w:r>
        <w:rPr>
          <w:rFonts w:ascii="Arial" w:cs="Arial" w:eastAsia="Arial" w:hAnsi="Arial"/>
          <w:sz w:val="16"/>
          <w:szCs w:val="16"/>
          <w:color w:val="auto"/>
        </w:rPr>
        <w:t>Through our clearing house, CME Clearing, which is a division of CME, provides clearing services for all of our exchange-traded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contracts, for certain cleared-only products and for certain contracts traded on other exchanges. Our integrated clearing function is designed to ensure the safety and the soundness of our exchange markets by serving as the counterparty to every futures and options trade, becoming the buyer to each seller and the seller to each buyer, and limiting counterparty credit risk. The clearing house is responsible for settling trading accounts, clearing trades, collecting and maintaining performance bond funds, regulating delivery and reporting trading data. CME Clearing marks open positions to market at least twice a day, requires payments from clearing firms whose positions have lost value and makes payments to clearing firms whose positions have gained value. For select cleared-only markets, positions are marked-to-market daily, with the capacity to mark-to-market more frequently as market conditions warrant. The CME ClearPort front-end system provides access to our flexible clearing services for block transactions and swaps.</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majority of clearing and transaction fees received from clearing firms represents charges for trades executed and cleared on behalf of their customers. No individual firm represented at least 10% of our clearing and transaction fees revenue for 2019. In the event a clearing firm were to withdraw, our experience indicates that the customer portion of the firm's trading activity would likely transfer to one or more other clearing firms of the exchange.</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Cash Markets Business: </w:t>
      </w:r>
      <w:r>
        <w:rPr>
          <w:rFonts w:ascii="Arial" w:cs="Arial" w:eastAsia="Arial" w:hAnsi="Arial"/>
          <w:sz w:val="18"/>
          <w:szCs w:val="18"/>
          <w:color w:val="auto"/>
        </w:rPr>
        <w:t>Our cash markets business is comprised of BrokerTec and EBS. Certain BrokerTec and EBS contracts are cleared at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clearing houses.</w:t>
      </w:r>
    </w:p>
    <w:p>
      <w:pPr>
        <w:spacing w:after="0" w:line="62" w:lineRule="exact"/>
        <w:rPr>
          <w:sz w:val="20"/>
          <w:szCs w:val="20"/>
          <w:color w:val="auto"/>
        </w:rPr>
      </w:pPr>
    </w:p>
    <w:p>
      <w:pPr>
        <w:ind w:left="660" w:right="4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BrokerTec </w:t>
      </w:r>
      <w:r>
        <w:rPr>
          <w:rFonts w:ascii="Arial" w:cs="Arial" w:eastAsia="Arial" w:hAnsi="Arial"/>
          <w:sz w:val="18"/>
          <w:szCs w:val="18"/>
          <w:color w:val="auto"/>
        </w:rPr>
        <w:t>is a global electronic platform for the trading of fixed income products, with a leading position in cash U.S. Treasuries, as well as activity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European government bonds and E.U. and U.S. repo fixed income instruments. It facilitates trading principally for banks and non-bank professional trading firms.</w:t>
      </w:r>
    </w:p>
    <w:p>
      <w:pPr>
        <w:spacing w:after="0" w:line="181" w:lineRule="exact"/>
        <w:rPr>
          <w:rFonts w:ascii="Arial" w:cs="Arial" w:eastAsia="Arial" w:hAnsi="Arial"/>
          <w:sz w:val="18"/>
          <w:szCs w:val="18"/>
          <w:color w:val="auto"/>
        </w:rPr>
      </w:pPr>
    </w:p>
    <w:p>
      <w:pPr>
        <w:ind w:left="660" w:right="3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EBS </w:t>
      </w:r>
      <w:r>
        <w:rPr>
          <w:rFonts w:ascii="Arial" w:cs="Arial" w:eastAsia="Arial" w:hAnsi="Arial"/>
          <w:sz w:val="18"/>
          <w:szCs w:val="18"/>
          <w:color w:val="auto"/>
        </w:rPr>
        <w:t>is a global electronic platform for the trading of FX products across major and emerging market currencies. EBS offers anonymous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disclosed trading venues, which gives clients multiple execution and distribution options and the benefit of an established and far-reaching distribution network of liquidity providers and consumers. It also offers execution of non-deliverable forwards through a CFTC-registered Swap Execution Facility (SEF).</w:t>
      </w:r>
    </w:p>
    <w:p>
      <w:pPr>
        <w:spacing w:after="0" w:line="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 xml:space="preserve">Optimization Business: </w:t>
      </w:r>
      <w:r>
        <w:rPr>
          <w:rFonts w:ascii="Arial" w:cs="Arial" w:eastAsia="Arial" w:hAnsi="Arial"/>
          <w:sz w:val="18"/>
          <w:szCs w:val="18"/>
          <w:color w:val="auto"/>
        </w:rPr>
        <w:t>Our optimization services, which includes Traiana, TriOptima and Reset, delivers transaction lifecycle management services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clients simplify their workflow, optimize their capital and resources, mitigate their risk, increase efficiency, reduce their operational costs and streamline complex processes.</w:t>
      </w:r>
    </w:p>
    <w:p>
      <w:pPr>
        <w:spacing w:after="0" w:line="73" w:lineRule="exact"/>
        <w:rPr>
          <w:sz w:val="20"/>
          <w:szCs w:val="20"/>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Trade and portfolio management </w:t>
      </w:r>
      <w:r>
        <w:rPr>
          <w:rFonts w:ascii="Arial" w:cs="Arial" w:eastAsia="Arial" w:hAnsi="Arial"/>
          <w:sz w:val="18"/>
          <w:szCs w:val="18"/>
          <w:color w:val="auto"/>
        </w:rPr>
        <w:t>comprises portfolio and margin reconciliation, monitoring pre-trade risk and automating post-trade processing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transactions.</w:t>
      </w:r>
    </w:p>
    <w:p>
      <w:pPr>
        <w:spacing w:after="0" w:line="170"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resource optimization </w:t>
      </w:r>
      <w:r>
        <w:rPr>
          <w:rFonts w:ascii="Arial" w:cs="Arial" w:eastAsia="Arial" w:hAnsi="Arial"/>
          <w:sz w:val="18"/>
          <w:szCs w:val="18"/>
          <w:color w:val="auto"/>
        </w:rPr>
        <w:t>comprises portfolio compression, basis risk mitigation, portfolio balancing and derivative pricing and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right="18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Regulatory reporting </w:t>
      </w:r>
      <w:r>
        <w:rPr>
          <w:rFonts w:ascii="Arial" w:cs="Arial" w:eastAsia="Arial" w:hAnsi="Arial"/>
          <w:sz w:val="16"/>
          <w:szCs w:val="16"/>
          <w:color w:val="auto"/>
        </w:rPr>
        <w:t>comprises trade and position reporting (including licensed MiFID agent reporting to national regulators and the public), end-to-end multi-regime regulatory reporting, data normalization, enrichment, reconciliation, validation and cross-jurisdictional matching.</w:t>
      </w:r>
    </w:p>
    <w:p>
      <w:pPr>
        <w:spacing w:after="0" w:line="123"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Trade Processing </w:t>
      </w:r>
      <w:r>
        <w:rPr>
          <w:rFonts w:ascii="Arial" w:cs="Arial" w:eastAsia="Arial" w:hAnsi="Arial"/>
          <w:sz w:val="18"/>
          <w:szCs w:val="18"/>
          <w:color w:val="auto"/>
        </w:rPr>
        <w:t>comprises end-to-end automation, from trade execution notification to trade confirmation of post-trade processing, in real-time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reduce operational risks and costs.</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 xml:space="preserve">Market Data Business: </w:t>
      </w:r>
      <w:r>
        <w:rPr>
          <w:rFonts w:ascii="Arial" w:cs="Arial" w:eastAsia="Arial" w:hAnsi="Arial"/>
          <w:sz w:val="16"/>
          <w:szCs w:val="16"/>
          <w:color w:val="auto"/>
        </w:rPr>
        <w:t>We offer a variety of market data services for the futures, equities, OTC, cash and cleared swaps markets. Our market data platforms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real-time and historical market data related to CME Group exchanges and our cash markets business. We also deliver independent market intelligence and pricing information for cash and OTC data to financial market participants using intelligence from our businesses and third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strategic initiatives:</w:t>
      </w:r>
    </w:p>
    <w:p>
      <w:pPr>
        <w:spacing w:after="0" w:line="11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Maximize Futures and Options Growth Globally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continue to focus on driving growth and new customer acquisition by expanding, innovating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scaling our core offerings, and increasing participation from non-U.S. customers. We do this by expanding our global sales team, cross-selling our products, expanding the strength of our existing benchmark products, launching new products and services and deepening open interest in our core futures and options offerings. During this decade, our key product launches have included the Ultra U.S. Treasury Bond futures and options, short-dated options across asset classes, new base metal products, expanded crude oil grades, Basis Trade at Index Close (BTIC) transactions, S&amp;P Dividend futures, E-mini Russell 1000 and 2000 futures, a cash-settled bitcoin futures contract, and SOFR futures contracts. We continued to introduce new products in 2019, including Micro E-mini S&amp;P 500 Equity Index futures, E-mini S&amp;P 500 Environmental, Social and Governance (ESG) index futures, Shanghai Gold futures, physical Liquefied Natural Gas (LNG) futures and expanded our SOFR futures listings. In continuing our commitment to expanding our international presence, we launched an interactive CME Liquidity Tool to help market participants analyze liquidity across CME Group products during U.S., London or Singapore trading hours. We also launched bitcoin options and options on SOFR in January 2020. During 2019, we experienced overall average daily volume of 19.2 million contracts, along with volume records in both interest rates and metals. We also had record volume in overall options, with electronic options representing 64% of total options volume in 2019. We continued to deepen liquidity and add diverse participation as evidenced by the growth in large open interest holders with records achieved across several product lines in 2019.</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continue to expand and deepen our customer base worldwide and offer customers around the world with the most broad diversified portfolio of benchmark products. We believe we have significant opportunity to expand the participation of our non-U.S. customer base in our markets. Our penetration of these markets lags our development in the United States, and we believe that there is room for significant growth and development of these financial markets. In 2019, approximately 28% of our electronic futures and options volume was from transactions reported as outside the United States and approximately 58% of our market data revenue was derived from outside the United States. We also achieved 20% growth in trading volume during Asian trading hours and 7% growth during European trading hours in 2019 compared to the 2018.</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increased our customer base and continue to target cross-asset sales across client segments, driving international sales and generating new client participation across all regions. We have a long history of providing customer value and responsiveness and believe our products and services well position us to help our customers adapt and comply with new regulations, while enabling them to efficiently manage their risks. We have a broad distribution network comprised of a combination of internal and external channels and front-end capabilities.</w:t>
      </w:r>
    </w:p>
    <w:p>
      <w:pPr>
        <w:spacing w:after="0" w:line="18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Diversify our Business and Revenue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acquisition of NEX strengthened our role in the global market infrastructure, adding complementary cash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OTC businesses and scale to our listed interest rate and FX products, while enabling new efficiencies for the derivatives marketplace. We are positioned to take direct advantage of growth in treasury issuance, liquid treasury holdings and the trading of treasury instruments, as well as growing repo activity. The transaction expanded CME Group’s position in the large, highly competitive, and highly fragmented, $6 trillion plus per trading day global FX marketplace, offering both order book trading and relationship trading solutions for customers. The acquisition added strength in underlying customer marketplaces, especially around regional bank customers and other market participants outside of North America and expanded our post-trade and trade-processing services and market data solutions beyond futures and options into cash and OTC offerings.</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joint venture with S&amp;P Global, Inc., S&amp;P/DJI Indices LLC, combines the world class capabilities of the S&amp;P and Dow Jones Indices, and is a significant player in passive investing, including the exchange-traded fund (ETF) industry value chain. As part of the joint venture, we acquired a long-term, ownership-linked, exclusive license to list futures and options based on the S&amp;P 500 Index and certain other S&amp;P indices. We also act as the joint ventures' licensing agent and distribution services provider.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i w:val="1"/>
          <w:iCs w:val="1"/>
          <w:color w:val="auto"/>
        </w:rPr>
        <w:t xml:space="preserve">Deliver Unparalleled Customer Efficiencies and Operational Excellence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changing regulatory capital requirements for many of our customers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 for greater efficiencies, we have added tools to enable customers to build and manage trading and clearing positions in our markets in an efficient manner. With the ongoing implementation of regulatory reform in the United States and in Europe, along with global implementation of Basel III capital requirements on financial institutions, we expect capital efficiencies and centralized clearing to continue to be important for our global client base.</w:t>
      </w:r>
    </w:p>
    <w:p>
      <w:pPr>
        <w:spacing w:after="0" w:line="1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provide a comprehensive multi-asset class clearing solution to market participants for maximum operational ease and the capital efficiency that comes with connecting to our clearing house. Our clearing services offer the ability to optimize collateral and capital efficiencies across portfolios within the clearing house while meeting the heightened regulatory requirements on derivatives. The majority of our clearing volumes and activities are related to our listed futures and options, which represents the majority of our open interest and collateral held against these positions. We also offer clearing services for interest rate swaps, FX forwards and commodity swaps. In May 2019, we announced the launch of our next generation Standard Portfolio Analysis of Risk (SPAN) margin framework – CME SPAN 2. The new framework will provide enhanced risk management capabilities in a single, unified interface by maintaining SPAN's current calculations and functions while incorporating several new modeling, reporting and margin replication enhancements. CME SPAN 2 will be launched in a phased, multi-year approach and in compliance with regulatory responsibilities, beginning with energy products. We plan to begin the roll-out in the first half of 2020, subject to receipt of final approvals.</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to providing trade reporting services in the United States, Europe, Canada and Australia, CME Group provides various tools and services to assist customers with capital and operational efficiencies. For example:</w:t>
      </w:r>
    </w:p>
    <w:p>
      <w:pPr>
        <w:spacing w:after="0" w:line="170" w:lineRule="exact"/>
        <w:rPr>
          <w:sz w:val="20"/>
          <w:szCs w:val="20"/>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CME Clearing provides compression via coupon blending as well as CME CORE, an interactive margin calculator that enables clients to optimize their capital by providing insights on margin requirements prior to trading.</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triReduce provides multilateral portfolio compression, which reduces notional outstanding exposure and line items in order to reduce operational resources and risks, minimize regulatory capital costs, and manage counterparty exposures.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Traiana provides various operational efficiencies and risk mitigation solutions to clients through bilateral and tri-party pre- and post-trade processing and credit risk management.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Reset provides risk mitigation services to clients looking to hedge short-term interest rate and options expiry exposure.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a number of patent applications pending. Our patents cover match engine, trader user interface, trading floor support, market data, general technology and clearing house functionalities. We also own copyrights to a variety of materials. Those copyrights, some of which are registered, include printed and on-line publications, websites, advertisements, educational materials, graphic presentations and other literature, both textual and electronic. We protect our intellectual property rights by relying on trademarks, patents, copyrights, database rights, trade secrets, restrictions on disclosure and other methods.</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offer equity index futures and options on key benchmarks, including S&amp;P, NASDAQ, Dow Jones and the FTSE Russell indexes. These products are listed by us subject to license agreements with the applicable owners of the indexes, some of which are exclusive. In connection with our joint venture with S&amp;P Global, Inc., we have a license agreement (S&amp;P License Agreement), which superseded our prior licensing arrangements and was assigned to the joint venture. CME’s license for the S&amp;P 500 Index will be exclusive for futures and options until one year prior to the termination of the S&amp;P License Agreement, and non-exclusive for the last year. The license for the other S&amp;P stock indexes is generally exclusive for futures and options. The term of the S&amp;P License Agreement will continue until the date that is one year after the date that CME Group ceases to own at least five percent (accounting for dilution) of the outstanding joint venture interests. Upon the occurrence of certain events, including certain terminations of the joint venture, the term may be extended up to an additional ten years. CBOT has an exclusive license agreement (Dow Jones License Agreement) with CME Group Index Services LLC (CME Indexes) for certain Dow Jones indexes, which has also been assigned to the joint venture. The initial term of the agreement is through June 30, 2026. Following the initial term, the Dow Jones License Agreement shall automatically renew for renewal terms of five years thereafter so long as there is open interest in any of CBOT’s or its affiliates’ products based on one or more of the Dow Jones licensed indexes. In the event there is no open interest in any such products, then CME Indexes may terminate the agreement. We also have an exclusive license agreement for certain NASDAQ indexes, which was extended for an additional ten years in 2018 through 2029. In 2015, we entered into an exclusive license agreement with FTSE Russell and launched the E-mini Russell 2000 futures in 2017. We pay the applicable third party per trade fees based on contract volume under the terms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 these licensing agreements. A copy of the S&amp;P license arrangement has been filed as a material contract. We also have a multi-year non-exclusive licensing arrangement with ICE Benchmark Administration for the use of LIBOR to settle several of our interest rate products, including our Eurodollar contract.</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cannot assure you that we will be able to maintain the exclusivity of our licensing agreements with S&amp;P, Dow Jones, NASDAQ and FTSE Russell or be able to maintain existing exclusive and non-exclusive licensing arrangements beyond the term of the current agreements or that any renewal will be on terms as favorable to us.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Dow Jones, NASDAQ or Russell indexes, to manage or speculate on U.S. stock risks. Parties also may succeed in offering indexed products that are similar to our licensed products without being required to obtain a license, or in countries that are beyond our jurisdictional reach and/or our licensors.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The industry in which we operate is highly competitive and we expect competition to continue to intensify and become more global, especially in light of changes in the financial services industry driven by regulatory reforms such as the Dodd-Frank Wall Street Reform and Consumer Protection Act (Dodd-Frank), European Market Infrastructure Regulation (EMIR), EMIR 2.2, Markets in Financial Instruments Directive II (MiFID II), Capital Requirements Directive IV (CRD IV), Market Abuse Regulation, Benchmarks Regulation, Basel III, and various other laws and regulations.</w:t>
      </w:r>
    </w:p>
    <w:p>
      <w:pPr>
        <w:spacing w:after="0" w:line="63" w:lineRule="exact"/>
        <w:rPr>
          <w:sz w:val="20"/>
          <w:szCs w:val="20"/>
          <w:color w:val="auto"/>
        </w:rPr>
      </w:pPr>
    </w:p>
    <w:p>
      <w:pPr>
        <w:ind w:right="460"/>
        <w:spacing w:after="0" w:line="465" w:lineRule="auto"/>
        <w:rPr>
          <w:sz w:val="20"/>
          <w:szCs w:val="20"/>
          <w:color w:val="auto"/>
        </w:rPr>
      </w:pPr>
      <w:r>
        <w:rPr>
          <w:rFonts w:ascii="Arial" w:cs="Arial" w:eastAsia="Arial" w:hAnsi="Arial"/>
          <w:sz w:val="18"/>
          <w:szCs w:val="18"/>
          <w:color w:val="auto"/>
        </w:rPr>
        <w:t xml:space="preserve">Please also refer to the discussion below and in the “Risk Factors” section beginning on page 14 for a description of competitive risks and uncertainties. </w:t>
      </w:r>
      <w:r>
        <w:rPr>
          <w:rFonts w:ascii="Arial" w:cs="Arial" w:eastAsia="Arial" w:hAnsi="Arial"/>
          <w:sz w:val="18"/>
          <w:szCs w:val="18"/>
          <w:b w:val="1"/>
          <w:bCs w:val="1"/>
          <w:i w:val="1"/>
          <w:iCs w:val="1"/>
          <w:color w:val="auto"/>
        </w:rPr>
        <w:t>Competition in our Derivatives Exchange Business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in the derivatives business is based on a number of factors, including, among others:</w:t>
      </w:r>
    </w:p>
    <w:p>
      <w:pPr>
        <w:spacing w:after="0" w:line="21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brand and reputation;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diversity of product offerings and frequency and quality of new product development and innovative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position and expand upon existing products to address changing market needs;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efficient and seamless customer experience;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transparency, reliability, anonymity and security in transaction processing;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environment;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connectivity, accessibility, flexibility in execution methods, and distribution;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capability and innovation;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overall transaction costs.</w:t>
      </w:r>
    </w:p>
    <w:p>
      <w:pPr>
        <w:spacing w:after="0" w:line="2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believe that we compete favorably with respect to these factors. Our deep, liquid markets; diverse and complementary product offerings; frequency and quality of new product development, and efficient, secure settlement, clearing and support services, distinguish us from others in the industry. We believe that in order to maintain our competitive position, we must continue to expand globally; develop and offer new and innovative products; enhance our technology infrastructure, including its reliability, functionality and security; maintain liquidity and low transaction costs; continue to strengthen our risk management capabilities and solutions, and implement customer protections designed to ensure the integrity of our market and the confidence of our customers.</w:t>
      </w:r>
    </w:p>
    <w:p>
      <w:pPr>
        <w:spacing w:after="0" w:line="15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compete in a large and expanding financial services trading, clearing and settlement marketplace globally. Our competitors include, among other entities, exchanges such as Intercontinental Exchange, Inc. (ICE), the Hong Kong Exchanges and Clearing Limited, and Deutsche Börse AG. Competition also includes alternative means of developing exposures through alternative instruments (depending on market factors) such as cash, OTC, ETFs, options, warrants, contracts for differences, structured products, and other offerings and incorporates large customer internalization of trade flows. New emerging competitors have targeted different segments of our industry, and emerging technologies may offer alternative products in the future. Competition in our industry continues to be dynamic and recent developments and alliances may result in a growing number of well-capitalized trading service providers that compete with all or a portion of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CME Clearing Business</w:t>
      </w:r>
    </w:p>
    <w:p>
      <w:pPr>
        <w:spacing w:after="0" w:line="22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In the past few years, there has been increased competition in the provision of clearing services and we expect competition to continue to increase in connection with compliance with Dodd-Frank, EMIR 2.2, Basel III, MiFID II and other various laws and regulations.</w:t>
      </w:r>
    </w:p>
    <w:p>
      <w:pPr>
        <w:spacing w:after="0" w:line="14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competitors in the clearing services space include, among others, companies such as ICE, LCH Group, the Options Clearing Corporation, Depository Trust &amp; Clearing Corporation and Deutsche Börse AG. In light of the implementation of regulatory requirements and other reforms of the financial services industry, we believe that other exchanges and infrastructure providers also may undertake to provide clearing and other related post-trade services.</w:t>
      </w:r>
    </w:p>
    <w:p>
      <w:pPr>
        <w:spacing w:after="0" w:line="14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believe competition in clearing services is based on, among other things, the value of providing customers with capital and margin efficiencies; quality and reliability of the services; creditworthiness of the clearing house; regulatory costs, timely delivery of the services; reputation; diversity of the service offerings; confidentiality of positions and information security protective measures; and the fees charged for the services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Cash Markets Business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cash markets businesses face substantial competition across a wide array of venues. In the FX space, the marketplace is highly fragmented, and there is competition from other electronic communication networks, single dealer platforms, bank-owned multi-participant platforms, streaming and request for quote services, trading venues tied to data platforms, voice brokers, other broker enabled platforms and other venues. There is a growing array of platforms and technologies, and they are often owned by many well-capitalized financial institutions and intermediaries that are also driving internalization of client FX trade flows. In the fixed income space, there are also multiple providers of treasury, European and U.S. repo, and European bond trading, and a multitude of competitors and new entrants offering single-dealer liquidity, bank-owned multi-participant platforms, streaming and request for quote services, and other broker and exchange-enabled platforms.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Optimization Services Business</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optimization services business faces substantial competition across each of the segments in which CME Group operates. There are multiple providers of compression services, reconciliation services, trade processing, analytics, and regulatory reporting services. In addition, there is considerable innovation occurring in this business, with new entrants and new technologies being developed to serve customers and differentiate offerings.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11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Technology companies, market data and information vendors and front-end software vendors also represent actual and potential competitors because they have their own substantial market data distribution capabilities that could serve as alternative means for receiving open market data feeds instead of connecting directly to our exchange. Distributors and consumers of our market data may also use our market data as an input into a product that competes against one of our traded or cleared products. Although we may receive license fees for such products, such fees may not offset the impact of any loss in revenue from our comparable product.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Our businesses are regulated and serve a customer-base that includes regulated institutions or individuals. Developments in the regulatory environment have the potential to significantly affect our businesses. As such, we are subject to extensive regulation primarily in the United States and Europe.</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June 2016, the United Kingdom held a referendum in which the electorate voted in favor of withdrawal from the European Union (Brexit), which continues to create a number of uncertainties for the financial services sector. The United Kingdom's Withdrawal Agreement Bill was signed into law on January 24, 2020 and the United Kingdom formally left the European Union on January 31, 2020. Under the terms of the Withdrawal Agreement, there will be an 11-month transition period due to expire on December 31, 2020. As a result of Brexit, we have established certain businesses in Amsterdam, a European Union jurisdiction, which will allow us to continue to provide services to European Union clients. Also, on January 1, 2020, amendments to the European Market Infrastructure Regulation (EMIR 2.2) became effective and made changes to the European Union equivalence and recognition regime for non-European Union clearing houses, including CME Clearing, as further discussed below.</w:t>
      </w:r>
    </w:p>
    <w:p>
      <w:pPr>
        <w:spacing w:after="0" w:line="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also refer to the discussion below and in the “Risk Factors” section beginning on page 14 for a description of regulatory and legislative risks and uncertainties.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Derivatives Business, CME Clearing and NEX SEF</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operation of U.S. futures exchanges, CME Clearing and the NEX SEF is subject to extensive regulation by the Commodity Futures Trading Commission (CFTC) that requires our regulated subsidiaries to satisfy the requirements of certain core principles relating to the operation and oversight of our markets and our clearing house. The CFTC carries out the regulation of the futures and swaps markets and clearing houses in accordance with the provisions of the Commodity Exchange Act as amended by, among others, the Commodity Futures Modernization Act and Dodd-Frank.</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Regulations implementing Dodd-Frank include rules relating to the implementation of mandatory clearing of certain OTC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CME has been designated as a systemically important financial market utility and a systemically important derivatives clearing organization. These designations carry with them additional regulatory oversight of certain of our risk-management standards, clearing and settlement activities by the CFTC and the Federal Reserve Board.</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global offering of our products and clearing services, this business is also subject to the rules and regulations of the local jurisdictions in which we conduct business, including the European Securities and Markets Authority (ESMA) and the United Kingdom Financial Conduct Authority (FCA).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Cash Markets Business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operation of our BrokerTec platform subjects us to regulation by the Financial Industry Regulatory Authority (FINRA) and the U.S. Securities and Exchange Commission (SEC) as a broker-dealer and alternative trading system operator. It is also subject to regulation by authorities in the European Union as a multilateral trading facility and regulated market and by the applicable regulators in Singapore and Canada. Our EBS business holds various permissions, approvals and exemptions globally, including those that subject certain of its activities to CFTC and FCA oversight.</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settlement of matched principal and exchange-traded businesses requires access to clearing houses either directly or through third-party providers of clearing and settlement services. BrokerTec Americas is a member of the Fixed Income Clearing Corp. (FICC) through which it clears U.S. Treasury, agency and repo products for its client base and is subject to its rules and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Optimization Services Business</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Certain areas of our optimization services, which enable clients to mitigate their risk, reduce operational costs, optimize their capital, and fulfill trade reporting obligations, are subject to regulatory oversight of regulators in those jurisdictions in which we conduct business, including the Swedish Financial Supervisory Authority, the FCA, CFTC and the National Futures Association, ESMA and the Australian Securities and Investments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our Market Data Business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portion of our market data business, offered by CME Group Benchmark Administration, is subject to regulation by the European Union Benchmarks Regulation, which regulates our RepoFunds Rate suite of daily euro repo indices.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Areas of Focus</w:t>
      </w:r>
    </w:p>
    <w:p>
      <w:pPr>
        <w:spacing w:after="0" w:line="2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actively monitor and participate in the domestic and international rulemaking processes for our industry, including providing government testimony, commenting on proposed rulemakings and educating our regulators on potential impacts to the marketplace.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key areas of focus in the regulatory environment are:</w:t>
      </w:r>
    </w:p>
    <w:p>
      <w:pPr>
        <w:spacing w:after="0" w:line="117" w:lineRule="exact"/>
        <w:rPr>
          <w:sz w:val="20"/>
          <w:szCs w:val="20"/>
          <w:color w:val="auto"/>
        </w:rPr>
      </w:pPr>
    </w:p>
    <w:p>
      <w:pPr>
        <w:ind w:left="660" w:hanging="328"/>
        <w:spacing w:after="0" w:line="270"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potential impact of the adoption of EMIR 2.2 allowing for the direct regulation by the European Union of non-European Union clearing houses, like us, and resulting changes to the European Union equivalence and recognition regime on non-European Union clearing houses and exchanges with customers based in Europe. EMIR 2.2 became effective on January 1, 2020, and we are awaiting implementing regulations to determine its impact on our business and whether we will need to make any significant changes to how our clearing house operates. These potential changes could have negative implications for the markets we clear and our market participants by subjecting our clearing business to regulations that would conflict with the regulation imposed by U.S. law and the CFTC, prevent us from deploying our capital efficiently and increasing our regulatory costs. Further, ESMA could impose significant fines for non-compliance with their local European regulations, and we may have to consider material changes to certain of our risk management policies in order to reduce the risk of fines imposed under EMIR 2.2. A failure of our clearing house to retain its recognition may result in our clearing members and certain customers in Europe being subject to higher capital costs for participating in our markets, thus creating a disincentive to use our markets. The</w:t>
      </w:r>
    </w:p>
    <w:p>
      <w:pPr>
        <w:sectPr>
          <w:pgSz w:w="11900" w:h="16838" w:orient="portrait"/>
          <w:cols w:equalWidth="0" w:num="1">
            <w:col w:w="11400"/>
          </w:cols>
          <w:pgMar w:left="240" w:top="122" w:right="25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122" w:right="25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European Union equivalence and recognition regime also has the potential to impact the cost and ease or difficulty for certain of our OTC execution platforms to provide access to customers on a global basis.</w:t>
      </w:r>
    </w:p>
    <w:p>
      <w:pPr>
        <w:spacing w:after="0" w:line="170" w:lineRule="exact"/>
        <w:rPr>
          <w:sz w:val="20"/>
          <w:szCs w:val="20"/>
          <w:color w:val="auto"/>
        </w:rPr>
      </w:pPr>
    </w:p>
    <w:p>
      <w:pPr>
        <w:ind w:left="660" w:right="3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adoption and implementation of position limit rules, which could have a significant impact on our commodities business if federal rules for position limit management differ significantly from current exchange-administered rules.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Rules respecting capital charges under Basel III with respect to clearing members of central counterparties may have negative implications for the cleared derivatives markets. Additional risks could arise through inconsistent adoption of the Basel III capital charges globally, potentially leading to disparate impacts on our customers.</w:t>
      </w:r>
    </w:p>
    <w:p>
      <w:pPr>
        <w:spacing w:after="0" w:line="18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further regulation stemming from industry performance disruptions and residual concerns around electronic trading activity and, in particular, "high frequency trading."</w:t>
      </w:r>
    </w:p>
    <w:p>
      <w:pPr>
        <w:spacing w:after="0" w:line="170"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elimination of the 60/40 tax treatment of certain of our futures and options contracts, which would result in 60% of the gains being taxed at the short-term capital gain rate instead of the long-term capital gain rate. This would impose a significant increase in tax rates applicable to certain market participants, and could result in a decrease in their trading activity.</w:t>
      </w:r>
    </w:p>
    <w:p>
      <w:pPr>
        <w:spacing w:after="0" w:line="181" w:lineRule="exact"/>
        <w:rPr>
          <w:rFonts w:ascii="Arial" w:cs="Arial" w:eastAsia="Arial" w:hAnsi="Arial"/>
          <w:sz w:val="18"/>
          <w:szCs w:val="18"/>
          <w:color w:val="auto"/>
        </w:rPr>
      </w:pPr>
    </w:p>
    <w:p>
      <w:pPr>
        <w:jc w:val="both"/>
        <w:ind w:left="660" w:right="80" w:hanging="328"/>
        <w:spacing w:after="0" w:line="288"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implementation of a transaction tax or user fee in the United States, U.K. or European Union, or in the State of Illinois, which could discourage institutions and individuals from using our markets or products or encourage them to trade in another less costly jurisdiction. From time to time, the proposed Presidential budget request, including the currently proposed budget, has included a proposal to impose a user fee to fund the CFTC.</w:t>
      </w:r>
    </w:p>
    <w:p>
      <w:pPr>
        <w:ind w:left="660" w:right="480"/>
        <w:spacing w:after="0" w:line="261" w:lineRule="auto"/>
        <w:rPr>
          <w:rFonts w:ascii="Arial" w:cs="Arial" w:eastAsia="Arial" w:hAnsi="Arial"/>
          <w:sz w:val="16"/>
          <w:szCs w:val="16"/>
          <w:color w:val="auto"/>
        </w:rPr>
      </w:pPr>
      <w:r>
        <w:rPr>
          <w:rFonts w:ascii="Arial" w:cs="Arial" w:eastAsia="Arial" w:hAnsi="Arial"/>
          <w:sz w:val="18"/>
          <w:szCs w:val="18"/>
          <w:color w:val="auto"/>
        </w:rPr>
        <w:t>Legislation to impose a financial transaction tax has again been proposed in both the U.S. Congress and Illinois General Assembly, as it has in previous sessions of Congress and the General Assembly.</w:t>
      </w:r>
    </w:p>
    <w:p>
      <w:pPr>
        <w:spacing w:after="0" w:line="18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implementation of legislation in the European Union impacting how benchmark index prices are formed, including new requirements for price submitters, price aggregators and markets that list contracts that reference index prices.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that European legislators will prohibit or restrict exclusive licenses for benchmark indexes, which might impact the profitability of several of our most popular contracts.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FCA has indicated that it will no longer require banks to participate in the LIBOR panel after December 31, 2021. The possibility exists that the FCA may find LIBOR to not be representative of the underlying short-term interest rate pricing or unfit for such purpose, and thus may unfavorably impact our ability to list our existing suite of Eurodollar futures and options products.</w:t>
      </w:r>
    </w:p>
    <w:p>
      <w:pPr>
        <w:spacing w:after="0" w:line="181"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implementation of rules resulting in negative treatment of the liquidity profile of U.S. Treasury securities, including as qualifying liquidity resources, or any potential limitation on the use of U.S. Treasury securities as collateral could result in increased costs to us and our clearing firms.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implementation of the final phases of uncleared margin rules across jurisdictions and implications on customers management of exposures.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approximately 4,360 employees. We consider relations with our employees to be good.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CME Group's executive officers. Ages are as of February 10, 2020.</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 xml:space="preserve">Terrence A. Duffy, 61. </w:t>
      </w:r>
      <w:r>
        <w:rPr>
          <w:rFonts w:ascii="Arial" w:cs="Arial" w:eastAsia="Arial" w:hAnsi="Arial"/>
          <w:sz w:val="17"/>
          <w:szCs w:val="17"/>
          <w:color w:val="auto"/>
        </w:rPr>
        <w:t>Mr. Duffy has served as our Chairman and Chief Executive Officer since November 2016. Mr. Duffy previously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Chairman and President since 2012 and as Executive Chairman from 2006. Mr. Duffy has been a member of our board of directors since 1995. He also served as President of TDA Trading, Inc. from 1981 to 2002 and has been a member of our CME exchange since 1981.</w:t>
      </w:r>
    </w:p>
    <w:p>
      <w:pPr>
        <w:spacing w:after="0" w:line="5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 xml:space="preserve">Kathleen M. Cronin, 56. </w:t>
      </w:r>
      <w:r>
        <w:rPr>
          <w:rFonts w:ascii="Arial" w:cs="Arial" w:eastAsia="Arial" w:hAnsi="Arial"/>
          <w:sz w:val="18"/>
          <w:szCs w:val="18"/>
          <w:color w:val="auto"/>
        </w:rPr>
        <w:t>Ms. Cronin has served as our Senior Managing Director, General Counsel and Corporate Secretary since 2003. Prior to joining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Cronin was a corporate attorney at Skadden, Arps, Slate, Meagher &amp; Flom LLP from 1989 through 1995 and from 1997 through 2002. Ms. Cronin also serves as a director of Kemper Corporation.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i w:val="1"/>
          <w:iCs w:val="1"/>
          <w:color w:val="auto"/>
        </w:rPr>
        <w:t>Sunil Cutinho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48. </w:t>
      </w:r>
      <w:r>
        <w:rPr>
          <w:rFonts w:ascii="Arial" w:cs="Arial" w:eastAsia="Arial" w:hAnsi="Arial"/>
          <w:sz w:val="18"/>
          <w:szCs w:val="18"/>
          <w:color w:val="auto"/>
        </w:rPr>
        <w:t>Mr. Cutinho has served as President of CME Clearing since September 2014. He joined CME Group in 2002 and since then has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positions of increasing responsibility within the organization and, most recently served as Managing Director, Deputy Head of CME Clearing from April 2014 through September 2014.</w:t>
      </w:r>
    </w:p>
    <w:p>
      <w:pPr>
        <w:spacing w:after="0" w:line="72"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b w:val="1"/>
          <w:bCs w:val="1"/>
          <w:i w:val="1"/>
          <w:iCs w:val="1"/>
          <w:color w:val="auto"/>
        </w:rPr>
        <w:t xml:space="preserve">Bryan T. Durkin, 59. </w:t>
      </w:r>
      <w:r>
        <w:rPr>
          <w:rFonts w:ascii="Arial" w:cs="Arial" w:eastAsia="Arial" w:hAnsi="Arial"/>
          <w:sz w:val="18"/>
          <w:szCs w:val="18"/>
          <w:color w:val="auto"/>
        </w:rPr>
        <w:t>Mr. Durkin has served as President since November 2016 and will step down in May of 2020. At that time, Mr. Durkin will begin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serving as a special advisor to the company. Mr. Durkin previously served as Senior Managing Director, Chief Commercial Officer since 2014 and as our Chief Operating Officer since 2007, and also held the title of Managing Director, Products and Services from 2010 to July 2012. Mr. Durkin joined us in connection with the CBOT merger and he previously held a variety of leadership roles with CBOT from 1982 to 2007, most recently as Executive Vice President and Chief Operating Officer.</w:t>
      </w:r>
    </w:p>
    <w:p>
      <w:pPr>
        <w:spacing w:after="0" w:line="8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 xml:space="preserve">Julie Holzrichter, 51. </w:t>
      </w:r>
      <w:r>
        <w:rPr>
          <w:rFonts w:ascii="Arial" w:cs="Arial" w:eastAsia="Arial" w:hAnsi="Arial"/>
          <w:sz w:val="16"/>
          <w:szCs w:val="16"/>
          <w:color w:val="auto"/>
        </w:rPr>
        <w:t>Ms. Holzrichter has served as our Senior Managing Director, Chief Operating Officer since September 2014. She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Senior Managing Director, Global Operations from 2007. Ms. Holzrichter rejoined us in 2006 as our Managing Director, CME Globex Services and Technology Integration. Ms. Holzrichter previously held positions of increasing responsibility in our organization from 1986 to 2003 in trading operations.</w:t>
      </w:r>
    </w:p>
    <w:p>
      <w:pPr>
        <w:spacing w:after="0" w:line="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Kevin Kometer, 55. </w:t>
      </w:r>
      <w:r>
        <w:rPr>
          <w:rFonts w:ascii="Arial" w:cs="Arial" w:eastAsia="Arial" w:hAnsi="Arial"/>
          <w:sz w:val="18"/>
          <w:szCs w:val="18"/>
          <w:color w:val="auto"/>
        </w:rPr>
        <w:t>Mr. Kometer has served as Senior Managing Director and Chief Information Officer since 2008. He previously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Deputy Chief Information Officer from 2007 to 2008. Since joining the company most recently in 1998, he has held senior leadership positions in the Technology Division, including Managing Director, Trading Execution Systems and Director, Advanced Technology. Mr. Kometer was also with the company from 1994 to 1996.</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Hilda Harris Piell, 52. </w:t>
      </w:r>
      <w:r>
        <w:rPr>
          <w:rFonts w:ascii="Arial" w:cs="Arial" w:eastAsia="Arial" w:hAnsi="Arial"/>
          <w:sz w:val="18"/>
          <w:szCs w:val="18"/>
          <w:color w:val="auto"/>
        </w:rPr>
        <w:t>Ms. Piell has served as Senior Managing Director and Chief Human Resources Officer since 2007. Previously she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Senior Associate General Counsel, as Director and Associate General Counsel and as Associate Director and Assistant General Counsel since joining us in 2000.</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John W. Pietrowicz, 55. </w:t>
      </w:r>
      <w:r>
        <w:rPr>
          <w:rFonts w:ascii="Arial" w:cs="Arial" w:eastAsia="Arial" w:hAnsi="Arial"/>
          <w:sz w:val="17"/>
          <w:szCs w:val="17"/>
          <w:color w:val="auto"/>
        </w:rPr>
        <w:t>Mr. Pietrowicz has served as our Chief Financial Officer since December 2014. Previously, Mr. Pietrowicz served as our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Director, Business Development and Corporate Finance since 2010. Mr. Pietrowicz joined us in 2003 and since then has held various positions of increasing responsibility, including Managing Director and Deputy Chief Financial Officer from 2009 to 2010 and Managing Director, Corporate Finance and Treasury from 2006 to 2009. Mr. Pietrowicz also serves as a director of S&amp;P/Dow Jones Indices LLC.</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Derek Sammann, 51. </w:t>
      </w:r>
      <w:r>
        <w:rPr>
          <w:rFonts w:ascii="Arial" w:cs="Arial" w:eastAsia="Arial" w:hAnsi="Arial"/>
          <w:sz w:val="18"/>
          <w:szCs w:val="18"/>
          <w:color w:val="auto"/>
        </w:rPr>
        <w:t>Mr. Sammann has served as our Senior Managing Director, Commodities and Options Products since September 2014. He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 2006.</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Jack Tobin, 56. </w:t>
      </w:r>
      <w:r>
        <w:rPr>
          <w:rFonts w:ascii="Arial" w:cs="Arial" w:eastAsia="Arial" w:hAnsi="Arial"/>
          <w:sz w:val="18"/>
          <w:szCs w:val="18"/>
          <w:color w:val="auto"/>
        </w:rPr>
        <w:t>Mr. Tobin has served as our Chief Accounting Officer since February 2015. Mr. Tobin most recently served as our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Finance since 2007. Prior to our merger with CBOT Holdings, Mr. Tobin served as the Director, Corporate Finance for CBOT Holdings, Inc. and CBOT from 2002 to 2007. Prior to joining CBOT, Mr. Tobin served as a principal consultant with PricewaterhouseCoopers from 1997 to 2002. Mr. Tobin is a registered certified public accountant.</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 xml:space="preserve">Sean Tully, 56. </w:t>
      </w:r>
      <w:r>
        <w:rPr>
          <w:rFonts w:ascii="Arial" w:cs="Arial" w:eastAsia="Arial" w:hAnsi="Arial"/>
          <w:sz w:val="17"/>
          <w:szCs w:val="17"/>
          <w:color w:val="auto"/>
        </w:rPr>
        <w:t>Mr. Tully has served as Senior Managing Director, Financial and OTC Products of CME Group since September 2014. He previously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 Managing Director, Interest Rates and OTC Products since February 2014. Previously, he served as Managing Director, Interest Rate and OTC Products since October 2013 and as our Managing Director, Interest Products since joining us in 2011. Before joining the company, Mr. Tully most recently served as Managing Director, Global Head of Fixed Income Trading at WestLB in London.</w:t>
      </w:r>
    </w:p>
    <w:p>
      <w:pPr>
        <w:spacing w:after="0" w:line="6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 xml:space="preserve">Kendal Vroman, 48. </w:t>
      </w:r>
      <w:r>
        <w:rPr>
          <w:rFonts w:ascii="Arial" w:cs="Arial" w:eastAsia="Arial" w:hAnsi="Arial"/>
          <w:sz w:val="18"/>
          <w:szCs w:val="18"/>
          <w:color w:val="auto"/>
        </w:rPr>
        <w:t>Mr. Vroman has served as our Senior Managing Director, International and Optimization Services since February 2020. He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Senior Managing Director, Cash Markets and Optimization Services. Since joining the company in 2001, he has held a variety of senior leadership roles including Managing Director, Planning and Execution, Global Head, Commodity Products and OTC Solutions and Managing Director and Chief Corporate Development Officer. Prior to joining us, Mr. Vroman most recently served as Vice President, Corporate Operations/Chief of Staff to the Chief Executive Officer for marchFirst Inc.</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Julie Winkler, 45. </w:t>
      </w:r>
      <w:r>
        <w:rPr>
          <w:rFonts w:ascii="Arial" w:cs="Arial" w:eastAsia="Arial" w:hAnsi="Arial"/>
          <w:sz w:val="18"/>
          <w:szCs w:val="18"/>
          <w:color w:val="auto"/>
        </w:rPr>
        <w:t>Ms. Winkler has served as our Senior Managing Director, Chief Commercial Officer since December 2016. She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Managing Director, Research and Product Development and Index Services of CME Group since 2014 and as Managing Director, Research and Product Development since 2007. Prior to our merger with CBOT Holdings, Ms. Winkler held positions of increasing responsibility for CBOT Holdings since 1996. Ms. Winkler also serves as a director of S&amp;P/Dow Jones Indices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www.cmegroup.com</w:t>
      </w:r>
      <w:r>
        <w:rPr>
          <w:rFonts w:ascii="Arial" w:cs="Arial" w:eastAsia="Arial" w:hAnsi="Arial"/>
          <w:sz w:val="18"/>
          <w:szCs w:val="18"/>
          <w:color w:val="auto"/>
        </w:rPr>
        <w:t>. Information made available on our website does not constitute part of this document. We make available on our website our Annual Reports on Form 10-K, Quarterly Reports on Form 10-Q, Current Reports on Form</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8-K and amendments to those reports as soon as reasonably practicable after we electronically file or furnish such materials to the U.S. Securities and Exchange Commission (SEC). Our corporate governance materials, including our Corporate Governance Principles, Director Conflict of Interest Policy, Board of Directors Code of Ethics, Categorical Independence Standards, Employee Code of Conduct and the charters for all the standing committees of our board, also may be found on our website. Copies of these materials also are available to shareholders free of charge upon written request to Shareholder Relations, Attention Ms. Beth Hausoul, CME Group Inc., 20 South Wacker Drive, Chicago, Illinois 60606.</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business is subject to the impact of global market, economic and political conditions that are beyond our control and that could significantly impact our business and make our financial results more volatile.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revenue is substantially derived from fees for transactions executed and cleared in our markets. The trading volumes in our markets are directly affected by domestic and international factors that are beyond our control, including:</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and regulatory changes, including any direct or indirect restrictions on or increased costs associated with trading in our markets or our clearing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 trends in the industry and financial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price levels, trading volumes and volatility in the derivatives, cash and OTC markets and in their underlying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shifts in demand or supply in commodities underlying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monetary policies, especially central bank decisions related to quantitative easing;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capital to our market participants and their appetite for risk-taking;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levels of assets under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volatile weather patterns, droughts, natural disasters and other catastrophes;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pandemics affecting our customer base or our ability to operate our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or expansion in our customer base and within our industry.</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However, as evidenced by our past performance, in the period after a material market disturbance, there may persist extreme uncertainties, which may lead to decreased volume due to factors such as reduced risk exposure, lower interest rates, central bank asset purchase programs and lack of available capital. The shifts in market trading patterns we experienced as a result of the financial crisis of 2008 may or may not recur in the future, and our business will be affected by future economic uncertainties, which may result in decreased trading volume and a more difficult business environment for us. A reduction in overall trading volume or in certain products could render our markets less attractive to market participants as a source of liquidity, which could result in further loss of trading volume and associated transaction-based revenue. Material decreases in trading volume would have a material adverse effect on our financial condition and operating results.</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 and our failure to maintain compliance with regulations, our status as a regulated entity, or BrokerTec Americas' status as a member in good standing at FICC, could result in the loss of customers.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primarily subject to the jurisdiction of the regulatory agencies in the United States, United Kingdom and Europe. As a result of our global operations, we are also subject to the rules and regulations of the local jurisdictions in which we conduct business and offer our products and services, as appropriate.</w:t>
      </w:r>
    </w:p>
    <w:p>
      <w:pPr>
        <w:sectPr>
          <w:pgSz w:w="11900" w:h="16838" w:orient="portrait"/>
          <w:cols w:equalWidth="0" w:num="1">
            <w:col w:w="11320"/>
          </w:cols>
          <w:pgMar w:left="240" w:top="122" w:right="339" w:bottom="1440" w:gutter="0" w:footer="0" w:header="0"/>
        </w:sect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20"/>
          </w:cols>
          <w:pgMar w:left="24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Due to the global financial crisis that began in 2008, the United States and numerous other governments have undertaken reviews of the legal framework governing financial markets and have either enacted new laws, rules and regulations, or are in the process of enacting new laws, rules and regulations that will impact our business. We have incurred and expect to continue to incur significant additional costs to comply with the extensive regulations that apply to our business. Additionally, regulation imposed on financial institutions or market participants generally, such as enhanced capital requirements, may adversely impact their trading activity in our markets. Also, on January 1, 2020, amendments to the European Market Infrastructure Regulation (EMIR 2.2) became effective. The implementation of the regulations under this legislation may increase our regulatory costs, including substantial new authority to impose fines, and/or create a disincentive for certain clients to use our products. The European Union equivalence and recognition regime also has the potential to impact the cost and ease or difficulty for certain of our OTC execution platforms to provide access to customers on a global basis. There is also the risk that new laws or regulations or changes in enforcement practices applicable to our businesses or those of our clients could be imposed in other jurisdictions. This could adversely affect our ability to compete effectively with other institutions that are not affected in the same way or impact our clients’ overall trading volume and demand for our market data and other services.</w:t>
      </w:r>
    </w:p>
    <w:p>
      <w:pPr>
        <w:spacing w:after="0" w:line="18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Our broker-dealer and multilateral trading facility businesses, BrokerTec and EBS, are extensively regulated. These regulatory obligations generally include proper licensing and qualification of the firms and individuals, substantive conduct standards, communication and disclosure rules, monitoring and surveillance, training, capital requirements, supervisory obligations, maintenance of anti-money laundering programs, suspicious activity reporting, risk management standards, trade reporting, and ongoing examinations and reviews. The risks from failing to meet these compliance and regulatory obligations include potential liability, disciplinary action against the firm and individuals, monetary penalties, and restrictions on future activities.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BrokerTec Americas' matched principal platform facilitates anonymous trading in significant volumes from wholesale market participants, many of which are FICC members and understand that BrokerTec Americas is also a FICC member, such that their trades are expected to be novated promptly to FICC, which will be their ultimate counterparty. A failure of BrokerTec Americas to maintain its membership could adversely impact the willingness of such participants to continue trading on our platform. As part of maintaining its membership, BrokerTec Americas is required to timely and fully meet all margin calls and other obligations established by FICC, and as such must maintain ready access to sufficient liquidity to satisfy those obligations. BrokerTec Americas maintains access to liquidity resources it believes will satisfy these obligations in normal and stressed circumstances, but there can be no guarantee it will never experience a shortfall.</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the extent the regulatory environment is less beneficial for us or our customers, our business, financial condition and operating results could be negatively affected.</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If we fail to comply with applicable laws, rules or regulations, we may be subject to censure, fines, cease-and-desist orders, suspension of our business, removal of personnel or other sanctions, including revocation of our designations as a contract market, derivatives clearing organization, swap execution facility or broker-dealer, or other regulatory penalties.</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Legislation may be proposed, both domestically and internationally, that could add a transaction tax on our products or change the way our market participants are taxed on the products they trade on our markets. If such proposals were to become law, they could have a negative impact on our industry and on us by making transactions more costly to market participants, which may reduce trading and could make our markets less competitive.</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Legislative or regulatory changes could be adopted that would change the structure of our business, its current governance structure or impose significant costs on us by, for example, requiring more of our funds to be set aside for the guaranty fund. Further, other jurisdictions could assert significant changes to our governance, business practices and costs in order to continue to make our services available in those 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1 - Business - Regulatory Matters" beginning on page 10 for additional information on our areas of regulatory focus.</w:t>
      </w:r>
    </w:p>
    <w:p>
      <w:pPr>
        <w:spacing w:after="0" w:line="225"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b w:val="1"/>
          <w:bCs w:val="1"/>
          <w:i w:val="1"/>
          <w:iCs w:val="1"/>
          <w:color w:val="auto"/>
        </w:rPr>
        <w:t>Some of CME Clearing's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14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clearing house seeks to offer customers, intermediaries and clearing firms universal access in order to maximize the efficient use of capital, exercise appropriate oversight of value at risk and maintain operating leverage from clearing activities on our exchanges. Our strategic business plan is to operate an efficient and transparent vertically integrated transaction execution, clearing and settlement business for our futures and options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participants to transfer positions of futures or options from an exchange-owned clearing house to a clearing house owned and controlled by clearing firms. If these legislative or regulatory changes are adopted, our revenues and profits could be adversely affected.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If we are not able to successfully compete, our business, financial condition and operating results will be materially harmed.</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industry in which we operate is highly competitive and we expect competition to continue to intensify. We encounter competition in all aspects of our business, including from entities having substantially greater capital and resources, offering a wide range of products and services and in some cases operating under a different and possibly less stringent regulatory regime. We face competition from other futures, securities and securities option exchanges; OTC markets; clearing organizations; consortia formed by our members and large industry participants; swap execution facilities; alternative trade execution facilities; technology firms, including market data distributors and electronic trading system developers, and others. Our competitors and potential competitors may have greater financial, marketing, technological and personnel resources than we do.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may:</w:t>
      </w:r>
    </w:p>
    <w:p>
      <w:pPr>
        <w:spacing w:after="0" w:line="225" w:lineRule="exact"/>
        <w:rPr>
          <w:sz w:val="20"/>
          <w:szCs w:val="20"/>
          <w:color w:val="auto"/>
        </w:rPr>
      </w:pPr>
    </w:p>
    <w:p>
      <w:pPr>
        <w:ind w:left="660" w:right="1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 compared to those offered by CME Group;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utilize better, more user-friendly or more reliable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 that provide a competitive advantage;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or</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our products, markets and services are not competitive, our business, financial condition and operating results could be adversely affected. A decline in our fees or loss of customers could lower our revenues, which would adversely affect our profitability.</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Please see "Item 1 - Business - Competition" beginning on page 9 for additional information on the competitive environment and its potential impact on our business.</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trading volume, and consequently our revenues and profits, would be adversely affected if we are unable to retain our current customers at substantially similar trading levels or attract new customers.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success of our business depends, in part, on our ability to maintain and increase our trading volume in our markets. To do so, we must maintain and expand our product offerings, our customer base and our trade execution facilities, our pre-and post-trade services and clearing facilities. Our success also depends on our ability to offer competitive prices and services in an increasingly price-sensitive business. For example, some of our competitors have engaged in aggressive pricing strategies in the past, such as lowering the fees they charge for taking liquidity and increasing liquidity payments or rebates. We cannot provide assurances that we will be able to continue to expand our products and services, that we will be able to retain our current customers or attract new customers or that we will not be required to modify our pricing structure to compete effectively. Changes in our pricing structure may result in a decrease in our profit margin.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clearing firm clients must meet certain capital requirements and must deposit collateral to meet performance bond and guaranty fund requirements. There is no guarantee the collateral deposited will continue to maintain its value. To the extent a clearing firm were to experience a decrease in capital and be unable to meet requirements, it may be required to decrease its trading activity.</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Additionally, from time to time, certain customers may represent a significant portion of the open interest in our individual product lines or contracts and a substantial decrease in their trading activity could have a negative impact on the liquidity of the particular product line or contract.</w:t>
      </w:r>
    </w:p>
    <w:p>
      <w:pPr>
        <w:sectPr>
          <w:pgSz w:w="11900" w:h="16838" w:orient="portrait"/>
          <w:cols w:equalWidth="0" w:num="1">
            <w:col w:w="11400"/>
          </w:cols>
          <w:pgMar w:left="240" w:top="122" w:right="259" w:bottom="1440"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2" w:right="25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If we fail to maintain our trading volume, as a result of a loss of customers or decrease in trading activity; expand our product offerings or execution facilities; or are unable to attract new customers, our business and revenues will be adversely affected. Declines in trading volume may also negatively impact market liquidity, which could lead to further loss of trading volume. Because our cost structure is largely fixed, if demand for our products and services and our resulting revenues decline, we may not be able to adjust our cost structure on a timely basis and our profitability could be adversely affected.</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Our role in the global marketplace places us at greater risk than other public companies for a cyber attack and other cyber security risks. Our technology, our people and those of our third-party service providers may be vulnerable to cyber security threats, which could result in wrongful use of our information or our customers’ information or cause interruptions in our operations that cause us to lose customers and trading volume and result in substantial liabilities. We also could be required to incur significant expense to protect our systems and/or investigate any alleged attack.</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regard the secure storage and transmission of confidential information and the ability to continuously transact and clear on our electronic trading platforms as critical elements of our operations. Our technology, our people and those of our third-party service providers and our customers may be vulnerable to targeted attacks, unauthorized access, fraud, computer viruses, denial of service attacks, terrorism, "ransom" attacks, firewall or encryption failures or other security problems. Criminal groups, political activist groups and nation-state actors have targeted the financial services industry and our role in the global marketplace places us at greater risk than other public companies for a cyber attack and other information security threats. While we have not experienced cyber incidents that are individually, or in the aggregate, material, we have experienced cyber attacks of varying degrees in the past. We have designed our cyber defense program to mitigate such attacks by preventative, detective, and responsive measures. Our usage of mobile and cloud technologies may increase our risk for a cyber attack. Our security measures may also be breached due to employee error, malfeasance, system errors or vulnerabilities. Additionally, outside parties may attempt to fraudulently induce employees, users, or customers to disclose sensitive information in order to gain access to our technology systems and data, or our customers’ data. Any such breach or unauthorized access could result in significant legal and financial exposure, damage to our reputation, and a loss of confidence in the services we provide that could potentially have an adverse effect on our business, while resulting in regulatory penalties or the imposition of additional obligations by regulators. As the regulatory environment related to information security, data collection and use, and privacy becomes increasingly rigorous and complex, any failure to comply may carry significant penalties and reputational damage.</w:t>
      </w:r>
    </w:p>
    <w:p>
      <w:pPr>
        <w:spacing w:after="0" w:line="17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As part of our global information security and privacy programs, we employ resources to monitor and protect our technology infrastructure and employees against such cyber attacks, including the rapid response to zero-day vulnerabilities, and the potential misappropriation of our intellectual property assets. However, our security measures or those of our third-party providers, including any cloud-based technologies, may prove insufficient depending upon the attack or threat posed. Any security attack or breach could result in system failures and delays, malfunctions in our operations, loss of customers or lower trading volume, loss of competitive position, damage to our reputation, disruption of our business, legal liability or regulatory fines and significant costs, which in turn, may cause our revenues and earnings to decline. Though we have insurance against some cyber and privacy risks and attacks, we may be subject to litigation and financial losses that exceed our policy limits or are not covered under any of our current insurance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regulatory liability and penalties.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Many aspects of our business involve substantial litigation risks.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trade execution, the settlement of trades or other matters relating to our services.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customer dissatisfaction and a decline in their willingness to trade on our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which poses physical security risks and cyber-security risks, than other companies.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Given our role in the global financial services industry, we may be more likely than other companies to be a direct target of, or an indirect casualty of, attacks by terrorists or terrorist organizations. It is impossible to accurately predict the likelihood or impact of any terrorist attack on our industry generally or on our business. While we have implemented significant physical security protection measures,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 Such attack may result in harm to our personnel,</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closure of our facilities or render our backup data and recovery systems inoperable.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damage our business.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Maintaining our reputation and brand is critical to attracting and retaining customers and investors and to maintaining our relationships with our regulators. Negative publicity regarding our company or actual, alleged or perceived issues regarding our products or services, including social and environmental concerns relating to certain commodity products and increased impact from climate change, could give rise to reputational risk which could significantly harm our business prospects. These issues may include, but are not limited to, any of the risks discussed in this Item 1A, including risks from customer disputes, system failures or intrusions, failures to meet our regulatory obligations, failures of a clearing firm or other counterparty, issues relating to our third-party suppliers, alleged or actual fraud or misconduct or manipulative activity, or ineffective risk management.</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success of our markets depends on our ability to complete development of, successfully implement and maintain the electronic trading systems that have the functionality, performance, capacity, security and speed required by our customers.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success of our business depends in large part on our ability to create interactive electronic marketplaces, for a wide range of products, that have the required functionality, performance, capacity, security and speed to attract and retain customers. In 2019, 90% of our overall contract volume was generated through electronic trading on our CME Globex electronic platform and we generated $383.3 million in revenue attributable to the BrokerTec and EBS trading platforms. We plan to migrate the BrokerTec and EBS platforms to CME Globex in 2020 and 2021, respectively.</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must continue to enhance our electronic trading platforms and other technology offerings to remain competitive. As a result, we will continue to be subject to risks, expenses and uncertainties encountered in the rapidly evolving market for electronic transaction services. These risks include our failure or inability to:</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a manner that is competitive with the functionality supported by other electronic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the competitiveness of our fee structure;</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systems and automated order routing system;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platforms and other technology offerings.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we do not successfully enhance our electronic trading systems and technology offerings, if we are unable to develop them to include other products and markets, or if they do not have the required functionality, performance, capacity, security and speed desired by our customers, our ability to successfully compete and our revenues and profits will be adversely affected. While we are focused on the migration of the BrokerTec and EBS platforms to CME Globex from both a technology and a customer experience perspective, we cannot guarantee that we will not experience any client attrition and to the extent any such client attrition is significant, it could have an impact on our revenues.</w:t>
      </w:r>
    </w:p>
    <w:p>
      <w:pPr>
        <w:spacing w:after="0" w:line="1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business is highly dependent on our ability to process, execute and monitor, in an efficient and uninterrupted manner, a large number of transactions which occur at high volumes and frequencies across multiple systems and our ability to access key business data, financial information, order processing and invoicing. We are heavily reliant on the capacity, reliability and security of our information technology and communications and other business systems and software supporting our operations. Our systems, or those of our third-party providers, including cloud providers, may fail or be shut down or, due to capacity constraints, may operate slowly, causing one or more of the following to occur:</w:t>
      </w:r>
    </w:p>
    <w:p>
      <w:pPr>
        <w:spacing w:after="0" w:line="173" w:lineRule="exact"/>
        <w:rPr>
          <w:sz w:val="20"/>
          <w:szCs w:val="20"/>
          <w:color w:val="auto"/>
        </w:rPr>
      </w:pPr>
    </w:p>
    <w:p>
      <w:pPr>
        <w:ind w:left="340"/>
        <w:spacing w:after="0"/>
        <w:tabs>
          <w:tab w:leader="none" w:pos="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unanticipated disruptions in service to our customers;</w:t>
      </w:r>
    </w:p>
    <w:p>
      <w:pPr>
        <w:sectPr>
          <w:pgSz w:w="11900" w:h="16838" w:orient="portrait"/>
          <w:cols w:equalWidth="0" w:num="1">
            <w:col w:w="11400"/>
          </w:cols>
          <w:pgMar w:left="240" w:top="122"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22" w:right="25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slower response times and delays in our customers' trade execution and processing;</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customers; or</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cannot assure that we will not experience systems failures from power or telecommunications failure, acts of God, war or terrorism, human error on our part or on the part of our vendors, natural disasters, fire, sabotage, hardware or software malfunctions or defects, computer viruses, cyber attacks, acts of vandalism or similar occurrences. If any of our systems or the systems of our third-party providers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From time to time, we have experienced system errors and failures that have resulted in some customers being unable to connect to our electronic trading platforms and technology offerings, or that resulted in erroneous reporting, such as transactions that were not authorized by any customer or reporting of filled orders as canceled. Such errors may result in CME Group being liable or in our voluntary assumption of financial liability. We cannot assure that if we experience system errors or failures in the future that they will not have a material adverse impact on our business. Any such system failures that cause an interruption in service or decrease our responsiveness could impact our trading volumes, impair our reputation, damage our brand, result in regulatory fines and have a material adverse effect on our business, financial condition and operating results.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Regulations relating to our trading and clearing systems generally require the handling of anticipated present and future peak trading volume. Heavy use of our systems during peak trading times or at times of unusual market volatility could cause them to operate slowly or even to fail for periods of time. We constantly monitor system loads and performance, and regularly implement system upgrades to handle estimated increases in volume. However, we cannot assure that our estimates of future trading volume and order messaging traffic will be accurate or that our systems will always be able to accommodate actual trading volume and order messaging traffic without failure or degradation of performance. Increased trading volume and order messaging traffic may result in connectivity problems or erroneous reports that may affect users of our platforms. System failure or degradation could lead our customers to file formal complaints with industry regulatory organizations, to file lawsuits against us or to cease doing business with us or could lead our regulators to initiate inquiries or proceedings for failure to comply with applicable laws and regulations.</w:t>
      </w:r>
    </w:p>
    <w:p>
      <w:pPr>
        <w:spacing w:after="0" w:line="17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will need to continue to upgrade, expand and increase the capacity of our systems as our business grows and as we execute our business strategy.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could be adversely affected.</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as well as many of our customers, depend on third-party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cloud hosting providers, data center providers, and software and hardware vendors, for elements of our trading, clearing and other systems, as well as communications and networking equipment, computer hardware and software and related support and maintenance.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Many of our customers rely on third parties, such as independent software vendors, to provide them with front-end systems to access our trading platforms and other back office systems for their trade processing and risk management needs. While these service providers have undertaken to keep current with our enhancements and changes to our interfaces and functionality, we cannot guarantee that they will continue to make the necessary monetary and time investments to keep up with our changes.</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To the extent any of our service providers or the organizations that provide services to our customers in connection with their trading activities cease to provide these services or provide these services in an efficient, cost-effective manner or fail to</w:t>
      </w:r>
    </w:p>
    <w:p>
      <w:pPr>
        <w:sectPr>
          <w:pgSz w:w="11900" w:h="16838" w:orient="portrait"/>
          <w:cols w:equalWidth="0" w:num="1">
            <w:col w:w="11420"/>
          </w:cols>
          <w:pgMar w:left="240" w:top="122"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adequately expand their services to meet our needs and the needs of our customers, we could experience decreased trading volume, lower revenues and higher costs.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exposes us to substantial credit risk of our clearing firms and other counterparties and, consequently, a decrease in their financial resources could adversely affect us.</w:t>
      </w:r>
    </w:p>
    <w:p>
      <w:pPr>
        <w:spacing w:after="0" w:line="170"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Our clearing house operations expose us to counterparties with differing risk profiles. We routinely guarantee transactions submitted by our clearing firm customers with counterparties in the financial industry, including brokers and dealers, commercial banks, investment banks, mutual and hedge funds, and other institutional customers. We could be adversely impacted by the financial distress or failure of one or more of our clearing firms. Additionally, we are exposed to the risk of loss from the failure of a matched principal counterparty to settle its trades at BrokerTec Americas.</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 substantial part of our working capital may be at risk if a clearing firm defaults on its obligations to our clearing house and its margin and guaranty fund deposits are insufficient to meet its obligations. Additionally, BrokerTec Americas is exposed to the potential risk of loss in the event a counterparty fails to meet its obligations. Although we have policies and procedures to help ensure that our clearing firms and other counterparties can satisfy their obligations, these policies and procedures may not succeed in detecting problems or preventing defaults. We also have in place various measures intended to enable us to cure any default and maintain liquidity. However, we cannot assure you that these measures will be sufficient to protect market participants from a default or that we will not be adversely affected in the event of a significant default. In addition, we have established a fund (currently $98.0 million) to provide payments, up to certain maximum levels, to qualified family farmers, ranchers and other agricultural industry participants who use our products and who suffer losses to their segregated account balances if their derivatives clearing firm member becomes insolvent.</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Our Three-Month Eurodollar futures contracts are based on the three-month U.S. dollar London Interbank Offered Rate (LIBOR) underlying rate. To the extent trading in Eurodollar contracts decreases or is discontinued and our alternative contracts are not successful, our revenues would be negatively impacted. Certain of our other businesses could also be negatively affected by changes to LIBOR.</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Eurodollar futures contract is based on the three-month U.S. dollar ICE LIBOR underlying rate. In 2019, average trading volume in our Eurodollar contracts was 4.4 million contracts and open interest was 55.4 million contracts. LIBOR is the subject of national and international proposals for reform which advocate for the transition of survey based interbank offered rates to alternative transaction-based reference rates. A transition from the widespread use of LIBOR to alternative benchmark rates is likely to occur over the next several years. In July 2017, the UK FCA, which regulates LIBOR, announced the desire to phase out the use of LIBOR by the end of 2021. The U.S. Federal Reserve, in conjunction with the Alternative Reference Rates Committee, a steering committee comprised of large U.S. financial institutions, has recommended replacing U.S. Dollar LIBOR with other benchmark alternatives, such as SOFR. It is unknown whether these alternative reference rates will attain market acceptance as replacements for LIBOR. Any transition away from LIBOR to alternative reference rates is complex and could have a material adverse effect on our business, financial condition and results of operations. We have closely engaged with the industry, regulators, and market participants to launch products using alternative reference rates, including our SOFR and Sterling Overnight Index Average (SONIA) futures contracts. In November 2019, we shared via a public webinar details of improved fallback plans to convert Eurodollar futures and options into 3-month SOFR futures and options. However, there is no guarantee that a transition to such contracts would be successful and would replace the revenue we derive from our Eurodollar contracts if the trading volume were to decline or discontinue altogether.</w:t>
      </w:r>
    </w:p>
    <w:p>
      <w:pPr>
        <w:spacing w:after="0" w:line="1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market data revenues may be reduced by decreased demand, poor overall economic conditions, regulatory changes or a significant change in how market participants trade and use market data.</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sell our market data to individuals, trading institutions and other organizations that use our information services to participate in our markets and/or monitor general economic conditions. Revenues from our market data and information services represented 11% and 10% of our total revenues during the years ended December 31, 2019 and December 31, 2018, respectively. A decrease in overall trading volume may lead to a decreased demand for our market data. The level of trading activity by our customers may be affected by their profitability and capital constraints and may lead to a decreased demand for our market data. For example, in recent years, we experienced a decrease in the average number of market data connections due to continued economic uncertainty, high unemployment levels in the financial services sector and aggressive cost cutting initiatives at customer firms and the continued impact of legacy incentive programs tied to trading terminals. We could also become subject to regulatory actions, which could have the potential to restrict how we charge for our market data. We also license our market data to be used in the creation of derivative financial products, and changes to regulation, including the impact of any changes in laws or government policy, may impact the demand of our market data for such derivative works.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continue to focus on strategic initiatives to grow our business, including our efforts to serve the OTC markets and to distribute our products and services on a global basis. There is no guarantee that our efforts will be successful.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Our growth strategy also may subject us to increased legal, compliance and regulatory obligations.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historical merger and acquisition activity in our industry. As a result, we may be unable to identify strategic opportunities or we may be unable to negotiate or finance future transactions on terms favorable to us, which could impact our ability to identify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our growth initiatives and investments, which may have an adverse impact on our financial condition and operating results. We also may be required to take an impairment charge in our financial statements relating to our acquisitions and/or investments, which could negatively affect our stock price. Our acquisition of NEX is subject to many of these risks, including the potential we may not achieve the expected cost savings, synergies and other strategic benefits from the transaction within the anticipated time frames and the integration of NEX with our operations may not be successful or may be delayed or more costly than expected, or that we may experience customer attrition.</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expansion of our global operations is complex and subjects us to increased business and economic risks that could adversely affect our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expanded global operations, we face certain risks inherent in doing business internationally. These risks include:</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complying with extensive and complex regulations and oversight;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associated costs in managing multiple international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social and political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businesses in some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language and cultural differences;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333333"/>
        </w:rPr>
        <w:t>If we are unable to manage the complexity of our global operations successfully, or if the risks above become substantial for us, our financial performance and operating results could suffer. Further, any measures we may implement to reduce risks of our international operations may not be effective, may increase our expenses and may require significant management time and effort.</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As our consolidated financial statements are presented in U.S. dollars, we must translate our foreign subsidiaries’ financial statements from local currencies into U.S. dollars at exchange rates in effect during or at the end of each reporting period. Therefore, any increases or decreases in the value of the U.S. dollar against the other currencies may affect our operating income and the value of balance sheet items denominated in foreign currencies.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ultimate impact of Brexit is contingent upon the final terms of withdrawal and the ongoing relationship between the UK and the European Union, following a transition period which is scheduled to end in December 2020. Brexit may result in legal uncertainty and potentially divergent national laws and regulations as the withdrawal process progresses. As a result of Brexit, we have established certain of our businesses in Amsterdam, a European Union jurisdiction, which have resulted in, and may continue to result in increased legal, compliance and operational costs.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programs might not be effective and may result in outcomes that could adversely affect our reputation, financial condition and operating results.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normal course of our business, we discuss matters with our regulators including during regulatory examinations, and we are subject to their inquiry and oversight. Our regulators have broad enforcement and supervisory powers, including the power to censure, fine, issue cease-and-desist orders, prohibit us from engaging in some of our businesses or suspend or revoke our regulatory designations or the registration of our officers or employees who violate applicable laws or regulations. Our ability to comply with applicable laws and regulations is largely dependent on our establishment and maintenance of effective compliance and monitoring programs.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financial condition and operating results. In extreme cases, these outcomes could adversely affect our ability to conduct our business.</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maintain compliance policies, procedures and programs which are designed to deter, detect, prevent, monitor and manage our risks, but such policies, procedures and programs may not be fully effective. Some of our risk management processes depend upon evaluation of information regarding markets, customers, employees or other matters or potential threats that are publicly available or otherwise accessible by us. That information may not in all cases be accurate, complete, up-to-date or properly evaluated. Management of operational, financial, legal and compliance, regulatory, reputational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There have been a number of highly publicized cases involving fraud or other misconduct or manipulative activity by employees of financial services firms and other market participants in the past. Improper trading activity on our platforms by participants could include activities such as spoofing, layering, wash trading and manipulation. Misconduct by our employees and agents could include hiding unauthorized activities from us, improper or unauthorized activities on behalf of customers or improper use or unauthorized disclosure of confidential information. It is not always possible to deter misconduct, and the precautions we take to prevent and detect this activity may not be effective in all cases. If we were found to have not met our regulatory oversight and compliance obligations, we could be subject to regulatory sanctions, financial penalties, restrictions on our activities for failure to properly identify, monitor and respond to potentially problematic activity and seriously harm our reputation. Our employees and agents also may commit errors that could subject us to financial claims for negligence, as well as regulatory actions, or result in our voluntary assumption of financial liability. Further, allegations by regulatory or criminal authorities of improper trading activities could affect our brand and reputation and reduce the number of participants trading in our markets. If that should occur, we could face a corresponding decline in trading volume and revenue.</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Intellectual property rights licensed from third-party price reporting agencies form the basis for many of our products from which we derive a significant portion of our volume and revenue. Material changes in the intellectual property landscape or regulatory framework pertaining to such benchmarks could have a negative impact on our ability to offer such products.</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We are significantly dependent on the contract volume of products which are based on intellectual property rights of indexes derived from third-party price reporting agencies. To comply with CFTC core principles, we must be able to demonstrate that our products may not be readily susceptible to manipulation. Our inability to offer products based on these indexes could have a negative impact on our contract volume and revenues.</w:t>
      </w:r>
    </w:p>
    <w:p>
      <w:pPr>
        <w:spacing w:after="0" w:line="166"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b w:val="1"/>
          <w:bCs w:val="1"/>
          <w:i w:val="1"/>
          <w:iCs w:val="1"/>
          <w:color w:val="auto"/>
        </w:rPr>
        <w:t>A failure to protect our intellectual property rights, or allegations that we have infringed the intellectual property rights of others, could adversely affect our business.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business is dependent on proprietary technology and other intellectual property that we own or license from third parties. 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patent applications pending. Our patents cover match engine, trader user interface, trading floor support, market data, general technology and clearing house functionalities. We attempt to protect our proprietary technology and intellectual property rights by relying on trademarks, copyright, database rights, trade secrets, restrictions on disclosure and other methods. Notwithstanding the precautions we take to protect our proprietary</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technology and intellectual property rights, it is possible that third parties may copy, misappropriate or otherwise obtain and use our proprietary technology without authorization or otherwise infringe on our rights. For example, one of our former employees pleaded guilty to theft of our trade secrets.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Patents of third parties may have an important bearing on our ability to offer certain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 As a result, we may face allegations that we have infringed the intellectual property rights of third parties, which may be costly for us to defend against. If one or more of our products or services is found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patents. We could also be required to pay damages if we were found to infringe patents held by others, which could materially adversely affect our business, financial condition and operating results.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at a reasonable cost to avoid infringement, which could materially adversely affect our business, financial condition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2019, we had approximately $3.7 billion of total indebtedness and we had excess borrowing capacity for general corporate purposes under our existing facilities of approximately $2.l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225" w:lineRule="exact"/>
        <w:rPr>
          <w:sz w:val="20"/>
          <w:szCs w:val="20"/>
          <w:color w:val="auto"/>
        </w:rPr>
      </w:pPr>
    </w:p>
    <w:p>
      <w:pPr>
        <w:ind w:left="660" w:right="10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 Our U.S. exchanges, swap execution facility and clearing house also are required to maintain minimum capital levels as defined by the CFTC, and BrokerTec Americas is required to meet minimum capital requirements set by the SEC. Under EMIR 2.2, our clearing house could be subject to enhanced minimum capital standards as well.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there can be no assurance that we will maintain our current ratings. In the past, we have experienced ratings downgrades. Our failure to maintain our ratings could adversely affect the cost and other terms upon which we are able to obtain 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average rate per contract for our derivatives business is subject to fluctuation due to a number of factors. As a result, you may not be able to rely on our average rate per contract in any particular period as an indication of our future average rate per contract.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average rate per contract for our derivatives business,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we cannot assure that our average rate per contract in any particular period serves as an indication of our future average rate per contract. If we fail to meet securities analysts' expectations regarding our operating results, the price of our Class A common stock could decline substantially.</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Eleven of our board members own trading rights or are officers or directors of firms that own trading rights on our derivatives exchanges. As members, these individuals may have interests that differ from or conflict with those of shareholders who are not also members. Our dependence on the trading and clearing activities of our exchange members, combined with the CME members' rights to elect six directors, may enable them to exert substantial influence over the operation of our business.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Eleven of our directors own or are officers or directors of firms that own trading rights on our exchanges. We are dependent on the revenues from the trading and clearing activities of our exchange members. In 2019, 85% of our derivatives contract volume was derived from our members. This dependence may give them substantial influence over how we operate our business.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17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Our members have been granted special rights, which protect their trading privileges and require that we maintain open outcry for options products still meeting certain volume thresholds and, in the case of our Class B shareholders, provide them with special board representation.</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terms of the organizational documents of our exchanges, our exchange members have certain rights that relate primarily to trading right protections, certain trading fee protections and certain membership benefit protections. Additionally, our Class B shareholders, who are members of our CME exchange, are entitled to elect six directors to our board even if their Class A share ownership interest is very small or non-existent. We have limited ability to eliminate these election rights. In 2018, we held a special meeting of shareholders to eliminate all or some of these director election rights. While the proposal received majority support, it failed to achieve the required support under Delaware law from a majority of the outstanding owners of the Class B common stock. In connection with these rights, our ability to take certain actions that we may deem to be in the best interests of the company and its shareholders, including actions relating to certain pricing decisions, may be limited by the rights of our members.</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corporate headquarters are located at 20 South Wacker Drive, Chicago, IL, where we lease approximately 540,000 square feet of general office</w:t>
      </w:r>
    </w:p>
    <w:p>
      <w:pPr>
        <w:spacing w:after="0" w:line="35"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space. This lease expires in 2032. Our European headquarters are located at the London Fruit &amp; Wool Exchange (LFWE) at 1 Duval Square, London, where we lease approximately 125,000 square feet of general office space. This lease expires in 2038. Our integration of NEX includes the consolidation of office space where we have shared locations, including the consolidation of our European headquarters to the LFWE.</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trading floor is located at 333 S. LaSalle Street, Chicago, IL, which we own. The building is approximately 300,000 square feet, of which the trading floor occupies a portion of such space.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lease our largest data center from CyrusOne in Aurora, IL. This lease expires in 2031.</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addition to above properties, we have other offices and data centers in various locations around the globe. The company’s management believes that its properties are suitable for the purposes for which they are used and our current needs. Please see note 7. Property and note 13. Leases and Other Commitments to the Consolidated Financial Statements for more information.</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"Legal and Regulatory Matters" in note 14. Contingencies to the Consolidated Financial Statements beginning on page 77 for CME Group’s legal proceedings disclosure, which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Class A common stock is currently listed on NASDAQ under the ticker symbol "CME." As of February 12, 2020, there were approximately 6,310 holders of record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200"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Class B shares and the associated trading rights are bought and sold or leased through our membership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primarily determined by the value of our Class A common stock</w:t>
      </w:r>
      <w:r>
        <w:rPr>
          <w:rFonts w:ascii="Arial" w:cs="Arial" w:eastAsia="Arial" w:hAnsi="Arial"/>
          <w:sz w:val="17"/>
          <w:szCs w:val="17"/>
          <w:color w:val="auto"/>
        </w:rPr>
        <w:t>.</w:t>
      </w:r>
      <w:r>
        <w:rPr>
          <w:rFonts w:ascii="Arial" w:cs="Arial" w:eastAsia="Arial" w:hAnsi="Arial"/>
          <w:sz w:val="16"/>
          <w:szCs w:val="16"/>
          <w:color w:val="auto"/>
        </w:rPr>
        <w:t xml:space="preserve"> As of February 12, 2020, there were approximately 1,560 holders of record of our Class B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graph below compares the cumulative five-year total return provided shareholders on CME Group Inc.'s Class A common stock relative to the cumulative total returns of the S&amp;P 500 index and two customized peer groups of three companies and five companies respectively, whose individual companies are listed in footnotes 1 and 2 below. An investment of $100 (with reinvestment of all dividends) is assumed to have been made in our Class A common stock, in each index and in each of the peer groups on December 31, 2014 and its relative performance is tracked through December 31, 2019.</w:t>
      </w:r>
    </w:p>
    <w:p>
      <w:pPr>
        <w:spacing w:after="0" w:line="154" w:lineRule="exact"/>
        <w:rPr>
          <w:sz w:val="20"/>
          <w:szCs w:val="20"/>
          <w:color w:val="auto"/>
        </w:rPr>
      </w:pPr>
    </w:p>
    <w:p>
      <w:pPr>
        <w:ind w:firstLine="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are three companies included in the company's 2018 customized peer group which are: Cboe Global Markets Inc, Intercontinental Exchange Inc and Nasdaq Inc.</w:t>
      </w:r>
    </w:p>
    <w:p>
      <w:pPr>
        <w:spacing w:after="0" w:line="89" w:lineRule="exact"/>
        <w:rPr>
          <w:rFonts w:ascii="Arial" w:cs="Arial" w:eastAsia="Arial" w:hAnsi="Arial"/>
          <w:sz w:val="18"/>
          <w:szCs w:val="18"/>
          <w:color w:val="auto"/>
        </w:rPr>
      </w:pPr>
    </w:p>
    <w:p>
      <w:pPr>
        <w:ind w:right="580" w:firstLine="8"/>
        <w:spacing w:after="0" w:line="286" w:lineRule="auto"/>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five companies included in the company's 2019 customized peer group are: Cboe Global Markets Inc, Deutsche Boerse Ag, Intercontinental Exchange Inc, London Stock Exchange Group Plc and Nasdaq Inc. We complied this revised peer group to more closely reflect our competitors in our industry. We believe the new peer group provides a more meaningful basis for comparison to our stock performance.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252095</wp:posOffset>
            </wp:positionV>
            <wp:extent cx="5848985" cy="4862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Inc.</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107.68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144.21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190.83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252.13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276.52</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S&amp;P 500</w:t>
            </w:r>
          </w:p>
        </w:tc>
        <w:tc>
          <w:tcPr>
            <w:tcW w:w="15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101.38</w:t>
            </w:r>
          </w:p>
        </w:tc>
        <w:tc>
          <w:tcPr>
            <w:tcW w:w="4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113.51</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138.29</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132.23</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173.86</w:t>
            </w:r>
          </w:p>
        </w:tc>
      </w:tr>
      <w:tr>
        <w:trPr>
          <w:trHeight w:val="27"/>
        </w:trPr>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Peer Group</w:t>
            </w:r>
          </w:p>
        </w:tc>
        <w:tc>
          <w:tcPr>
            <w:tcW w:w="1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117.34</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132.98</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172.32</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176.08</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222.54</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2019 Peer Group</w:t>
            </w:r>
          </w:p>
        </w:tc>
        <w:tc>
          <w:tcPr>
            <w:tcW w:w="15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119.52</w:t>
            </w:r>
          </w:p>
        </w:tc>
        <w:tc>
          <w:tcPr>
            <w:tcW w:w="4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124.64</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169.37</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174.13</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244.04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2500" w:type="dxa"/>
            <w:vAlign w:val="bottom"/>
            <w:gridSpan w:val="2"/>
            <w:vMerge w:val="restart"/>
          </w:tcPr>
          <w:p>
            <w:pPr>
              <w:jc w:val="center"/>
              <w:ind w:left="39"/>
              <w:spacing w:after="0"/>
              <w:rPr>
                <w:sz w:val="20"/>
                <w:szCs w:val="20"/>
                <w:color w:val="auto"/>
              </w:rPr>
            </w:pPr>
            <w:r>
              <w:rPr>
                <w:rFonts w:ascii="Arial" w:cs="Arial" w:eastAsia="Arial" w:hAnsi="Arial"/>
                <w:sz w:val="14"/>
                <w:szCs w:val="14"/>
                <w:b w:val="1"/>
                <w:bCs w:val="1"/>
                <w:color w:val="auto"/>
                <w:w w:val="96"/>
              </w:rPr>
              <w:t>Maximum Number (or Approximate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4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146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Average Price</w:t>
            </w:r>
          </w:p>
        </w:tc>
        <w:tc>
          <w:tcPr>
            <w:tcW w:w="15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5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Shares (or Units) that May Yet</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 in 2019</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260" w:type="dxa"/>
            <w:vAlign w:val="bottom"/>
          </w:tcPr>
          <w:p>
            <w:pPr>
              <w:spacing w:after="0"/>
              <w:rPr>
                <w:sz w:val="12"/>
                <w:szCs w:val="12"/>
                <w:color w:val="auto"/>
              </w:rPr>
            </w:pPr>
          </w:p>
        </w:tc>
        <w:tc>
          <w:tcPr>
            <w:tcW w:w="14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Paid Per Share (or</w:t>
            </w:r>
          </w:p>
        </w:tc>
        <w:tc>
          <w:tcPr>
            <w:tcW w:w="15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Announced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Unit)</w:t>
            </w:r>
          </w:p>
        </w:tc>
        <w:tc>
          <w:tcPr>
            <w:tcW w:w="15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3"/>
              </w:rPr>
              <w:t>Plans or Programs</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the Plans or Programs (in millions)</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210.07</w:t>
            </w: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November 1 to November 30</w:t>
            </w:r>
          </w:p>
        </w:tc>
        <w:tc>
          <w:tcPr>
            <w:tcW w:w="16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to December 31</w:t>
            </w:r>
          </w:p>
        </w:tc>
        <w:tc>
          <w:tcPr>
            <w:tcW w:w="1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205.96</w:t>
            </w:r>
          </w:p>
        </w:tc>
        <w:tc>
          <w:tcPr>
            <w:tcW w:w="15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Shares purchased consist of an aggregate of 132 shares of Class A common stock surrendered to satisfy employee tax obligations upon the vesting of restricted stock.</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2, 2018, CME Group completed its acquisition of NEX Group plc (NEX). The following data includes the financial results of NEX beginning November 3,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or At December 31</w:t>
            </w: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4,868.0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4,309.4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3,644.7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3,595.2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3,326.8</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2,587.8</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2,607.6</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2,310.6</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2,200.5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101.8</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170.2</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215.7</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87.1</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2,689.6</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2,777.8</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2,526.3</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2,287.6</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1,956.8</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2,116.5</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1,962.2</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4,063.4</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1,534.1</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1,247.0</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5.93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5.73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12.00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3.71</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11.94</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 dividends per share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5.50</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5.65</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75,215.3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77,475.7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75,791.2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69,369.4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67,359.4</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574.2</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3,743.2</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3,826.8</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2,233.1</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2,231.2</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2,229.3</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26,128.9</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25,918.5</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22,411.8</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20,340.7</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20,551.8</w:t>
            </w:r>
          </w:p>
        </w:tc>
      </w:tr>
      <w:tr>
        <w:trPr>
          <w:trHeight w:val="540"/>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812"/>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key statistical information on the volume of contracts traded, expressed in round turn trades. All amounts exclude our interest rate swaps and credit default swaps contracts as well as volume data for our cash markets business.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Year Ended or At December 31</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Product Lines: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10,349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Equity indexes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Agricultural commodities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Energy</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Metals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19,167</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19,224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Method of Trade:</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CME Globex</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12,185</w:t>
            </w:r>
          </w:p>
        </w:tc>
        <w:tc>
          <w:tcPr>
            <w:tcW w:w="0" w:type="dxa"/>
            <w:vAlign w:val="bottom"/>
          </w:tcPr>
          <w:p>
            <w:pPr>
              <w:spacing w:after="0"/>
              <w:rPr>
                <w:sz w:val="1"/>
                <w:szCs w:val="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Open outcry</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Privately negotiated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19,167</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19,224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15,649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67"/>
        </w:trPr>
        <w:tc>
          <w:tcPr>
            <w:tcW w:w="35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 Data:</w:t>
            </w: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Contract Volume (round turn trades)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4,830,043</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4,844,406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4,089,175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3,943,670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3,532,521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Open Interest at Year End (contracts)</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113,330</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115,669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108,043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102,930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91,369</w:t>
            </w: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right="80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is organized as follows:</w:t>
      </w:r>
    </w:p>
    <w:p>
      <w:pPr>
        <w:spacing w:after="0" w:line="86" w:lineRule="exact"/>
        <w:rPr>
          <w:sz w:val="20"/>
          <w:szCs w:val="20"/>
          <w:color w:val="auto"/>
        </w:rPr>
      </w:pPr>
    </w:p>
    <w:p>
      <w:pPr>
        <w:ind w:left="660" w:right="48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Executive Summary</w:t>
      </w:r>
      <w:r>
        <w:rPr>
          <w:rFonts w:ascii="Arial" w:cs="Arial" w:eastAsia="Arial" w:hAnsi="Arial"/>
          <w:sz w:val="18"/>
          <w:szCs w:val="18"/>
          <w:color w:val="auto"/>
        </w:rPr>
        <w:t>: Includes an overview of our business; current economic, competitive and regulatory trends relevant to our business; our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business strategy; and our primary sources of operating and non-operating revenues and expenses.</w:t>
      </w:r>
    </w:p>
    <w:p>
      <w:pPr>
        <w:spacing w:after="0" w:line="26" w:lineRule="exact"/>
        <w:rPr>
          <w:rFonts w:ascii="Arial" w:cs="Arial" w:eastAsia="Arial" w:hAnsi="Arial"/>
          <w:sz w:val="18"/>
          <w:szCs w:val="18"/>
          <w:color w:val="auto"/>
        </w:rPr>
      </w:pPr>
    </w:p>
    <w:p>
      <w:pPr>
        <w:ind w:left="660" w:right="18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which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2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26" w:lineRule="exact"/>
        <w:rPr>
          <w:rFonts w:ascii="Arial" w:cs="Arial" w:eastAsia="Arial" w:hAnsi="Arial"/>
          <w:sz w:val="18"/>
          <w:szCs w:val="18"/>
          <w:color w:val="auto"/>
        </w:rPr>
      </w:pPr>
    </w:p>
    <w:p>
      <w:pPr>
        <w:ind w:left="660" w:right="10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an analysis of our 2019 and 2018 financial results and a discussion of any known events or trends which are likely</w:t>
      </w:r>
      <w:r>
        <w:rPr>
          <w:rFonts w:ascii="Arial" w:cs="Arial" w:eastAsia="Arial" w:hAnsi="Arial"/>
          <w:sz w:val="18"/>
          <w:szCs w:val="18"/>
          <w:b w:val="1"/>
          <w:bCs w:val="1"/>
          <w:color w:val="auto"/>
        </w:rPr>
        <w:t xml:space="preserve"> </w:t>
      </w:r>
      <w:r>
        <w:rPr>
          <w:rFonts w:ascii="Arial" w:cs="Arial" w:eastAsia="Arial" w:hAnsi="Arial"/>
          <w:sz w:val="18"/>
          <w:szCs w:val="18"/>
          <w:color w:val="auto"/>
        </w:rPr>
        <w:t>to impact future results.</w:t>
      </w:r>
    </w:p>
    <w:p>
      <w:pPr>
        <w:spacing w:after="0" w:line="26" w:lineRule="exact"/>
        <w:rPr>
          <w:rFonts w:ascii="Arial" w:cs="Arial" w:eastAsia="Arial" w:hAnsi="Arial"/>
          <w:sz w:val="18"/>
          <w:szCs w:val="18"/>
          <w:color w:val="auto"/>
        </w:rPr>
      </w:pPr>
    </w:p>
    <w:p>
      <w:pPr>
        <w:ind w:left="660" w:right="300" w:hanging="328"/>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5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November 2, 2018, we completed our acquisition of NEX Group plc (NEX). The following Management's Discussion and Analysis of Financial Condition and Results of Operations includes the financial results of NEX beginning on November 3, 2018.</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CME Group, a Delaware stock corporation, is the holding company for CME, CBOT, NYMEX, COMEX, NEX and their respective subsidiaries. The holding company structure is designed to provide strategic and operational flexibility. CME Group's Class A common stock is listed on the NASDAQ Global Select Market (NASDAQ) under the ticker symbol "CME."</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exchange consists of designated contract markets for the trading of futures and options contracts. We also clear futures, options and swaps contracts through our clearing house. Futures contracts, options contracts and swaps contracts provide investors with vehicles for protecting against, and potentially profiting from, price changes in financial instruments and physical commodities.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a global company with customer access available virtually all over the world. Our customers consist of professional traders, financial institutions, individual and institutional investors, major corporations, manufacturers, producers, governments and central banks. Customers include both members of the exchange and non-members.</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offer our customers the opportunity to trade futures contracts and options contracts on a range of products including those based on interest rates, equity indexes, foreign exchange, agricultural commodities, energy and metals. Through our cash markets business, we offer fixed income trading through BrokerTec and foreign currency trading through EBS. Our products provide a means for hedging, speculating and allocating assets. We identify new products by monitoring economic trends and their impact on the risk management and speculative needs of our existing and prospective customers.</w:t>
      </w:r>
    </w:p>
    <w:p>
      <w:pPr>
        <w:spacing w:after="0" w:line="154"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Most of our products are available for trading through our electronic trading platforms. These execution facilities offer our customers immediate trade execution and price transparency. In addition, trades can be executed through privately negotiated transactions that are cleared and settled through our clearing house.</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also provide optimization services that deliver transaction lifecycle management and information services to help our customers optimize their capital, mitigate their risk and reduce operational costs. Optimization services includes Traiana, TriOptima and Reset.</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clearing house clears, settles and guarantees futures and options contracts traded through our exchanges,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offset the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position with another party. This contract offsetting process provides our customers with flexibility in establishing and adjusting positions and provides for collateral and margining efficiencies. Certain BrokerTec and EBS contracts are cleared at third-party clearing houses.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11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Economic Environment. </w:t>
      </w:r>
      <w:r>
        <w:rPr>
          <w:rFonts w:ascii="Arial" w:cs="Arial" w:eastAsia="Arial" w:hAnsi="Arial"/>
          <w:sz w:val="18"/>
          <w:szCs w:val="18"/>
          <w:color w:val="auto"/>
        </w:rPr>
        <w:t>Our customers continue to use our markets as an effective and transparent means to manage risk and meet their investment needs.</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activity in our centralized markets has fluctuated due to the ongoing uncertainty in the financial markets caused by the United States and European credit crises, fluctuations in the availability of credit, variations in the amount of assets under management as well as the Federal Reserve Bank’s interest rate policy and quantitative easing. We continue to maintain high quality and diverse products as well as various clearing and market data services which support our customers in any economic environment.</w:t>
      </w:r>
    </w:p>
    <w:p>
      <w:pPr>
        <w:spacing w:after="0" w:line="2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 xml:space="preserve">Competitive Environment. </w:t>
      </w:r>
      <w:r>
        <w:rPr>
          <w:rFonts w:ascii="Arial" w:cs="Arial" w:eastAsia="Arial" w:hAnsi="Arial"/>
          <w:sz w:val="17"/>
          <w:szCs w:val="17"/>
          <w:color w:val="auto"/>
        </w:rPr>
        <w:t>Our industry is competitive and we continue to encounter competition in all aspects of our business. We expect competition to</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intensify, especially in light of ongoing regulatory reform in the financial services industry. Competition is influenced by our brand and reputation; the efficiency and security of our settlement, clearing and support services; depth and liquidity of our markets; diversity of product offerings including frequency and quality of new product development and innovative services; our ability to position and expand upon existing products to address changing market needs; efficient and seamless customer experience; transparency, reliability, anonymity and security of transaction processing; the regulatory environment; connectivity, accessibility, flexibility in execution methods and distribution; technology capability and innovation, as well as overall transaction costs. We believe we are very well positioned with respect to these factors. Our asset classes contain products designed to address differing risk management needs, and customers are able to achieve operational and capital efficiencies by accessing our diverse products through our platforms and our clearing house. We face competition from other futures, securities and securities option exchanges; clearing organizations; swap execution facilities; alternative trade execution facilities; technology firms, including market data distributors and electronic trading system developers; and others. As markets continue to evolve, we will continue to adapt our trading technology and clearing services to meet the needs of our customers. The competitive environment to which we are subject is discussed in "Item 1. Business" on page 9.</w:t>
      </w:r>
    </w:p>
    <w:p>
      <w:pPr>
        <w:spacing w:after="0" w:line="12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Regulatory Environment. </w:t>
      </w:r>
      <w:r>
        <w:rPr>
          <w:rFonts w:ascii="Arial" w:cs="Arial" w:eastAsia="Arial" w:hAnsi="Arial"/>
          <w:sz w:val="18"/>
          <w:szCs w:val="18"/>
          <w:color w:val="auto"/>
        </w:rPr>
        <w:t>Exchange-traded derivatives have historically been subject to extensive regulation. Developments in the regulatory environment</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potential to significantly impact our business. Compliance with regulations may require us and our customers to dedicate significant financial and operational resources which could adversely affect our profitability. The regulatory environment to which we are subject is discussed in "Item 1. Business" on page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strategy focuses on maximizing futures and options growth globally, diversifying our business and revenues, and delivering unparalleled customer efficiencies and operational excellence. This strategy allows us to continue to develop into a more broadly diversified financial exchange that provides trading and clearing solutions across a wide range of products and asset classes. Our strategic initiatives are discussed in "Item 1. Business" on page 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b w:val="1"/>
          <w:bCs w:val="1"/>
          <w:color w:val="auto"/>
        </w:rPr>
        <w:t xml:space="preserve">Clearing and transaction fees. </w:t>
      </w:r>
      <w:r>
        <w:rPr>
          <w:rFonts w:ascii="Arial" w:cs="Arial" w:eastAsia="Arial" w:hAnsi="Arial"/>
          <w:sz w:val="16"/>
          <w:szCs w:val="16"/>
          <w:color w:val="auto"/>
        </w:rPr>
        <w:t>A majority of our revenue is derived from clearing and transaction fees, which include electronic trading fees, surcharges for</w:t>
      </w:r>
      <w:r>
        <w:rPr>
          <w:rFonts w:ascii="Arial" w:cs="Arial" w:eastAsia="Arial" w:hAnsi="Arial"/>
          <w:sz w:val="16"/>
          <w:szCs w:val="16"/>
          <w:b w:val="1"/>
          <w:bCs w:val="1"/>
          <w:color w:val="auto"/>
        </w:rPr>
        <w:t xml:space="preserve"> </w:t>
      </w:r>
      <w:r>
        <w:rPr>
          <w:rFonts w:ascii="Arial" w:cs="Arial" w:eastAsia="Arial" w:hAnsi="Arial"/>
          <w:sz w:val="16"/>
          <w:szCs w:val="16"/>
          <w:color w:val="auto"/>
        </w:rPr>
        <w:t>privately negotiated transactions and other volume-related charges for exchange-traded and over-the-counter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While volume has the most significant impact on our clearing and transaction fees revenue, there are four other factors that also influence this source of revenue:</w:t>
      </w:r>
    </w:p>
    <w:p>
      <w:pPr>
        <w:spacing w:after="0" w:line="14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venue,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Rate structure. </w:t>
      </w:r>
      <w:r>
        <w:rPr>
          <w:rFonts w:ascii="Arial" w:cs="Arial" w:eastAsia="Arial" w:hAnsi="Arial"/>
          <w:sz w:val="18"/>
          <w:szCs w:val="18"/>
          <w:color w:val="auto"/>
        </w:rPr>
        <w:t>Customers benefit from volume discounts and limits on fees as part of our effort to increase liquidity in certain products. We offer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programs to promote trading and clearing in various products and geographic locations.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may periodically change fees, volume discounts, fee limits and member discounts, perhaps significantly, based on our review of operations and the business environment.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exchange-traded futures and options contracts as well as cleared-only interest rate swap contracts. Through our acquisition of NEX,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offer foreign exchange spot and forward contracts and fixed income products. Rates are varied by product in order to optimize revenue on existing products and to encourage contract volume upon introduction of new products.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Our exchange and platforms are an international marketplace that brings together buyers and sellers mainly through our electronic trading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outcry trading and privately negotiated transactions. Any customer who is guaranteed by a clearing firm and who agrees to be bound by our exchange rules is able to obtain direct access to our CME electronic platforms. Open outcry trading is conducted exclusively by our members, who may execute trades on behalf of customers or for themselves.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Member/non-member mix. </w:t>
      </w:r>
      <w:r>
        <w:rPr>
          <w:rFonts w:ascii="Arial" w:cs="Arial" w:eastAsia="Arial" w:hAnsi="Arial"/>
          <w:sz w:val="17"/>
          <w:szCs w:val="17"/>
          <w:color w:val="auto"/>
        </w:rPr>
        <w:t>Generally, member customers are charged lower fees than our non-member customers. Holding all other factors constant,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if the percentage of trades executed by members increases, and increases if the percentage of non-member trades increases.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Clearing and transaction fees for cash markets business</w:t>
      </w:r>
      <w:r>
        <w:rPr>
          <w:rFonts w:ascii="Arial" w:cs="Arial" w:eastAsia="Arial" w:hAnsi="Arial"/>
          <w:sz w:val="18"/>
          <w:szCs w:val="18"/>
          <w:color w:val="auto"/>
        </w:rPr>
        <w:t>. Our cash markets business provides matching services whereby we match a buyer and seller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to allow both parties to complete the trade bilaterally or through a third-party clearing house. We are not involved in the settlement of the contract but charge a transaction fee generally based on volume or notional value of the trade for providing the matching service. The cash markets business also includes BrokerTec Americas, which generates revenue from a matched principal business. This business serves as a fully matched counterparty to offsetting positions entered into by clients on its electronic trading platform to facilitate anonymity and access to clearing and settlement. Revenue is generated from this business generally on a transaction fee basis.</w:t>
      </w:r>
    </w:p>
    <w:p>
      <w:pPr>
        <w:spacing w:after="0" w:line="18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Other sources. </w:t>
      </w:r>
      <w:r>
        <w:rPr>
          <w:rFonts w:ascii="Arial" w:cs="Arial" w:eastAsia="Arial" w:hAnsi="Arial"/>
          <w:sz w:val="18"/>
          <w:szCs w:val="18"/>
          <w:color w:val="auto"/>
        </w:rPr>
        <w:t>Revenue is also derived from other sources including market data and information services and other various services related to our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We receive market data and information services revenue from the dissemination of our market data to subscribers.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Subscribers can obtain access to our market data services either directly or through third party distributors.</w:t>
      </w:r>
    </w:p>
    <w:p>
      <w:pPr>
        <w:spacing w:after="0" w:line="21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Pricing for our market data services is based on the value of the service provided and the price of comparable services offered by our competitors. Increases or decreases in our market data and information services revenue are influenced by changes in our price structure and incentive programs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17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 includes access and communication fees. Access and communication fees are connectivity fees charged to members and</w:t>
      </w:r>
      <w:r>
        <w:rPr>
          <w:rFonts w:ascii="Arial" w:cs="Arial" w:eastAsia="Arial" w:hAnsi="Arial"/>
          <w:sz w:val="18"/>
          <w:szCs w:val="18"/>
          <w:i w:val="1"/>
          <w:iCs w:val="1"/>
          <w:color w:val="auto"/>
        </w:rPr>
        <w:t xml:space="preserve"> </w:t>
      </w:r>
      <w:r>
        <w:rPr>
          <w:rFonts w:ascii="Arial" w:cs="Arial" w:eastAsia="Arial" w:hAnsi="Arial"/>
          <w:sz w:val="18"/>
          <w:szCs w:val="18"/>
          <w:color w:val="auto"/>
        </w:rPr>
        <w:t>clearing firms that utilize our various telecommunications networks and communications services. Our communication services include our co-location program as well as the connectivity charges to customers of the CME Globex platform. Access fee revenue varies depending on the type of connection provided to customers.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Other revenues include revenues from our optimization services, which include fees for risk management and information services for the over-the-counter markets, including portfolio reconciliation and post-trade processing. Revenue earned from these services is typically generated through subscriptions or transaction fees.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Other revenues also include fees for post-trade services, fees for collateral management, equity subscription fees and fees for trade order routing through agreements from various strategic relationships as well as other services to members and clearing firms.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21" w:right="25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majority of our expenses do not vary directly with changes in our contract volume. However, licensing and other fee agreements can vary directly with certain equity, energy and swap volumes as well as the majority of our employee bonuses vary directly with overall contract volume.</w:t>
      </w:r>
    </w:p>
    <w:p>
      <w:pPr>
        <w:spacing w:after="0" w:line="14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workforce. The expense associated with our bonus and stock-based compensation plans can also have a significant impact on this expense category.</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general, stock-based compensation is a non-cash expense related to restricted stock and performance share grants. Stock-based compensation varies depending on the quantity and fair value of awards granted. The fair value of restricted stock awards and other performance share grants is based on either the share price on the date of the grant or a model of expected future stock prices.</w:t>
      </w:r>
    </w:p>
    <w:p>
      <w:pPr>
        <w:spacing w:after="0" w:line="177"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color w:val="auto"/>
        </w:rPr>
        <w:t xml:space="preserve">Professional fees and outside services. </w:t>
      </w:r>
      <w:r>
        <w:rPr>
          <w:rFonts w:ascii="Arial" w:cs="Arial" w:eastAsia="Arial" w:hAnsi="Arial"/>
          <w:sz w:val="17"/>
          <w:szCs w:val="17"/>
          <w:color w:val="auto"/>
        </w:rPr>
        <w:t>This expense includes fees for consulting services received on strategic and technology initiatives; regulatory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compliance matters; temporary labor as well as legal and accounting fees. This expense may fluctuate as a result of changes in services required to complete initiatives, handle legal proceedings and comply with regulatory and compliance requirements.</w:t>
      </w:r>
    </w:p>
    <w:p>
      <w:pPr>
        <w:spacing w:after="0" w:line="158"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expense results from the depreciation of long-lived assets such as buildings, leasehold</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furniture, fixtures and equipment. This expense also includes the amortization of purchased and internally developed software.</w:t>
      </w:r>
    </w:p>
    <w:p>
      <w:pPr>
        <w:spacing w:after="0" w:line="116"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 xml:space="preserve">Amortization of purchased intangibles. </w:t>
      </w:r>
      <w:r>
        <w:rPr>
          <w:rFonts w:ascii="Arial" w:cs="Arial" w:eastAsia="Arial" w:hAnsi="Arial"/>
          <w:sz w:val="18"/>
          <w:szCs w:val="18"/>
          <w:color w:val="auto"/>
        </w:rPr>
        <w:t>Amortization of purchased intangibles includes amortization of intangible assets obtained in our acquisitions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CBOT Holdings, Inc., NYMEX Holdings, Inc. and NEX as well as other asset and business acquisitions. Intangible assets subject to amortization consist primarily of clearing firm, market data and other customer relationships.</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additional ongoing expenses for communications, technology support services and various other activities necessary to support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12" w:lineRule="exact"/>
        <w:rPr>
          <w:sz w:val="20"/>
          <w:szCs w:val="20"/>
          <w:color w:val="auto"/>
        </w:rPr>
      </w:pPr>
    </w:p>
    <w:p>
      <w:pPr>
        <w:jc w:val="both"/>
        <w:ind w:left="660" w:right="60" w:hanging="328"/>
        <w:spacing w:after="0" w:line="27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Technology expense consists of costs related to maintenance of the hardware and software required to support our technology. It also includes costs for network connections for our electronic platforms and some market data customers; telecommunications costs of our exchange, and fees paid for access to external market data. This expense may be driven by system capacity, functionality and redundancy requirements. It also may be impacted by growth in electronic contract volume and changes in the number of telecommunications hubs and connections which allow customers outside the United States to access our electronic platforms directly.</w:t>
      </w:r>
    </w:p>
    <w:p>
      <w:pPr>
        <w:spacing w:after="0" w:line="10" w:lineRule="exact"/>
        <w:rPr>
          <w:rFonts w:ascii="Arial" w:cs="Arial" w:eastAsia="Arial" w:hAnsi="Arial"/>
          <w:sz w:val="17"/>
          <w:szCs w:val="17"/>
          <w:color w:val="auto"/>
        </w:rPr>
      </w:pPr>
    </w:p>
    <w:p>
      <w:pPr>
        <w:ind w:left="660" w:right="6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Licensing and other fee agreements expense includes license fees paid as a result of contract volume in equity index products. This expense also includes royalty fees and broker rebates on energy and metals products as well as revenue sharing on cleared swaps contracts and some new product launches. This expense fluctuates with changes in contract volumes as well as changes in fee structures.</w:t>
      </w:r>
    </w:p>
    <w:p>
      <w:pPr>
        <w:spacing w:after="0" w:line="3" w:lineRule="exact"/>
        <w:rPr>
          <w:rFonts w:ascii="Arial" w:cs="Arial" w:eastAsia="Arial" w:hAnsi="Arial"/>
          <w:sz w:val="17"/>
          <w:szCs w:val="17"/>
          <w:color w:val="auto"/>
        </w:rPr>
      </w:pPr>
    </w:p>
    <w:p>
      <w:pPr>
        <w:ind w:left="660" w:right="40" w:hanging="328"/>
        <w:spacing w:after="0" w:line="29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expenses include occupancy and building operations expenses including rent, maintenance, real estate taxes, utilities and other related costs related to leased property in Chicago, New York, the United Kingdom, India as well as other smaller locations throughout the world. Other expenses also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certain operating assets, and foreign currency transaction gains and losses resulting from changes in exchange rates on certain foreign monetary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and expenses incurred through activities outside of our core operations are considered non-operating. These activities include non-core investing and financing activities.</w:t>
      </w:r>
    </w:p>
    <w:p>
      <w:pPr>
        <w:spacing w:after="0" w:line="143" w:lineRule="exact"/>
        <w:rPr>
          <w:sz w:val="20"/>
          <w:szCs w:val="20"/>
          <w:color w:val="auto"/>
        </w:rPr>
      </w:pPr>
    </w:p>
    <w:p>
      <w:pPr>
        <w:jc w:val="both"/>
        <w:ind w:left="660" w:right="140" w:hanging="328"/>
        <w:spacing w:after="0" w:line="288"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Investment income includes income from short-term investment of clearing firms' cash performance bonds and guaranty fund contributions as well as excess operating cash; interest income and realized gains and losses from our marketable securities; realized gains and losses as well as dividend income from our strategic equity investments, and gains and losses on trading securities in our non-qualified deferred compensation plans.</w:t>
      </w: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Investment income is influenced by market interest rates, changes in the levels of cash performance bonds deposited by clearing firms, the amount of dividends distributed by our strategic investments and the availability of funds generated by operations.</w:t>
      </w:r>
    </w:p>
    <w:p>
      <w:pPr>
        <w:spacing w:after="0" w:line="48" w:lineRule="exact"/>
        <w:rPr>
          <w:rFonts w:ascii="Arial" w:cs="Arial" w:eastAsia="Arial" w:hAnsi="Arial"/>
          <w:sz w:val="16"/>
          <w:szCs w:val="16"/>
          <w:color w:val="auto"/>
        </w:rPr>
      </w:pPr>
    </w:p>
    <w:p>
      <w:pPr>
        <w:ind w:left="660" w:right="8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and other borrowing costs expense includes charges associated with various short-term and long-term funding facilities, including commitment fees on lines of credit agreements.</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in net earnings (losses) of unconsolidated subsidiaries includes income and losses from our investments in S&amp;P/Dow Jones Indices LLC (S&amp;P/DJI), Dubai Mercantile Exchange and Bursa Malaysia Derivatives Berhad.</w:t>
      </w:r>
    </w:p>
    <w:p>
      <w:pPr>
        <w:spacing w:after="0" w:line="35"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income (expense) includes expenses related to the distribution of a portion of interest earned on performance bond collateral reinvestment to the clearing firms, gains and losses on derivative contracts as well as other various income and expenses outside our core operations.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174"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Valuation of financial instruments. </w:t>
      </w:r>
      <w:r>
        <w:rPr>
          <w:rFonts w:ascii="Arial" w:cs="Arial" w:eastAsia="Arial" w:hAnsi="Arial"/>
          <w:sz w:val="16"/>
          <w:szCs w:val="16"/>
          <w:color w:val="auto"/>
        </w:rPr>
        <w:t>Fair value is defined as the price that would be received to sell an asset or paid to transfer a liability in an orderly</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11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9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35" w:lineRule="exact"/>
        <w:rPr>
          <w:rFonts w:ascii="Arial" w:cs="Arial" w:eastAsia="Arial" w:hAnsi="Arial"/>
          <w:sz w:val="18"/>
          <w:szCs w:val="18"/>
          <w:color w:val="auto"/>
        </w:rPr>
      </w:pPr>
    </w:p>
    <w:p>
      <w:pPr>
        <w:ind w:left="660" w:right="42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3—Inputs are unobservable and reflect management’s best estimate of what market participants would use in pricing the asset or liability. Assets and liabilities carried at level 3 fair value generally include assets and liabilities with inputs that require management’s judgment.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regarding the fair value of financial assets and liabilities, see note 19 of the notes to the consolidated financial statements.</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We review goodwill for impairment on a quarterly basis and whenever events or circumstances indicate that its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may rely on significant assumptions about forecasts of revenue growth, operating margins and economic conditions as well as overall market and industry-specific trends.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also review indefinite-lived intangible assets on a quarterly basis or more frequently when events and circumstances indicate that their carrying values may not be recoverable. Indefinite-lived intangible assets may be tested quantitatively for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 assets may rely on significant assumptions about forecasts of revenue growth, operating margins and economic conditions as well as overall market and industry-specific trends.</w:t>
      </w:r>
    </w:p>
    <w:p>
      <w:pPr>
        <w:spacing w:after="0" w:line="16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Intangible assets subject to amortization are also assessed for impairment on a quarterly basis or more frequently when indicated by a change in economic or operational circumstances. The impairment assessment of these assets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 and annually challenge the useful lives.</w:t>
      </w:r>
    </w:p>
    <w:p>
      <w:pPr>
        <w:spacing w:after="0" w:line="16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A significant portion of our revenue is derived from the clearing and transaction fees we assess on each contract executed through our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venues and cleared through our clearing house. Clearing and transaction fees are recognized as revenue when a buy and sell order are matched and when the trade is cleared. On occasion, the customer's exchange trading privileges may not be properly entered by the clearinrg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w:t>
      </w:r>
    </w:p>
    <w:p>
      <w:pPr>
        <w:spacing w:after="0" w:line="15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Calculation of the income tax provision includes an estimate of the income taxes that will be paid for the current year as well as an estimate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and we occasionally may consult with relevant tax authorities or engage third party expertise where appropriate. We recognize potential liabilities for anticipated tax audit issues in the United States and other applicable foreign tax jurisdictions using a more-likely-than-not recognition threshold based on the technical merits of the tax position taken or expected to be taken. If the actual obligation of these amounts varies from our estimate, our income tax provision would be reduced or increased at the time that determination is made. This determination may not be known for several years. Past tax audits have not resulted in tax adjustments that resulted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18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Internal use software costs. </w:t>
      </w:r>
      <w:r>
        <w:rPr>
          <w:rFonts w:ascii="Arial" w:cs="Arial" w:eastAsia="Arial" w:hAnsi="Arial"/>
          <w:sz w:val="18"/>
          <w:szCs w:val="18"/>
          <w:color w:val="auto"/>
        </w:rPr>
        <w:t>Certain internal and external costs that are incurred in connection with developing or obtaining computer software for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use are capitalized. We also enter into software hosting arrangements for software projects maintained in the cloud. Software development costs incurred during the planning or maintenance stages of a software project are expensed as incurred, while costs incurred during the application development stage are capitalized and are amortized over the estimated useful life of the software, generally two to four years. Amortization of capitalized costs begins only when the software becomes ready for its intended use.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note 2 in our notes to the consolidated financial statements for information on newly adopted and recently issued accounting pronouncements that are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following summarizes significant changes in our financial performance for the years presented. For a comparison of our results of operations for the fiscal years ended December 31, 2018 and December 2017, see "Part II, Item 7. Management's Discussion and Analysis of Financial Condition and Results of Operations" of our Annual Report on Form 10-K for the fiscal year ended December 31, 2018 filed with the SEC on February 28, 2019.</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Year-over-Year Change</w:t>
            </w:r>
          </w:p>
        </w:tc>
      </w:tr>
      <w:tr>
        <w:trPr>
          <w:trHeight w:val="250"/>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data)</w:t>
            </w:r>
          </w:p>
        </w:tc>
        <w:tc>
          <w:tcPr>
            <w:tcW w:w="1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2019-2018</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4,868.0</w:t>
            </w:r>
          </w:p>
        </w:tc>
        <w:tc>
          <w:tcPr>
            <w:tcW w:w="4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4,309.4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2,280.2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1,701.8</w:t>
            </w:r>
          </w:p>
        </w:tc>
        <w:tc>
          <w:tcPr>
            <w:tcW w:w="80" w:type="dxa"/>
            <w:vAlign w:val="bottom"/>
          </w:tcPr>
          <w:p>
            <w:pPr>
              <w:spacing w:after="0"/>
              <w:rPr>
                <w:sz w:val="21"/>
                <w:szCs w:val="21"/>
                <w:color w:val="auto"/>
              </w:rPr>
            </w:pP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34</w:t>
            </w:r>
          </w:p>
        </w:tc>
      </w:tr>
      <w:tr>
        <w:trPr>
          <w:trHeight w:val="27"/>
        </w:trPr>
        <w:tc>
          <w:tcPr>
            <w:tcW w:w="5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101.8</w:t>
            </w: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170.2</w:t>
            </w:r>
          </w:p>
        </w:tc>
        <w:tc>
          <w:tcPr>
            <w:tcW w:w="80" w:type="dxa"/>
            <w:vAlign w:val="bottom"/>
          </w:tcPr>
          <w:p>
            <w:pPr>
              <w:spacing w:after="0"/>
              <w:rPr>
                <w:sz w:val="21"/>
                <w:szCs w:val="21"/>
                <w:color w:val="auto"/>
              </w:rPr>
            </w:pPr>
          </w:p>
        </w:tc>
        <w:tc>
          <w:tcPr>
            <w:tcW w:w="1580" w:type="dxa"/>
            <w:vAlign w:val="bottom"/>
            <w:gridSpan w:val="2"/>
          </w:tcPr>
          <w:p>
            <w:pPr>
              <w:jc w:val="right"/>
              <w:ind w:right="88"/>
              <w:spacing w:after="0"/>
              <w:rPr>
                <w:sz w:val="20"/>
                <w:szCs w:val="20"/>
                <w:color w:val="auto"/>
              </w:rPr>
            </w:pPr>
            <w:r>
              <w:rPr>
                <w:rFonts w:ascii="Arial" w:cs="Arial" w:eastAsia="Arial" w:hAnsi="Arial"/>
                <w:sz w:val="18"/>
                <w:szCs w:val="18"/>
                <w:color w:val="auto"/>
              </w:rPr>
              <w:t>(40)</w:t>
            </w:r>
          </w:p>
        </w:tc>
      </w:tr>
      <w:tr>
        <w:trPr>
          <w:trHeight w:val="27"/>
        </w:trPr>
        <w:tc>
          <w:tcPr>
            <w:tcW w:w="5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expense rate</w:t>
            </w: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2,116.5</w:t>
            </w: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1,962.2</w:t>
            </w:r>
          </w:p>
        </w:tc>
        <w:tc>
          <w:tcPr>
            <w:tcW w:w="80" w:type="dxa"/>
            <w:vAlign w:val="bottom"/>
          </w:tcPr>
          <w:p>
            <w:pPr>
              <w:spacing w:after="0"/>
              <w:rPr>
                <w:sz w:val="21"/>
                <w:szCs w:val="21"/>
                <w:color w:val="auto"/>
              </w:rPr>
            </w:pP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8</w:t>
            </w:r>
          </w:p>
        </w:tc>
      </w:tr>
      <w:tr>
        <w:trPr>
          <w:trHeight w:val="27"/>
        </w:trPr>
        <w:tc>
          <w:tcPr>
            <w:tcW w:w="5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attributable to CME Group</w:t>
            </w: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5.71</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2,672.8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2,440.8</w:t>
            </w:r>
          </w:p>
        </w:tc>
        <w:tc>
          <w:tcPr>
            <w:tcW w:w="80" w:type="dxa"/>
            <w:vAlign w:val="bottom"/>
          </w:tcPr>
          <w:p>
            <w:pPr>
              <w:spacing w:after="0"/>
              <w:rPr>
                <w:sz w:val="21"/>
                <w:szCs w:val="21"/>
                <w:color w:val="auto"/>
              </w:rPr>
            </w:pP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10</w:t>
            </w:r>
          </w:p>
        </w:tc>
      </w:tr>
      <w:tr>
        <w:trPr>
          <w:trHeight w:val="459"/>
        </w:trPr>
        <w:tc>
          <w:tcPr>
            <w:tcW w:w="55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15"/>
        </w:trPr>
        <w:tc>
          <w:tcPr>
            <w:tcW w:w="5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Year-over-Year Change</w:t>
            </w:r>
          </w:p>
        </w:tc>
      </w:tr>
      <w:tr>
        <w:trPr>
          <w:trHeight w:val="250"/>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2019-2018</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1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3,946.1</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3,667.0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449.6</w:t>
            </w:r>
          </w:p>
        </w:tc>
        <w:tc>
          <w:tcPr>
            <w:tcW w:w="80" w:type="dxa"/>
            <w:vAlign w:val="bottom"/>
          </w:tcPr>
          <w:p>
            <w:pPr>
              <w:spacing w:after="0"/>
              <w:rPr>
                <w:sz w:val="21"/>
                <w:szCs w:val="21"/>
                <w:color w:val="auto"/>
              </w:rPr>
            </w:pP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15</w:t>
            </w:r>
          </w:p>
        </w:tc>
      </w:tr>
      <w:tr>
        <w:trPr>
          <w:trHeight w:val="27"/>
        </w:trPr>
        <w:tc>
          <w:tcPr>
            <w:tcW w:w="5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192.8</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109</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4,868.0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4,309.4</w:t>
            </w:r>
          </w:p>
        </w:tc>
        <w:tc>
          <w:tcPr>
            <w:tcW w:w="80" w:type="dxa"/>
            <w:vAlign w:val="bottom"/>
          </w:tcPr>
          <w:p>
            <w:pPr>
              <w:spacing w:after="0"/>
              <w:rPr>
                <w:sz w:val="22"/>
                <w:szCs w:val="22"/>
                <w:color w:val="auto"/>
              </w:rPr>
            </w:pP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13</w:t>
            </w:r>
          </w:p>
        </w:tc>
      </w:tr>
      <w:tr>
        <w:trPr>
          <w:trHeight w:val="20"/>
        </w:trPr>
        <w:tc>
          <w:tcPr>
            <w:tcW w:w="5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Futures and Options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below exclude trading volume for the cash markets business as well as interest rate swaps.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Year-over-Year Change</w:t>
            </w:r>
          </w:p>
        </w:tc>
      </w:tr>
      <w:tr>
        <w:trPr>
          <w:trHeight w:val="250"/>
        </w:trPr>
        <w:tc>
          <w:tcPr>
            <w:tcW w:w="48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16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2019-2018</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4,830.0</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4,844.4</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3,396.3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3,513.9</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(3)</w:t>
            </w:r>
          </w:p>
        </w:tc>
      </w:tr>
      <w:tr>
        <w:trPr>
          <w:trHeight w:val="27"/>
        </w:trPr>
        <w:tc>
          <w:tcPr>
            <w:tcW w:w="4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0.703</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0.725</w:t>
            </w:r>
          </w:p>
        </w:tc>
        <w:tc>
          <w:tcPr>
            <w:tcW w:w="1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w:t>
            </w:r>
          </w:p>
        </w:tc>
      </w:tr>
      <w:tr>
        <w:trPr>
          <w:trHeight w:val="27"/>
        </w:trPr>
        <w:tc>
          <w:tcPr>
            <w:tcW w:w="48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estimate the following decreases in clearing and transaction fees based on a change in total contract volume and a change in average rate per contract during 2019 compared with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Year-over-</w:t>
            </w:r>
          </w:p>
        </w:tc>
      </w:tr>
      <w:tr>
        <w:trPr>
          <w:trHeight w:val="192"/>
        </w:trPr>
        <w:tc>
          <w:tcPr>
            <w:tcW w:w="9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Year Change</w:t>
            </w:r>
          </w:p>
        </w:tc>
      </w:tr>
      <w:tr>
        <w:trPr>
          <w:trHeight w:val="250"/>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2019-2018</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due to change in total contract volume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Decrease due to change in average rate per contract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7"/>
        </w:trPr>
        <w:tc>
          <w:tcPr>
            <w:tcW w:w="9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clearing and transaction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Volume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250"/>
        </w:trPr>
        <w:tc>
          <w:tcPr>
            <w:tcW w:w="6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5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68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4"/>
                <w:szCs w:val="14"/>
                <w:b w:val="1"/>
                <w:bCs w:val="1"/>
                <w:color w:val="auto"/>
              </w:rPr>
              <w:t>2019-2018</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rates</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10,349</w:t>
            </w:r>
          </w:p>
        </w:tc>
        <w:tc>
          <w:tcPr>
            <w:tcW w:w="120" w:type="dxa"/>
            <w:vAlign w:val="bottom"/>
          </w:tcPr>
          <w:p>
            <w:pPr>
              <w:spacing w:after="0"/>
              <w:rPr>
                <w:sz w:val="21"/>
                <w:szCs w:val="21"/>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9,951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6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indexes</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3,589</w:t>
            </w:r>
          </w:p>
        </w:tc>
        <w:tc>
          <w:tcPr>
            <w:tcW w:w="168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1,004</w:t>
            </w:r>
          </w:p>
        </w:tc>
        <w:tc>
          <w:tcPr>
            <w:tcW w:w="1680" w:type="dxa"/>
            <w:vAlign w:val="bottom"/>
            <w:gridSpan w:val="2"/>
          </w:tcPr>
          <w:p>
            <w:pPr>
              <w:jc w:val="right"/>
              <w:ind w:right="76"/>
              <w:spacing w:after="0"/>
              <w:rPr>
                <w:sz w:val="20"/>
                <w:szCs w:val="20"/>
                <w:color w:val="auto"/>
              </w:rPr>
            </w:pPr>
            <w:r>
              <w:rPr>
                <w:rFonts w:ascii="Arial" w:cs="Arial" w:eastAsia="Arial" w:hAnsi="Arial"/>
                <w:sz w:val="18"/>
                <w:szCs w:val="18"/>
                <w:color w:val="auto"/>
              </w:rPr>
              <w:t>(14)</w:t>
            </w:r>
          </w:p>
        </w:tc>
      </w:tr>
      <w:tr>
        <w:trPr>
          <w:trHeight w:val="27"/>
        </w:trPr>
        <w:tc>
          <w:tcPr>
            <w:tcW w:w="6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commodities</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1,480</w:t>
            </w:r>
          </w:p>
        </w:tc>
        <w:tc>
          <w:tcPr>
            <w:tcW w:w="168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Energy</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21"/>
                <w:szCs w:val="21"/>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2,561</w:t>
            </w:r>
          </w:p>
        </w:tc>
        <w:tc>
          <w:tcPr>
            <w:tcW w:w="1680" w:type="dxa"/>
            <w:vAlign w:val="bottom"/>
            <w:gridSpan w:val="2"/>
          </w:tcPr>
          <w:p>
            <w:pPr>
              <w:jc w:val="right"/>
              <w:ind w:right="76"/>
              <w:spacing w:after="0"/>
              <w:rPr>
                <w:sz w:val="20"/>
                <w:szCs w:val="20"/>
                <w:color w:val="auto"/>
              </w:rPr>
            </w:pPr>
            <w:r>
              <w:rPr>
                <w:rFonts w:ascii="Arial" w:cs="Arial" w:eastAsia="Arial" w:hAnsi="Arial"/>
                <w:sz w:val="18"/>
                <w:szCs w:val="18"/>
                <w:color w:val="auto"/>
              </w:rPr>
              <w:t>(7)</w:t>
            </w:r>
          </w:p>
        </w:tc>
      </w:tr>
      <w:tr>
        <w:trPr>
          <w:trHeight w:val="27"/>
        </w:trPr>
        <w:tc>
          <w:tcPr>
            <w:tcW w:w="6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Metals</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639</w:t>
            </w:r>
          </w:p>
        </w:tc>
        <w:tc>
          <w:tcPr>
            <w:tcW w:w="168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19,167</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19,224</w:t>
            </w:r>
          </w:p>
        </w:tc>
        <w:tc>
          <w:tcPr>
            <w:tcW w:w="100" w:type="dxa"/>
            <w:vAlign w:val="bottom"/>
          </w:tcPr>
          <w:p>
            <w:pPr>
              <w:spacing w:after="0"/>
              <w:rPr>
                <w:sz w:val="20"/>
                <w:szCs w:val="20"/>
                <w:color w:val="auto"/>
              </w:rPr>
            </w:pPr>
          </w:p>
        </w:tc>
        <w:tc>
          <w:tcPr>
            <w:tcW w:w="1580" w:type="dxa"/>
            <w:vAlign w:val="bottom"/>
          </w:tcPr>
          <w:p>
            <w:pPr>
              <w:jc w:val="right"/>
              <w:ind w:right="136"/>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Globex</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17,182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17,371</w:t>
            </w:r>
          </w:p>
        </w:tc>
        <w:tc>
          <w:tcPr>
            <w:tcW w:w="168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Open outcry</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1"/>
                <w:szCs w:val="21"/>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1,168</w:t>
            </w:r>
          </w:p>
        </w:tc>
        <w:tc>
          <w:tcPr>
            <w:tcW w:w="1680" w:type="dxa"/>
            <w:vAlign w:val="bottom"/>
            <w:gridSpan w:val="2"/>
          </w:tcPr>
          <w:p>
            <w:pPr>
              <w:jc w:val="right"/>
              <w:ind w:right="136"/>
              <w:spacing w:after="0"/>
              <w:rPr>
                <w:sz w:val="20"/>
                <w:szCs w:val="20"/>
                <w:color w:val="auto"/>
              </w:rPr>
            </w:pPr>
            <w:r>
              <w:rPr>
                <w:rFonts w:ascii="Arial" w:cs="Arial" w:eastAsia="Arial" w:hAnsi="Arial"/>
                <w:sz w:val="18"/>
                <w:szCs w:val="18"/>
                <w:color w:val="auto"/>
              </w:rPr>
              <w:t>3</w:t>
            </w:r>
          </w:p>
        </w:tc>
      </w:tr>
      <w:tr>
        <w:trPr>
          <w:trHeight w:val="27"/>
        </w:trPr>
        <w:tc>
          <w:tcPr>
            <w:tcW w:w="6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Privately negotiated</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685</w:t>
            </w:r>
          </w:p>
        </w:tc>
        <w:tc>
          <w:tcPr>
            <w:tcW w:w="168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14</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19,167</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19,224</w:t>
            </w:r>
          </w:p>
        </w:tc>
        <w:tc>
          <w:tcPr>
            <w:tcW w:w="100" w:type="dxa"/>
            <w:vAlign w:val="bottom"/>
          </w:tcPr>
          <w:p>
            <w:pPr>
              <w:spacing w:after="0"/>
              <w:rPr>
                <w:sz w:val="20"/>
                <w:szCs w:val="20"/>
                <w:color w:val="auto"/>
              </w:rPr>
            </w:pPr>
          </w:p>
        </w:tc>
        <w:tc>
          <w:tcPr>
            <w:tcW w:w="1580" w:type="dxa"/>
            <w:vAlign w:val="bottom"/>
          </w:tcPr>
          <w:p>
            <w:pPr>
              <w:jc w:val="right"/>
              <w:ind w:right="136"/>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Electronic Volume as a Percentage of Total Volume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7"/>
        </w:trPr>
        <w:tc>
          <w:tcPr>
            <w:tcW w:w="65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2019, volatility spiked in mid-2019 following a shift in expectations surrounding the Federal Reserve's interest rate policies. In mid-2019, the Federal Reserve began cutting interest rates following earlier indications that it intended to continue to slowly increase interest rates throughout 2019. Uncertainty surrounding the United States' foreign trade policy also increased mid-2019 following the threat of additional tariffs. By the fourth quarter, market volatility generally declined as uncertainty surrounding the Federal Reserve's interest rate policy subsided. Uncertainty surrounding the foreign trade policy also diminished following a preliminary trade agreement between the United States and China at the end of 2019. We believe the net result of these factors lead to overall volume remaining relatively flat in 2019 when compared with 2018.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contracts include contracts expiring within two years. Eurodollar back 32 contracts include contracts expiring within three to ten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Year-over-Year Change</w:t>
            </w:r>
          </w:p>
        </w:tc>
      </w:tr>
      <w:tr>
        <w:trPr>
          <w:trHeight w:val="250"/>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35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6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2019-2018</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3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3580" w:type="dxa"/>
            <w:vAlign w:val="bottom"/>
          </w:tcPr>
          <w:p>
            <w:pPr>
              <w:jc w:val="right"/>
              <w:ind w:right="272"/>
              <w:spacing w:after="0"/>
              <w:rPr>
                <w:sz w:val="20"/>
                <w:szCs w:val="20"/>
                <w:color w:val="auto"/>
              </w:rPr>
            </w:pPr>
            <w:r>
              <w:rPr>
                <w:rFonts w:ascii="Arial" w:cs="Arial" w:eastAsia="Arial" w:hAnsi="Arial"/>
                <w:sz w:val="18"/>
                <w:szCs w:val="18"/>
                <w:color w:val="auto"/>
              </w:rPr>
              <w:t>1,997</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2,131</w:t>
            </w: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8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35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661</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839</w:t>
            </w:r>
          </w:p>
        </w:tc>
        <w:tc>
          <w:tcPr>
            <w:tcW w:w="16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Options</w:t>
            </w:r>
          </w:p>
        </w:tc>
        <w:tc>
          <w:tcPr>
            <w:tcW w:w="3580" w:type="dxa"/>
            <w:vAlign w:val="bottom"/>
          </w:tcPr>
          <w:p>
            <w:pPr>
              <w:jc w:val="right"/>
              <w:ind w:right="272"/>
              <w:spacing w:after="0"/>
              <w:rPr>
                <w:sz w:val="20"/>
                <w:szCs w:val="20"/>
                <w:color w:val="auto"/>
              </w:rPr>
            </w:pPr>
            <w:r>
              <w:rPr>
                <w:rFonts w:ascii="Arial" w:cs="Arial" w:eastAsia="Arial" w:hAnsi="Arial"/>
                <w:sz w:val="18"/>
                <w:szCs w:val="18"/>
                <w:color w:val="auto"/>
              </w:rPr>
              <w:t>1,685</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1,416</w:t>
            </w: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19</w:t>
            </w:r>
          </w:p>
        </w:tc>
      </w:tr>
      <w:tr>
        <w:trPr>
          <w:trHeight w:val="27"/>
        </w:trPr>
        <w:tc>
          <w:tcPr>
            <w:tcW w:w="48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3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10-Year</w:t>
            </w:r>
          </w:p>
        </w:tc>
        <w:tc>
          <w:tcPr>
            <w:tcW w:w="3580" w:type="dxa"/>
            <w:vAlign w:val="bottom"/>
          </w:tcPr>
          <w:p>
            <w:pPr>
              <w:jc w:val="right"/>
              <w:ind w:right="272"/>
              <w:spacing w:after="0"/>
              <w:rPr>
                <w:sz w:val="20"/>
                <w:szCs w:val="20"/>
                <w:color w:val="auto"/>
              </w:rPr>
            </w:pPr>
            <w:r>
              <w:rPr>
                <w:rFonts w:ascii="Arial" w:cs="Arial" w:eastAsia="Arial" w:hAnsi="Arial"/>
                <w:sz w:val="18"/>
                <w:szCs w:val="18"/>
                <w:color w:val="auto"/>
              </w:rPr>
              <w:t>2,324</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2,363</w:t>
            </w:r>
          </w:p>
        </w:tc>
        <w:tc>
          <w:tcPr>
            <w:tcW w:w="1600" w:type="dxa"/>
            <w:vAlign w:val="bottom"/>
          </w:tcPr>
          <w:p>
            <w:pPr>
              <w:jc w:val="right"/>
              <w:ind w:right="94"/>
              <w:spacing w:after="0"/>
              <w:rPr>
                <w:sz w:val="20"/>
                <w:szCs w:val="20"/>
                <w:color w:val="auto"/>
              </w:rPr>
            </w:pPr>
            <w:r>
              <w:rPr>
                <w:rFonts w:ascii="Arial" w:cs="Arial" w:eastAsia="Arial" w:hAnsi="Arial"/>
                <w:sz w:val="18"/>
                <w:szCs w:val="18"/>
                <w:color w:val="auto"/>
              </w:rPr>
              <w:t>(2)</w:t>
            </w:r>
          </w:p>
        </w:tc>
      </w:tr>
      <w:tr>
        <w:trPr>
          <w:trHeight w:val="27"/>
        </w:trPr>
        <w:tc>
          <w:tcPr>
            <w:tcW w:w="48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35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1,358</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1,285</w:t>
            </w:r>
          </w:p>
        </w:tc>
        <w:tc>
          <w:tcPr>
            <w:tcW w:w="16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2-Year</w:t>
            </w:r>
          </w:p>
        </w:tc>
        <w:tc>
          <w:tcPr>
            <w:tcW w:w="3580" w:type="dxa"/>
            <w:vAlign w:val="bottom"/>
          </w:tcPr>
          <w:p>
            <w:pPr>
              <w:jc w:val="right"/>
              <w:ind w:right="272"/>
              <w:spacing w:after="0"/>
              <w:rPr>
                <w:sz w:val="20"/>
                <w:szCs w:val="20"/>
                <w:color w:val="auto"/>
              </w:rPr>
            </w:pPr>
            <w:r>
              <w:rPr>
                <w:rFonts w:ascii="Arial" w:cs="Arial" w:eastAsia="Arial" w:hAnsi="Arial"/>
                <w:sz w:val="18"/>
                <w:szCs w:val="18"/>
                <w:color w:val="auto"/>
              </w:rPr>
              <w:t>749</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560</w:t>
            </w: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34</w:t>
            </w:r>
          </w:p>
        </w:tc>
      </w:tr>
      <w:tr>
        <w:trPr>
          <w:trHeight w:val="27"/>
        </w:trPr>
        <w:tc>
          <w:tcPr>
            <w:tcW w:w="48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bond</w:t>
            </w:r>
          </w:p>
        </w:tc>
        <w:tc>
          <w:tcPr>
            <w:tcW w:w="35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467</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484</w:t>
            </w:r>
          </w:p>
        </w:tc>
        <w:tc>
          <w:tcPr>
            <w:tcW w:w="16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Federal Funds futures and options</w:t>
            </w:r>
          </w:p>
        </w:tc>
        <w:tc>
          <w:tcPr>
            <w:tcW w:w="3580" w:type="dxa"/>
            <w:vAlign w:val="bottom"/>
          </w:tcPr>
          <w:p>
            <w:pPr>
              <w:jc w:val="right"/>
              <w:ind w:right="272"/>
              <w:spacing w:after="0"/>
              <w:rPr>
                <w:sz w:val="20"/>
                <w:szCs w:val="20"/>
                <w:color w:val="auto"/>
              </w:rPr>
            </w:pPr>
            <w:r>
              <w:rPr>
                <w:rFonts w:ascii="Arial" w:cs="Arial" w:eastAsia="Arial" w:hAnsi="Arial"/>
                <w:sz w:val="18"/>
                <w:szCs w:val="18"/>
                <w:color w:val="auto"/>
              </w:rPr>
              <w:t>356</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259</w:t>
            </w: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2019 compared with 2018, overall interest rate contract volume increased slightly, particularly for short term contracts, due to volatility caused by continued uncertainty surrounding the Federal Reserve's interest rate policy. We believe volatility increased in the middle of 2019 due to a shift in market expectations at that time following the Federal Reserve's decision to initiate interest rate cuts as well as uncertainty surrounding the United State's future economic growth.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Index Products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equity index products. Volume below for the year ended 2019 includes Micro-E-mini contract volumes for each index beginning on May 6, 2019, which was the date the contracts were launched.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Year-over-Year Change</w:t>
            </w:r>
          </w:p>
        </w:tc>
      </w:tr>
      <w:tr>
        <w:trPr>
          <w:trHeight w:val="250"/>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33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16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33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2,338</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2,527</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3300" w:type="dxa"/>
            <w:vAlign w:val="bottom"/>
          </w:tcPr>
          <w:p>
            <w:pPr>
              <w:jc w:val="right"/>
              <w:ind w:right="274"/>
              <w:spacing w:after="0"/>
              <w:rPr>
                <w:sz w:val="20"/>
                <w:szCs w:val="20"/>
                <w:color w:val="auto"/>
              </w:rPr>
            </w:pPr>
            <w:r>
              <w:rPr>
                <w:rFonts w:ascii="Arial" w:cs="Arial" w:eastAsia="Arial" w:hAnsi="Arial"/>
                <w:sz w:val="18"/>
                <w:szCs w:val="18"/>
                <w:color w:val="auto"/>
              </w:rPr>
              <w:t>592</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504</w:t>
            </w:r>
          </w:p>
        </w:tc>
        <w:tc>
          <w:tcPr>
            <w:tcW w:w="1600" w:type="dxa"/>
            <w:vAlign w:val="bottom"/>
          </w:tcPr>
          <w:p>
            <w:pPr>
              <w:jc w:val="right"/>
              <w:ind w:right="157"/>
              <w:spacing w:after="0"/>
              <w:rPr>
                <w:sz w:val="20"/>
                <w:szCs w:val="20"/>
                <w:color w:val="auto"/>
              </w:rPr>
            </w:pPr>
            <w:r>
              <w:rPr>
                <w:rFonts w:ascii="Arial" w:cs="Arial" w:eastAsia="Arial" w:hAnsi="Arial"/>
                <w:sz w:val="18"/>
                <w:szCs w:val="18"/>
                <w:color w:val="auto"/>
              </w:rPr>
              <w:t>17</w:t>
            </w:r>
          </w:p>
        </w:tc>
      </w:tr>
      <w:tr>
        <w:trPr>
          <w:trHeight w:val="27"/>
        </w:trPr>
        <w:tc>
          <w:tcPr>
            <w:tcW w:w="51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E-mini Russell 2000 futures and options</w:t>
            </w:r>
          </w:p>
        </w:tc>
        <w:tc>
          <w:tcPr>
            <w:tcW w:w="33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168</w:t>
            </w: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153</w:t>
            </w:r>
          </w:p>
        </w:tc>
        <w:tc>
          <w:tcPr>
            <w:tcW w:w="16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w:t>
            </w:r>
          </w:p>
        </w:tc>
      </w:tr>
      <w:tr>
        <w:trPr>
          <w:trHeight w:val="27"/>
        </w:trPr>
        <w:tc>
          <w:tcPr>
            <w:tcW w:w="516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2019 compared with 2018, equity index contract volume decreased slightly due to lower overall volatility in the equity market in 2019, particularly in the fourth quarter. Volatility levels were higher in 2018 due to uncertainty surrounding the United States' foreign trade and other economic policies; however, the volatility leveled off at the end of 2019. The overall decrease in volume was partially offset by additional volume generated from the launch of Micro-E-mini equity index contracts in the second quarter of 2019, which have a notional size of one-tenth of the traditional E-mini contracts. Average daily contract volume in 2019 included approximately 317,000 in Micro-E-mini equity index contracts.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Year-over-Year Change</w:t>
            </w:r>
          </w:p>
        </w:tc>
      </w:tr>
      <w:tr>
        <w:trPr>
          <w:trHeight w:val="250"/>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41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2019-2018</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41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232</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308</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4100" w:type="dxa"/>
            <w:vAlign w:val="bottom"/>
          </w:tcPr>
          <w:p>
            <w:pPr>
              <w:jc w:val="right"/>
              <w:ind w:right="274"/>
              <w:spacing w:after="0"/>
              <w:rPr>
                <w:sz w:val="20"/>
                <w:szCs w:val="20"/>
                <w:color w:val="auto"/>
              </w:rPr>
            </w:pPr>
            <w:r>
              <w:rPr>
                <w:rFonts w:ascii="Arial" w:cs="Arial" w:eastAsia="Arial" w:hAnsi="Arial"/>
                <w:sz w:val="18"/>
                <w:szCs w:val="18"/>
                <w:color w:val="auto"/>
              </w:rPr>
              <w:t>139</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159</w:t>
            </w:r>
          </w:p>
        </w:tc>
        <w:tc>
          <w:tcPr>
            <w:tcW w:w="1600" w:type="dxa"/>
            <w:vAlign w:val="bottom"/>
          </w:tcPr>
          <w:p>
            <w:pPr>
              <w:jc w:val="right"/>
              <w:ind w:right="96"/>
              <w:spacing w:after="0"/>
              <w:rPr>
                <w:sz w:val="20"/>
                <w:szCs w:val="20"/>
                <w:color w:val="auto"/>
              </w:rPr>
            </w:pPr>
            <w:r>
              <w:rPr>
                <w:rFonts w:ascii="Arial" w:cs="Arial" w:eastAsia="Arial" w:hAnsi="Arial"/>
                <w:sz w:val="18"/>
                <w:szCs w:val="18"/>
                <w:color w:val="auto"/>
              </w:rPr>
              <w:t>(13)</w:t>
            </w:r>
          </w:p>
        </w:tc>
      </w:tr>
      <w:tr>
        <w:trPr>
          <w:trHeight w:val="27"/>
        </w:trPr>
        <w:tc>
          <w:tcPr>
            <w:tcW w:w="43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41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129</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142</w:t>
            </w:r>
          </w:p>
        </w:tc>
        <w:tc>
          <w:tcPr>
            <w:tcW w:w="16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4100" w:type="dxa"/>
            <w:vAlign w:val="bottom"/>
          </w:tcPr>
          <w:p>
            <w:pPr>
              <w:jc w:val="right"/>
              <w:ind w:right="274"/>
              <w:spacing w:after="0"/>
              <w:rPr>
                <w:sz w:val="20"/>
                <w:szCs w:val="20"/>
                <w:color w:val="auto"/>
              </w:rPr>
            </w:pPr>
            <w:r>
              <w:rPr>
                <w:rFonts w:ascii="Arial" w:cs="Arial" w:eastAsia="Arial" w:hAnsi="Arial"/>
                <w:sz w:val="18"/>
                <w:szCs w:val="18"/>
                <w:color w:val="auto"/>
              </w:rPr>
              <w:t>105</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118</w:t>
            </w:r>
          </w:p>
        </w:tc>
        <w:tc>
          <w:tcPr>
            <w:tcW w:w="1600" w:type="dxa"/>
            <w:vAlign w:val="bottom"/>
          </w:tcPr>
          <w:p>
            <w:pPr>
              <w:jc w:val="right"/>
              <w:ind w:right="96"/>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2019 compared with 2018, overall foreign exchange contract volume decreased, which we believe resulted from lower overall volatility following periods of higher volatility in early 2018. We believe foreign exchange volatility decreased in 2019 following the indication by the Federal Reserve and other central banks to limit the number of interest rate changes in 2019. We also believe that the lack of a final resolution of a trade agreement between the United States and China and the delay in the United Kingdom European Union membership referendum contributed to lower volume.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Year-over-Year Change</w:t>
            </w:r>
          </w:p>
        </w:tc>
      </w:tr>
      <w:tr>
        <w:trPr>
          <w:trHeight w:val="250"/>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412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16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2019-2018</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412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525</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Soybean</w:t>
            </w:r>
          </w:p>
        </w:tc>
        <w:tc>
          <w:tcPr>
            <w:tcW w:w="4120" w:type="dxa"/>
            <w:vAlign w:val="bottom"/>
          </w:tcPr>
          <w:p>
            <w:pPr>
              <w:jc w:val="right"/>
              <w:ind w:right="274"/>
              <w:spacing w:after="0"/>
              <w:rPr>
                <w:sz w:val="20"/>
                <w:szCs w:val="20"/>
                <w:color w:val="auto"/>
              </w:rPr>
            </w:pPr>
            <w:r>
              <w:rPr>
                <w:rFonts w:ascii="Arial" w:cs="Arial" w:eastAsia="Arial" w:hAnsi="Arial"/>
                <w:sz w:val="18"/>
                <w:szCs w:val="18"/>
                <w:color w:val="auto"/>
              </w:rPr>
              <w:t>263</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305</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(14)</w:t>
            </w:r>
          </w:p>
        </w:tc>
      </w:tr>
      <w:tr>
        <w:trPr>
          <w:trHeight w:val="27"/>
        </w:trPr>
        <w:tc>
          <w:tcPr>
            <w:tcW w:w="4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41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215</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248</w:t>
            </w:r>
          </w:p>
        </w:tc>
        <w:tc>
          <w:tcPr>
            <w:tcW w:w="1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(13)</w:t>
            </w:r>
          </w:p>
        </w:tc>
      </w:tr>
      <w:tr>
        <w:trPr>
          <w:trHeight w:val="27"/>
        </w:trPr>
        <w:tc>
          <w:tcPr>
            <w:tcW w:w="43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Overall commodity contract volume decreased slightly in 2019 when compared with 2018. We believe the decline in soybean contract volume was due to lower U.S. exports of soybeans to China due to uncertainty surrounding trade policies between the countries. The decrease in wheat contract volume was due to lower volatility levels resulting from a surplus of global supplies in major growing regions around the world. Corn contract volume increased due to significant uncertainty surrounding crop yields for the 2019 growing season due to higher than normal precipitation levels.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Year-over-Year Change</w:t>
            </w:r>
          </w:p>
        </w:tc>
      </w:tr>
      <w:tr>
        <w:trPr>
          <w:trHeight w:val="250"/>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41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16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2019-2018</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410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1,329</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1,439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4100" w:type="dxa"/>
            <w:vAlign w:val="bottom"/>
          </w:tcPr>
          <w:p>
            <w:pPr>
              <w:jc w:val="right"/>
              <w:ind w:right="274"/>
              <w:spacing w:after="0"/>
              <w:rPr>
                <w:sz w:val="20"/>
                <w:szCs w:val="20"/>
                <w:color w:val="auto"/>
              </w:rPr>
            </w:pPr>
            <w:r>
              <w:rPr>
                <w:rFonts w:ascii="Arial" w:cs="Arial" w:eastAsia="Arial" w:hAnsi="Arial"/>
                <w:sz w:val="18"/>
                <w:szCs w:val="18"/>
                <w:color w:val="auto"/>
              </w:rPr>
              <w:t>529</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594</w:t>
            </w:r>
          </w:p>
        </w:tc>
        <w:tc>
          <w:tcPr>
            <w:tcW w:w="1600" w:type="dxa"/>
            <w:vAlign w:val="bottom"/>
          </w:tcPr>
          <w:p>
            <w:pPr>
              <w:jc w:val="right"/>
              <w:ind w:right="97"/>
              <w:spacing w:after="0"/>
              <w:rPr>
                <w:sz w:val="20"/>
                <w:szCs w:val="20"/>
                <w:color w:val="auto"/>
              </w:rPr>
            </w:pPr>
            <w:r>
              <w:rPr>
                <w:rFonts w:ascii="Arial" w:cs="Arial" w:eastAsia="Arial" w:hAnsi="Arial"/>
                <w:sz w:val="18"/>
                <w:szCs w:val="18"/>
                <w:color w:val="auto"/>
              </w:rPr>
              <w:t>(11)</w:t>
            </w:r>
          </w:p>
        </w:tc>
      </w:tr>
      <w:tr>
        <w:trPr>
          <w:trHeight w:val="27"/>
        </w:trPr>
        <w:tc>
          <w:tcPr>
            <w:tcW w:w="43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41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381</w:t>
            </w: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398</w:t>
            </w:r>
          </w:p>
        </w:tc>
        <w:tc>
          <w:tcPr>
            <w:tcW w:w="16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w:t>
            </w:r>
          </w:p>
        </w:tc>
      </w:tr>
      <w:tr>
        <w:trPr>
          <w:trHeight w:val="27"/>
        </w:trPr>
        <w:tc>
          <w:tcPr>
            <w:tcW w:w="436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Overall energy contract volume decreased in 2019 when compared with 2018, which we believe was due to lower price volatility within the energy markets throughout 2019 caused by greater price stability within the crude oil markets. In addition, expanded production of natural gas resulted in a reduction of price volatility in early 2019, which we believe contributed to a decrease in natural gas volume.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Year-over-Year Change</w:t>
            </w:r>
          </w:p>
        </w:tc>
      </w:tr>
      <w:tr>
        <w:trPr>
          <w:trHeight w:val="250"/>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412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16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2019-2018</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12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433</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Silver</w:t>
            </w:r>
          </w:p>
        </w:tc>
        <w:tc>
          <w:tcPr>
            <w:tcW w:w="4120" w:type="dxa"/>
            <w:vAlign w:val="bottom"/>
          </w:tcPr>
          <w:p>
            <w:pPr>
              <w:jc w:val="right"/>
              <w:ind w:right="274"/>
              <w:spacing w:after="0"/>
              <w:rPr>
                <w:sz w:val="20"/>
                <w:szCs w:val="20"/>
                <w:color w:val="auto"/>
              </w:rPr>
            </w:pPr>
            <w:r>
              <w:rPr>
                <w:rFonts w:ascii="Arial" w:cs="Arial" w:eastAsia="Arial" w:hAnsi="Arial"/>
                <w:sz w:val="18"/>
                <w:szCs w:val="18"/>
                <w:color w:val="auto"/>
              </w:rPr>
              <w:t>107</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1600" w:type="dxa"/>
            <w:vAlign w:val="bottom"/>
          </w:tcPr>
          <w:p>
            <w:pPr>
              <w:jc w:val="right"/>
              <w:ind w:right="137"/>
              <w:spacing w:after="0"/>
              <w:rPr>
                <w:sz w:val="20"/>
                <w:szCs w:val="20"/>
                <w:color w:val="auto"/>
              </w:rPr>
            </w:pPr>
            <w:r>
              <w:rPr>
                <w:rFonts w:ascii="Arial" w:cs="Arial" w:eastAsia="Arial" w:hAnsi="Arial"/>
                <w:sz w:val="18"/>
                <w:szCs w:val="18"/>
                <w:color w:val="auto"/>
              </w:rPr>
              <w:t>3</w:t>
            </w:r>
          </w:p>
        </w:tc>
      </w:tr>
      <w:tr>
        <w:trPr>
          <w:trHeight w:val="27"/>
        </w:trPr>
        <w:tc>
          <w:tcPr>
            <w:tcW w:w="4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41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98</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(25)</w:t>
            </w:r>
          </w:p>
        </w:tc>
      </w:tr>
      <w:tr>
        <w:trPr>
          <w:trHeight w:val="27"/>
        </w:trPr>
        <w:tc>
          <w:tcPr>
            <w:tcW w:w="43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Overall metal contract volume increased in 2019 when compared with 2018 due to an increase in metals price volatility caused by investors using gold and other precious metals as safe-haven alternative investments to other volatile markets, particularly in mid-2019.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Rate per Contract</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average rate per contract decreased in 2019 when compared with 2018, which is largely due to a shift in product mix. Interest rate contract volume increased by 2 percentage points as a percent of total volume, while all other products collectively decreased by 2 percentage points. In general, interest rate products have a lower rate per contract compared with the remaining contracts. The decrease in average rate per contract was also due to the introduction of the micro-E-mini equity index contracts, which have a lower average rate per contract compared with a standard E-mini contract. Micro-E-mini equity index contracts have a notional size of one-tenth of the traditional E-mini contracts.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Markets Business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Total clearing and transaction fees revenue in 2019 includes $483.0 million of transaction fees attributable to the cash markets business acquired from NEX compared with $91.2 million for the period November 3, 2018 through December 31, 2018. This revenue primarily includes BrokerTec Americas' fixed income volume and EBS foreign exchange volume.</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millions)</w:t>
            </w:r>
          </w:p>
        </w:tc>
        <w:tc>
          <w:tcPr>
            <w:tcW w:w="2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51"/>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BrokerTec Americas' fixed income transaction fees</w:t>
            </w:r>
          </w:p>
        </w:tc>
        <w:tc>
          <w:tcPr>
            <w:tcW w:w="25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191.5</w:t>
            </w:r>
          </w:p>
        </w:tc>
        <w:tc>
          <w:tcPr>
            <w:tcW w:w="4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15"/>
        </w:trPr>
        <w:tc>
          <w:tcPr>
            <w:tcW w:w="5940" w:type="dxa"/>
            <w:vAlign w:val="bottom"/>
            <w:tcBorders>
              <w:bottom w:val="single" w:sz="8" w:color="CCEEFF"/>
            </w:tcBorders>
            <w:shd w:val="clear" w:color="auto" w:fill="CCEEFF"/>
          </w:tcPr>
          <w:p>
            <w:pPr>
              <w:spacing w:after="0"/>
              <w:rPr>
                <w:sz w:val="10"/>
                <w:szCs w:val="10"/>
                <w:color w:val="auto"/>
              </w:rPr>
            </w:pPr>
          </w:p>
        </w:tc>
        <w:tc>
          <w:tcPr>
            <w:tcW w:w="2560" w:type="dxa"/>
            <w:vAlign w:val="bottom"/>
            <w:tcBorders>
              <w:bottom w:val="single" w:sz="8" w:color="CCEEFF"/>
            </w:tcBorders>
            <w:vMerge w:val="continue"/>
            <w:shd w:val="clear" w:color="auto" w:fill="CCEEFF"/>
          </w:tcPr>
          <w:p>
            <w:pPr>
              <w:spacing w:after="0"/>
              <w:rPr>
                <w:sz w:val="10"/>
                <w:szCs w:val="10"/>
                <w:color w:val="auto"/>
              </w:rPr>
            </w:pPr>
          </w:p>
        </w:tc>
        <w:tc>
          <w:tcPr>
            <w:tcW w:w="1240" w:type="dxa"/>
            <w:vAlign w:val="bottom"/>
            <w:tcBorders>
              <w:bottom w:val="single" w:sz="8" w:color="CCEEFF"/>
            </w:tcBorders>
            <w:vMerge w:val="continue"/>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12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5940" w:type="dxa"/>
            <w:vAlign w:val="bottom"/>
          </w:tcPr>
          <w:p>
            <w:pPr>
              <w:ind w:left="40"/>
              <w:spacing w:after="0"/>
              <w:rPr>
                <w:sz w:val="20"/>
                <w:szCs w:val="20"/>
                <w:color w:val="auto"/>
              </w:rPr>
            </w:pPr>
            <w:r>
              <w:rPr>
                <w:rFonts w:ascii="Arial" w:cs="Arial" w:eastAsia="Arial" w:hAnsi="Arial"/>
                <w:sz w:val="18"/>
                <w:szCs w:val="18"/>
                <w:color w:val="auto"/>
              </w:rPr>
              <w:t>EBS foreign exchange transaction fees</w:t>
            </w:r>
          </w:p>
        </w:tc>
        <w:tc>
          <w:tcPr>
            <w:tcW w:w="2560" w:type="dxa"/>
            <w:vAlign w:val="bottom"/>
          </w:tcPr>
          <w:p>
            <w:pPr>
              <w:spacing w:after="0"/>
              <w:rPr>
                <w:sz w:val="24"/>
                <w:szCs w:val="24"/>
                <w:color w:val="auto"/>
              </w:rPr>
            </w:pPr>
          </w:p>
        </w:tc>
        <w:tc>
          <w:tcPr>
            <w:tcW w:w="1240" w:type="dxa"/>
            <w:vAlign w:val="bottom"/>
            <w:vMerge w:val="restart"/>
          </w:tcPr>
          <w:p>
            <w:pPr>
              <w:jc w:val="right"/>
              <w:ind w:right="36"/>
              <w:spacing w:after="0"/>
              <w:rPr>
                <w:sz w:val="20"/>
                <w:szCs w:val="20"/>
                <w:color w:val="auto"/>
              </w:rPr>
            </w:pPr>
            <w:r>
              <w:rPr>
                <w:rFonts w:ascii="Arial" w:cs="Arial" w:eastAsia="Arial" w:hAnsi="Arial"/>
                <w:sz w:val="18"/>
                <w:szCs w:val="18"/>
                <w:color w:val="auto"/>
              </w:rPr>
              <w:t>191.8</w:t>
            </w:r>
          </w:p>
        </w:tc>
        <w:tc>
          <w:tcPr>
            <w:tcW w:w="480" w:type="dxa"/>
            <w:vAlign w:val="bottom"/>
          </w:tcPr>
          <w:p>
            <w:pPr>
              <w:spacing w:after="0"/>
              <w:rPr>
                <w:sz w:val="24"/>
                <w:szCs w:val="24"/>
                <w:color w:val="auto"/>
              </w:rPr>
            </w:pPr>
          </w:p>
        </w:tc>
        <w:tc>
          <w:tcPr>
            <w:tcW w:w="1200" w:type="dxa"/>
            <w:vAlign w:val="bottom"/>
            <w:vMerge w:val="restart"/>
          </w:tcPr>
          <w:p>
            <w:pPr>
              <w:jc w:val="right"/>
              <w:ind w:right="16"/>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08"/>
        </w:trPr>
        <w:tc>
          <w:tcPr>
            <w:tcW w:w="59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related average daily notional value for the year ended 2019 and the period November 3, 2018 through December 31, 2018 were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billions)</w:t>
            </w:r>
          </w:p>
        </w:tc>
        <w:tc>
          <w:tcPr>
            <w:tcW w:w="3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w:t>
            </w:r>
          </w:p>
        </w:tc>
        <w:tc>
          <w:tcPr>
            <w:tcW w:w="3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164.8</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European Repo (in euros)</w:t>
            </w:r>
          </w:p>
        </w:tc>
        <w:tc>
          <w:tcPr>
            <w:tcW w:w="34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269.6</w:t>
            </w:r>
          </w:p>
        </w:tc>
        <w:tc>
          <w:tcPr>
            <w:tcW w:w="4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253.6</w:t>
            </w:r>
          </w:p>
        </w:tc>
      </w:tr>
      <w:tr>
        <w:trPr>
          <w:trHeight w:val="27"/>
        </w:trPr>
        <w:tc>
          <w:tcPr>
            <w:tcW w:w="5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Spot FX</w:t>
            </w:r>
          </w:p>
        </w:tc>
        <w:tc>
          <w:tcPr>
            <w:tcW w:w="3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75.1</w:t>
            </w: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79.0</w:t>
            </w:r>
          </w:p>
        </w:tc>
      </w:tr>
      <w:tr>
        <w:trPr>
          <w:trHeight w:val="27"/>
        </w:trPr>
        <w:tc>
          <w:tcPr>
            <w:tcW w:w="50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bill a significant portion of our clearing and transaction fees to our clearing firms. The majority of clearing and transaction fees received from clearing firms represent charges for trades executed and cleared on behalf of their customers. No individual clearing firm represented at least 10% of our clearing and transaction fees in 2019.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02"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In 2019 when compared with 2018, the increase in market data and information services revenue was attributable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additional market data revenue generated by market data subscribers and distributors associated with the cash markets business subsequent to the NEX acquisition in November 2018. In addition, fees for legacy CME basic real-time market data services increased to $105 per month from $85 per month for each device beginning in the second quarter of 2018, which also contributed to the increase in revenue in 2019 compared with 2018. The increase was partially offset by a reduction in revenue due to modest declines in screen counts due to cost-cutting initiatives at member firms.</w:t>
      </w:r>
    </w:p>
    <w:p>
      <w:pPr>
        <w:spacing w:after="0" w:line="13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two largest resellers of our market data represented, in aggregate, 37% of our market data and information services revenue in 2019.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The increase in other revenues in 2019 when compared with 2018 is largely attributable to the additional other revenue contributed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NEX acquisition. Other revenues from NEX primarily include optimization services such as portfolio management, analytics, and trade and regulatory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r>
      <w:tr>
        <w:trPr>
          <w:trHeight w:val="250"/>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c>
          <w:tcPr>
            <w:tcW w:w="212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2019-2018</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672.2</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117.2</w:t>
            </w:r>
          </w:p>
        </w:tc>
        <w:tc>
          <w:tcPr>
            <w:tcW w:w="2120" w:type="dxa"/>
            <w:vAlign w:val="bottom"/>
            <w:gridSpan w:val="2"/>
          </w:tcPr>
          <w:p>
            <w:pPr>
              <w:jc w:val="right"/>
              <w:ind w:right="108"/>
              <w:spacing w:after="0"/>
              <w:rPr>
                <w:sz w:val="20"/>
                <w:szCs w:val="20"/>
                <w:color w:val="auto"/>
              </w:rPr>
            </w:pPr>
            <w:r>
              <w:rPr>
                <w:rFonts w:ascii="Arial" w:cs="Arial" w:eastAsia="Arial" w:hAnsi="Arial"/>
                <w:sz w:val="18"/>
                <w:szCs w:val="18"/>
                <w:color w:val="auto"/>
              </w:rPr>
              <w:t>72</w:t>
            </w:r>
          </w:p>
        </w:tc>
      </w:tr>
      <w:tr>
        <w:trPr>
          <w:trHeight w:val="27"/>
        </w:trPr>
        <w:tc>
          <w:tcPr>
            <w:tcW w:w="5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w:t>
            </w:r>
          </w:p>
        </w:tc>
        <w:tc>
          <w:tcPr>
            <w:tcW w:w="21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130.0</w:t>
            </w:r>
          </w:p>
        </w:tc>
        <w:tc>
          <w:tcPr>
            <w:tcW w:w="2120" w:type="dxa"/>
            <w:vAlign w:val="bottom"/>
            <w:gridSpan w:val="2"/>
          </w:tcPr>
          <w:p>
            <w:pPr>
              <w:jc w:val="right"/>
              <w:ind w:right="108"/>
              <w:spacing w:after="0"/>
              <w:rPr>
                <w:sz w:val="20"/>
                <w:szCs w:val="20"/>
                <w:color w:val="auto"/>
              </w:rPr>
            </w:pPr>
            <w:r>
              <w:rPr>
                <w:rFonts w:ascii="Arial" w:cs="Arial" w:eastAsia="Arial" w:hAnsi="Arial"/>
                <w:sz w:val="18"/>
                <w:szCs w:val="18"/>
                <w:color w:val="auto"/>
              </w:rPr>
              <w:t>142</w:t>
            </w:r>
          </w:p>
        </w:tc>
      </w:tr>
      <w:tr>
        <w:trPr>
          <w:trHeight w:val="27"/>
        </w:trPr>
        <w:tc>
          <w:tcPr>
            <w:tcW w:w="5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w:t>
            </w:r>
          </w:p>
        </w:tc>
        <w:tc>
          <w:tcPr>
            <w:tcW w:w="21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170.6</w:t>
            </w:r>
          </w:p>
        </w:tc>
        <w:tc>
          <w:tcPr>
            <w:tcW w:w="2120" w:type="dxa"/>
            <w:vAlign w:val="bottom"/>
            <w:gridSpan w:val="2"/>
          </w:tcPr>
          <w:p>
            <w:pPr>
              <w:jc w:val="right"/>
              <w:ind w:right="108"/>
              <w:spacing w:after="0"/>
              <w:rPr>
                <w:sz w:val="20"/>
                <w:szCs w:val="20"/>
                <w:color w:val="auto"/>
              </w:rPr>
            </w:pPr>
            <w:r>
              <w:rPr>
                <w:rFonts w:ascii="Arial" w:cs="Arial" w:eastAsia="Arial" w:hAnsi="Arial"/>
                <w:sz w:val="18"/>
                <w:szCs w:val="18"/>
                <w:color w:val="auto"/>
              </w:rPr>
              <w:t>1</w:t>
            </w:r>
          </w:p>
        </w:tc>
      </w:tr>
      <w:tr>
        <w:trPr>
          <w:trHeight w:val="27"/>
        </w:trPr>
        <w:tc>
          <w:tcPr>
            <w:tcW w:w="5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327.0</w:t>
            </w:r>
          </w:p>
        </w:tc>
        <w:tc>
          <w:tcPr>
            <w:tcW w:w="21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2,280.2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1,701.8</w:t>
            </w:r>
          </w:p>
        </w:tc>
        <w:tc>
          <w:tcPr>
            <w:tcW w:w="2120" w:type="dxa"/>
            <w:vAlign w:val="bottom"/>
            <w:gridSpan w:val="2"/>
          </w:tcPr>
          <w:p>
            <w:pPr>
              <w:jc w:val="right"/>
              <w:ind w:right="108"/>
              <w:spacing w:after="0"/>
              <w:rPr>
                <w:sz w:val="20"/>
                <w:szCs w:val="20"/>
                <w:color w:val="auto"/>
              </w:rPr>
            </w:pPr>
            <w:r>
              <w:rPr>
                <w:rFonts w:ascii="Arial" w:cs="Arial" w:eastAsia="Arial" w:hAnsi="Arial"/>
                <w:sz w:val="18"/>
                <w:szCs w:val="18"/>
                <w:color w:val="auto"/>
              </w:rPr>
              <w:t>34</w:t>
            </w:r>
          </w:p>
        </w:tc>
      </w:tr>
      <w:tr>
        <w:trPr>
          <w:trHeight w:val="20"/>
        </w:trPr>
        <w:tc>
          <w:tcPr>
            <w:tcW w:w="5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expenses increased by $578.4 million in 2019 when compared with 2018. The following table shows the estimated impact of key factors resulting in the net increase in operating expenses.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Year-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over-Year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2018 Expenses</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benefits and employer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184.7</w:t>
            </w:r>
          </w:p>
        </w:tc>
        <w:tc>
          <w:tcPr>
            <w:tcW w:w="120" w:type="dxa"/>
            <w:vAlign w:val="bottom"/>
          </w:tcPr>
          <w:p>
            <w:pPr>
              <w:spacing w:after="0"/>
              <w:rPr>
                <w:sz w:val="21"/>
                <w:szCs w:val="21"/>
                <w:color w:val="auto"/>
              </w:rPr>
            </w:pPr>
          </w:p>
        </w:tc>
        <w:tc>
          <w:tcPr>
            <w:tcW w:w="1580" w:type="dxa"/>
            <w:vAlign w:val="bottom"/>
          </w:tcPr>
          <w:p>
            <w:pPr>
              <w:jc w:val="right"/>
              <w:ind w:right="15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Net losses on fixed assets and assets held for sale</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58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Bonus expense</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158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NEX integration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Foreign currency exchange rate fluctuation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1580" w:type="dxa"/>
            <w:vAlign w:val="bottom"/>
          </w:tcPr>
          <w:p>
            <w:pPr>
              <w:jc w:val="right"/>
              <w:ind w:right="9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NEX acquisition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Other expenses, net</w:t>
            </w: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158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578.4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expenses increased in 2019 compared with 2018 due to the following reasons:</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Compensation and benefits expense increased as a result of headcount added from the NEX acquisition in the fourth quarter of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Amortization of purchased intangibles related to the NEX acquisition accounted for the additional amortization expense.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Technology expense, specifically hardware and software maintenance expense, was higher largely due to the addition of our NEX operations.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2019, we recognized higher impairment losses on certain fixed assets and net losses on assets held for sale compared to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Occupancy and building operations expense increased due to the inclusion of leases for our NEX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Bonus expense increased in 2019 largely due to the headcount added as part of the NEX acquisition.</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Integration costs increased following the NEX acquisition in the fourth quarter of 2018. These costs primarily consisted of professional and legal fees incurred to support the post-acquisition integration efforts during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Decreases in operating expenses in 2019 when compared with 2018 were as follows:</w:t>
      </w:r>
    </w:p>
    <w:p>
      <w:pPr>
        <w:spacing w:after="0" w:line="225" w:lineRule="exact"/>
        <w:rPr>
          <w:sz w:val="20"/>
          <w:szCs w:val="20"/>
          <w:color w:val="auto"/>
        </w:rPr>
      </w:pPr>
    </w:p>
    <w:p>
      <w:pPr>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2018, we recognized a net loss of $73.6 million primarily due to the decline in the British pound versus U.S. dollar exchange rate on $1.6 billion of restricted cash held for the acquisition of NEX, which was denominated in British pounds, compared to a net loss of $7.2 million in 2019. Gains and losses from exchange rate fluctuations result when subsidiaries with a U.S. dollar functional currency hold cash as well as certain other monetary assets and liabilities denominated in foreign currencies.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Transaction costs and transfer taxes incurred by CME Group related to the NEX acquisition resulted in additional expense in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Year-over-Year Change</w:t>
            </w:r>
          </w:p>
        </w:tc>
      </w:tr>
      <w:tr>
        <w:trPr>
          <w:trHeight w:val="250"/>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2018</w:t>
            </w:r>
          </w:p>
        </w:tc>
        <w:tc>
          <w:tcPr>
            <w:tcW w:w="236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2019-2018</w:t>
            </w: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745.1</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(157.7)</w:t>
            </w:r>
          </w:p>
        </w:tc>
        <w:tc>
          <w:tcPr>
            <w:tcW w:w="2360" w:type="dxa"/>
            <w:vAlign w:val="bottom"/>
          </w:tcPr>
          <w:p>
            <w:pPr>
              <w:jc w:val="right"/>
              <w:ind w:right="155"/>
              <w:spacing w:after="0"/>
              <w:rPr>
                <w:sz w:val="20"/>
                <w:szCs w:val="20"/>
                <w:color w:val="auto"/>
              </w:rPr>
            </w:pPr>
            <w:r>
              <w:rPr>
                <w:rFonts w:ascii="Arial" w:cs="Arial" w:eastAsia="Arial" w:hAnsi="Arial"/>
                <w:sz w:val="18"/>
                <w:szCs w:val="18"/>
                <w:color w:val="auto"/>
              </w:rPr>
              <w:t>13</w:t>
            </w:r>
          </w:p>
        </w:tc>
      </w:tr>
      <w:tr>
        <w:trPr>
          <w:trHeight w:val="27"/>
        </w:trPr>
        <w:tc>
          <w:tcPr>
            <w:tcW w:w="4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Equity in net earnings (losses) of unconsolidated subsidiaries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152.8</w:t>
            </w:r>
          </w:p>
        </w:tc>
        <w:tc>
          <w:tcPr>
            <w:tcW w:w="2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(570.0)</w:t>
            </w:r>
          </w:p>
        </w:tc>
        <w:tc>
          <w:tcPr>
            <w:tcW w:w="2360" w:type="dxa"/>
            <w:vAlign w:val="bottom"/>
          </w:tcPr>
          <w:p>
            <w:pPr>
              <w:jc w:val="right"/>
              <w:ind w:right="95"/>
              <w:spacing w:after="0"/>
              <w:rPr>
                <w:sz w:val="20"/>
                <w:szCs w:val="20"/>
                <w:color w:val="auto"/>
              </w:rPr>
            </w:pPr>
            <w:r>
              <w:rPr>
                <w:rFonts w:ascii="Arial" w:cs="Arial" w:eastAsia="Arial" w:hAnsi="Arial"/>
                <w:sz w:val="18"/>
                <w:szCs w:val="18"/>
                <w:color w:val="auto"/>
              </w:rPr>
              <w:t>(6)</w:t>
            </w:r>
          </w:p>
        </w:tc>
      </w:tr>
      <w:tr>
        <w:trPr>
          <w:trHeight w:val="27"/>
        </w:trPr>
        <w:tc>
          <w:tcPr>
            <w:tcW w:w="4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170.2</w:t>
            </w:r>
          </w:p>
        </w:tc>
        <w:tc>
          <w:tcPr>
            <w:tcW w:w="23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(40)</w:t>
            </w:r>
          </w:p>
        </w:tc>
      </w:tr>
      <w:tr>
        <w:trPr>
          <w:trHeight w:val="20"/>
        </w:trPr>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i w:val="1"/>
          <w:iCs w:val="1"/>
          <w:color w:val="auto"/>
        </w:rPr>
        <w:t xml:space="preserve">Investment income. </w:t>
      </w:r>
      <w:r>
        <w:rPr>
          <w:rFonts w:ascii="Arial" w:cs="Arial" w:eastAsia="Arial" w:hAnsi="Arial"/>
          <w:sz w:val="16"/>
          <w:szCs w:val="16"/>
          <w:color w:val="auto"/>
        </w:rPr>
        <w:t>The decrease in investment income in 2019 when compared with 2018 was largely due to a decline in net realized and unrealized gains</w:t>
      </w:r>
      <w:r>
        <w:rPr>
          <w:rFonts w:ascii="Arial" w:cs="Arial" w:eastAsia="Arial" w:hAnsi="Arial"/>
          <w:sz w:val="16"/>
          <w:szCs w:val="16"/>
          <w:i w:val="1"/>
          <w:iCs w:val="1"/>
          <w:color w:val="auto"/>
        </w:rPr>
        <w:t xml:space="preserve"> </w:t>
      </w:r>
      <w:r>
        <w:rPr>
          <w:rFonts w:ascii="Arial" w:cs="Arial" w:eastAsia="Arial" w:hAnsi="Arial"/>
          <w:sz w:val="16"/>
          <w:szCs w:val="16"/>
          <w:color w:val="auto"/>
        </w:rPr>
        <w:t>(losses). The decrease in investment income was also due to a decline in earnings from cash performance bond and guaranty fund contributions that are reinvested, which primarily resulted from lower average reinvestment balances as well as an overall decrease in the rate of return earned on our investments.</w:t>
      </w:r>
    </w:p>
    <w:p>
      <w:pPr>
        <w:spacing w:after="0" w:line="14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 xml:space="preserve">Interest and other borrowing costs. </w:t>
      </w:r>
      <w:r>
        <w:rPr>
          <w:rFonts w:ascii="Arial" w:cs="Arial" w:eastAsia="Arial" w:hAnsi="Arial"/>
          <w:sz w:val="16"/>
          <w:szCs w:val="16"/>
          <w:color w:val="auto"/>
        </w:rPr>
        <w:t>Interest and other borrowing costs were higher in 2019 compared with 2018 due to a full year of interest expense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on $500.0 million of 3.75% fixed rate notes due June 2028 and $700.0 million of 4.15% fixed rate notes due June 2048 issued in the second quarter of 2018.</w:t>
      </w:r>
    </w:p>
    <w:p>
      <w:pPr>
        <w:spacing w:after="0" w:line="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Equity in net earnings (losses) of unconsolidated subsidiaries. </w:t>
      </w:r>
      <w:r>
        <w:rPr>
          <w:rFonts w:ascii="Arial" w:cs="Arial" w:eastAsia="Arial" w:hAnsi="Arial"/>
          <w:sz w:val="18"/>
          <w:szCs w:val="18"/>
          <w:color w:val="auto"/>
        </w:rPr>
        <w:t>Higher income generated from our S&amp;P/DJI business venture and net earnings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acquired through the transaction with NEX contributed to increases in equity in net earnings (losses) of unconsolidated subsidiaries in 2019 when compared with the prior year.</w:t>
      </w:r>
    </w:p>
    <w:p>
      <w:pPr>
        <w:spacing w:after="0" w:line="15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In 2019 when compared with 2018, we recognized lower net losses on various derivative contracts. In 2018, we recognized net</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our foreign exchange option and forward contracts used to mitigate certain exposure to foreign exchange rate fluctuation on the currency required to facilitate the NEX acquisition as well as derivative contracts that we assumed in our acquisition of NEX. Expense related to the redistribution of income earned on performance bond and guaranty fund contributions was relatively flat in 2019 compared to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Year-over-Year Change</w:t>
            </w:r>
          </w:p>
        </w:tc>
      </w:tr>
      <w:tr>
        <w:trPr>
          <w:trHeight w:val="197"/>
        </w:trPr>
        <w:tc>
          <w:tcPr>
            <w:tcW w:w="7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16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2019-2018</w:t>
            </w:r>
          </w:p>
        </w:tc>
      </w:tr>
      <w:tr>
        <w:trPr>
          <w:trHeight w:val="243"/>
        </w:trPr>
        <w:tc>
          <w:tcPr>
            <w:tcW w:w="7520" w:type="dxa"/>
            <w:vAlign w:val="bottom"/>
            <w:shd w:val="clear" w:color="auto" w:fill="CCEEFF"/>
          </w:tcPr>
          <w:p>
            <w:pPr>
              <w:jc w:val="right"/>
              <w:ind w:right="5579"/>
              <w:spacing w:after="0"/>
              <w:rPr>
                <w:sz w:val="20"/>
                <w:szCs w:val="20"/>
                <w:color w:val="auto"/>
              </w:rPr>
            </w:pPr>
            <w:r>
              <w:rPr>
                <w:rFonts w:ascii="Arial" w:cs="Arial" w:eastAsia="Arial" w:hAnsi="Arial"/>
                <w:sz w:val="18"/>
                <w:szCs w:val="18"/>
                <w:color w:val="auto"/>
                <w:w w:val="89"/>
              </w:rPr>
              <w:t>Year ended December 31</w:t>
            </w: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7"/>
              </w:rPr>
              <w:t>21.3%</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29.3%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75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2019 when compared with 2018, the effective tax rate was lower due to the recognition of benefits from the Internal Revenue Code Section 250 deduction in 2019. Proposed FDII Deduction regulations were released in 2019 and as a result, we have revised our income tax calculations to reflect the proposed guidance. The benefit recognized in 2019 includes estimates for the deduction for 2018 and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recognized higher deferred tax expense in 2018 due to the acquisition of NEX.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historically met our funding requirements with cash generated by our ongoing operations. However, as part of the funding for the NEX acquisition, we utilized our commercial paper program in late 2018 and throughout 2019 for short-term funding requirements. While our cost structure is fixed in the short term, our sources of operating cash are largely dependent on contract trading volume levels. In addition to using our existing cash, cash equivalents, marketable securities and cash generated from operations, we may continue to utilize our commercial paper program to meet our working capital needs, capital expenditures and other commitments. It is also possible that we may need to raise additional funds to finance our activities through future public debt offerings or by direct borrowings from financial institutions through our committed revolving credit facilities.</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will also be required for operating leases and non-cancellable purchase obligations as well as other obligations reflected as long-term liabilities on our consolidated balance sheet at December 31, 2019. These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Purchase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Leases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Debt Obligations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Long-Term</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 xml:space="preserve">Liabilities </w:t>
            </w:r>
            <w:r>
              <w:rPr>
                <w:rFonts w:ascii="Arial" w:cs="Arial" w:eastAsia="Arial" w:hAnsi="Arial"/>
                <w:sz w:val="12"/>
                <w:szCs w:val="12"/>
                <w:b w:val="1"/>
                <w:bCs w:val="1"/>
                <w:color w:val="auto"/>
                <w:w w:val="96"/>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2021-2022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2023-2024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4,725.3</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901.5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5,602.2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6,561.4</w:t>
            </w:r>
          </w:p>
        </w:tc>
        <w:tc>
          <w:tcPr>
            <w:tcW w:w="0" w:type="dxa"/>
            <w:vAlign w:val="bottom"/>
          </w:tcPr>
          <w:p>
            <w:pPr>
              <w:spacing w:after="0"/>
              <w:rPr>
                <w:sz w:val="1"/>
                <w:szCs w:val="1"/>
                <w:color w:val="auto"/>
              </w:rPr>
            </w:pPr>
          </w:p>
        </w:tc>
      </w:tr>
      <w:tr>
        <w:trPr>
          <w:trHeight w:val="27"/>
        </w:trPr>
        <w:tc>
          <w:tcPr>
            <w:tcW w:w="34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right="60" w:hanging="652"/>
        <w:spacing w:after="0" w:line="27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liability for gross unrecognized income tax benefits, including interest and penalties, of $441.8 million for uncertain tax positions is not included in the table due to uncertainty about the date of their settlement. It also excludes liabilities for lease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7" w:lineRule="exact"/>
        <w:rPr>
          <w:sz w:val="20"/>
          <w:szCs w:val="20"/>
          <w:color w:val="auto"/>
        </w:rPr>
      </w:pPr>
    </w:p>
    <w:p>
      <w:pPr>
        <w:ind w:left="660" w:right="100"/>
        <w:spacing w:after="0" w:line="311" w:lineRule="auto"/>
        <w:rPr>
          <w:sz w:val="20"/>
          <w:szCs w:val="20"/>
          <w:color w:val="auto"/>
        </w:rPr>
      </w:pPr>
      <w:r>
        <w:rPr>
          <w:rFonts w:ascii="Arial" w:cs="Arial" w:eastAsia="Arial" w:hAnsi="Arial"/>
          <w:sz w:val="16"/>
          <w:szCs w:val="16"/>
          <w:color w:val="auto"/>
        </w:rPr>
        <w:t>arrangements as well as liabilities that have uncertainty associated with timing of payments, including liabilities for benefit plans. It also excludes liabilities that will not be settled in cash.</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Leases include rent payments for office space in Chicago, New York and other smaller offices in the United States and in various foreign countries. The lease for our headquarters in Chicago expires in 2032. Annual minimum rental payments under this lease range from $14.0 million to $19.7 million. We also maintain leases for datacenter space in the Chicago area, which expires in March 2031. Annual minimum rental payments under this lease range from $16.9 million to $18.3 million. The lease for our office space in New York expires in December 2028. Annual minimum rental payments under this lease range from $14.3 million to $15.3 million.</w:t>
      </w:r>
    </w:p>
    <w:p>
      <w:pPr>
        <w:spacing w:after="0" w:line="188"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Purchase obligations include minimum payments due under agreements for advertising, licensing, hardware, software and maintenance as well as telecommunication services. Debt obligations include repayment of principal and interest associated with the debt obligations.</w:t>
      </w:r>
    </w:p>
    <w:p>
      <w:pPr>
        <w:spacing w:after="0" w:line="14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Future capital expenditures for technology are anticipated as we continue to support our growth through increased system capacity, performance improvements, integration of acquired platforms as well as improvements to some of our office spaces. Each year, capital expenditures are incurred for improvements to and expansion of our offices, remote data centers, telecommunications network and other operating equipment. In 2020, we expect capital expenditures to total approximately $180 million to $200 million, net of any leasehold improvement allowances and any one-time costs associated with the NEX integration. We continue to monitor our capital needs and may revise our forecasted expenditures as necessary in the future.</w:t>
      </w:r>
    </w:p>
    <w:p>
      <w:pPr>
        <w:spacing w:after="0" w:line="15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intend to continue to pay a regular quarterly dividend to our shareholders, with a target of between 50% to 60%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CME Group is also required to comply with restrictions contained in the general corporation laws of its state of incorporation, which could also limit its ability to declare and pay dividends. On February 5, 2020 the board of directors declared a regular quarterly dividend of $0.85 per share. The dividend will be payable on March 25, 2020 to shareholders of record on March 10, 2020. Assuming no changes in the number of shares outstanding, the first quarter dividend payment will total approximately $300 million. The board of directors also declared an additional, annual variable dividend of $2.50 per share on December 11, 2019 paid on January 15, 2020 to the shareholders of record on December 27, 2019. In general, the amount of the annual variable dividend will be determined by the end of each year, and the level will increase or decrease from year to year based on operating results, capitalization expenditures, potential merger and acquisition activity and other forms of capital return including regular dividends and share buybacks during the prior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from operating, investing and financing activities.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Year-over-Year Change</w:t>
            </w:r>
          </w:p>
        </w:tc>
      </w:tr>
      <w:tr>
        <w:trPr>
          <w:trHeight w:val="250"/>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15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2019-2018</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2,672.8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2,440.8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(152.6)</w:t>
            </w:r>
          </w:p>
        </w:tc>
        <w:tc>
          <w:tcPr>
            <w:tcW w:w="42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(1,889.6)</w:t>
            </w: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n.m.</w:t>
            </w:r>
          </w:p>
        </w:tc>
      </w:tr>
      <w:tr>
        <w:trPr>
          <w:trHeight w:val="27"/>
        </w:trPr>
        <w:tc>
          <w:tcPr>
            <w:tcW w:w="4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(2,340.8)</w:t>
            </w: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(1,080.0)</w:t>
            </w:r>
          </w:p>
        </w:tc>
        <w:tc>
          <w:tcPr>
            <w:tcW w:w="15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117</w:t>
            </w:r>
          </w:p>
        </w:tc>
      </w:tr>
      <w:tr>
        <w:trPr>
          <w:trHeight w:val="27"/>
        </w:trPr>
        <w:tc>
          <w:tcPr>
            <w:tcW w:w="48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increase in net cash provided by operating activities in 2019 compared with 2018 is largely due to the incremental operating cash generated from the business lines acquired through our acquisition of NEX in November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decrease in cash used in investing activities in 2019 when compared with 2018 was largely due to the cash consideration required for the acquisition of NEX in November 2018, net of cash received.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used in financing activities was higher in 2019 when compared with in 2018 due to a net reduction in outstanding debt in 2019 compared with issuance of debt in 2018. The increase in cash used in financing activities was partially offset by a decrease in cash dividends.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outstanding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Par Value</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Fixed rate notes due May 2023, stated rate of 4.30%</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
        </w:trPr>
        <w:tc>
          <w:tcPr>
            <w:tcW w:w="7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Fixed rate notes due June 2028, stated rate of 3.75%</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500.0</w:t>
            </w:r>
          </w:p>
        </w:tc>
      </w:tr>
      <w:tr>
        <w:trPr>
          <w:trHeight w:val="27"/>
        </w:trPr>
        <w:tc>
          <w:tcPr>
            <w:tcW w:w="7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Fixed rate notes due June 2048, stated rate of 4.15%</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700.0</w:t>
            </w:r>
          </w:p>
        </w:tc>
      </w:tr>
      <w:tr>
        <w:trPr>
          <w:trHeight w:val="27"/>
        </w:trPr>
        <w:tc>
          <w:tcPr>
            <w:tcW w:w="7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304.0</w:t>
            </w:r>
          </w:p>
        </w:tc>
      </w:tr>
      <w:tr>
        <w:trPr>
          <w:trHeight w:val="230"/>
        </w:trPr>
        <w:tc>
          <w:tcPr>
            <w:tcW w:w="73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30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92" w:lineRule="exact"/>
        <w:rPr>
          <w:sz w:val="20"/>
          <w:szCs w:val="20"/>
          <w:color w:val="auto"/>
        </w:rPr>
      </w:pPr>
    </w:p>
    <w:p>
      <w:pPr>
        <w:ind w:left="660" w:right="280" w:hanging="328"/>
        <w:spacing w:after="0" w:line="27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maintained a forward-starting interest rate swap agreement that modified the interest obligation associated with these notes so that the interest payable on the notes effectively became fixed at a rate of 3.32%.</w:t>
      </w:r>
    </w:p>
    <w:p>
      <w:pPr>
        <w:spacing w:after="0" w:line="172" w:lineRule="exact"/>
        <w:rPr>
          <w:rFonts w:ascii="Arial" w:cs="Arial" w:eastAsia="Arial" w:hAnsi="Arial"/>
          <w:sz w:val="16"/>
          <w:szCs w:val="16"/>
          <w:color w:val="auto"/>
        </w:rPr>
      </w:pPr>
    </w:p>
    <w:p>
      <w:pPr>
        <w:ind w:left="660" w:right="280" w:hanging="328"/>
        <w:spacing w:after="0" w:line="27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maintained a forward-starting interest rate swap agreement that modified the interest obligation associated with these notes so that the interest payable on the notes effectively became fixed at a rate of 3.11%.</w:t>
      </w:r>
    </w:p>
    <w:p>
      <w:pPr>
        <w:spacing w:after="0" w:line="172"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maintained a forward-starting interest rate swap agreement that modified the interest obligation associated with these notes so that the interest payable effectively became fixed at a rate of 4.73%.</w:t>
      </w:r>
    </w:p>
    <w:p>
      <w:pPr>
        <w:spacing w:after="0" w:line="14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maintain a $2.4 billion multi-currency revolving senior credit facility with various financial institutions, which matures in November 2022.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2017, giving effect to share repurchases made and special dividends paid during the term of the agreements (and in no event greater than $2.0 billion in aggregate), multiplied by 0.65. We currently do not have any borrowings outstanding under this facility, but the outstanding commercial paper balance is backstopped against this facility.</w:t>
      </w:r>
    </w:p>
    <w:p>
      <w:pPr>
        <w:spacing w:after="0" w:line="1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Clearing firm guaranty fund contributions received in the form of cash or U.S. Treasury securities as well as the performance bond assets of a defaulting firm can be used to collateralize the facility. At December 31, 2019, guaranty funds available to collateralize the facility totaled $8.5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 On May 1, 2019, we amended and extended the agreement, which will expire on April 29, 2020.</w:t>
      </w:r>
    </w:p>
    <w:p>
      <w:pPr>
        <w:spacing w:after="0" w:line="11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indentures governing our fixed rate notes, our $2.4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December 31, 2019, we have excess borrowing capacity for general corporate purposes of approximately $2.1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were in compliance with the various covenant requirements of all our debt facilities.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2" w:right="27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CME-owned U.S. Treasury securities or U.S. dollars in lieu of, or in combination with, irrevocable letters of credit. At December 31, 2019, we had pledged letters of credit totaling $260.0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December 31,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Rating Agency</w:t>
            </w:r>
          </w:p>
        </w:tc>
        <w:tc>
          <w:tcPr>
            <w:tcW w:w="3740" w:type="dxa"/>
            <w:vAlign w:val="bottom"/>
          </w:tcPr>
          <w:p>
            <w:pPr>
              <w:ind w:left="2560"/>
              <w:spacing w:after="0"/>
              <w:rPr>
                <w:sz w:val="20"/>
                <w:szCs w:val="20"/>
                <w:color w:val="auto"/>
              </w:rPr>
            </w:pPr>
            <w:r>
              <w:rPr>
                <w:rFonts w:ascii="Arial" w:cs="Arial" w:eastAsia="Arial" w:hAnsi="Arial"/>
                <w:sz w:val="14"/>
                <w:szCs w:val="14"/>
                <w:b w:val="1"/>
                <w:bCs w:val="1"/>
                <w:color w:val="auto"/>
              </w:rPr>
              <w:t>Short-Term</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vMerge w:val="continue"/>
          </w:tcPr>
          <w:p>
            <w:pPr>
              <w:spacing w:after="0"/>
              <w:rPr>
                <w:sz w:val="16"/>
                <w:szCs w:val="16"/>
                <w:color w:val="auto"/>
              </w:rPr>
            </w:pPr>
          </w:p>
        </w:tc>
        <w:tc>
          <w:tcPr>
            <w:tcW w:w="374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Debt Rating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740" w:type="dxa"/>
            <w:vAlign w:val="bottom"/>
            <w:tcBorders>
              <w:bottom w:val="single" w:sz="8" w:color="CCEEFF"/>
            </w:tcBorders>
            <w:shd w:val="clear" w:color="auto" w:fill="CCEEFF"/>
          </w:tcPr>
          <w:p>
            <w:pPr>
              <w:jc w:val="center"/>
              <w:ind w:left="2039"/>
              <w:spacing w:after="0"/>
              <w:rPr>
                <w:sz w:val="20"/>
                <w:szCs w:val="20"/>
                <w:color w:val="auto"/>
              </w:rPr>
            </w:pPr>
            <w:r>
              <w:rPr>
                <w:rFonts w:ascii="Arial" w:cs="Arial" w:eastAsia="Arial" w:hAnsi="Arial"/>
                <w:sz w:val="18"/>
                <w:szCs w:val="18"/>
                <w:color w:val="auto"/>
              </w:rPr>
              <w:t>A1+</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740" w:type="dxa"/>
            <w:vAlign w:val="bottom"/>
          </w:tcPr>
          <w:p>
            <w:pPr>
              <w:jc w:val="center"/>
              <w:ind w:left="2039"/>
              <w:spacing w:after="0"/>
              <w:rPr>
                <w:sz w:val="20"/>
                <w:szCs w:val="20"/>
                <w:color w:val="auto"/>
              </w:rPr>
            </w:pPr>
            <w:r>
              <w:rPr>
                <w:rFonts w:ascii="Arial" w:cs="Arial" w:eastAsia="Arial" w:hAnsi="Arial"/>
                <w:sz w:val="18"/>
                <w:szCs w:val="18"/>
                <w:color w:val="auto"/>
                <w:w w:val="81"/>
              </w:rPr>
              <w:t>P1</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CME Group fixed rate notes at a price equal to 101% of the principal amount, plus accrued and unpaid interest.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we did not have any off-balance sheet arrangements as defined by Securities and Exchange Commission rules and regulations.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Management</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Cash and cash equivalents totaled $1.6 billion at December 31, 2019 and $1.4 billion at December 31, 2018. 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on the consolidated balance sheets.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no contribution will be necessary in 2020 as we exceeded our funding goal by $32.7 million in 2019. However, the amount of the actual contribution is contingent on various factors, including the actual rate of return on our plan assets during 2020 and the December 31, 2020 discount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Requirements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CME is regulated by the CFTC as a U.S.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Dodd-Frank. As a result, CME must comply with CFTC regulations applicable to a systemically important DCO for financial resources and liquidity resources. CME is in compliance with all DCO financial requirements.</w:t>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3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BrokerTec Americas LLC is required to maintain sufficient net capital under Securities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(k)(2)(i) exemption is not required to lock up customer funds as would otherwise be required under Rule 15c3-3 of the Securities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various market risks, including those caused by changes in interest rates, credit, foreign currency exchange rates and equity prices.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Debt outstanding at December 31, 2019 consisted of fixed-rate borrowings of $3.7 billion (in U.S. dollar equivalent). Changes in interest rates impact the fair values of fixed-rate debt, but do not impact earnings or cash flows. We did not have any variable-rate borrowings at December 31, 2019. At December 31, 2019, we maintained $303.8 million of commercial paper. Commercial paper is considered a fixed rate borrowing; however, because maturities for commercial paper are generally less than 90 days, commercial paper is considered subject to interest rate fluctuations.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CME Clearing House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clearing house acts as the counterparty to all trades consummated on our exchanges as well as through third party exchanges and swaps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order to ensure performance, we establish and monitor financial requirements for our clearing firms. We set minimum performance bond requirements for exchange-traded and interest rate swaps products. For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 to quickly identify any clearing firms that may not be able to satisfy the financial obligations resulting from changes in the prices of their open positions before those financial obligations become exceptionally large and jeopardize the ability of our clearing house to ensure performance of their open positions.</w:t>
      </w:r>
    </w:p>
    <w:p>
      <w:pPr>
        <w:spacing w:after="0" w:line="16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our safeguards, we cannot assure you that these measures will be sufficient to protect us from a default or that we will not be materially and adversely affected in the event of a significant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maintain two separate financial safeguard packages:</w:t>
      </w:r>
    </w:p>
    <w:p>
      <w:pPr>
        <w:spacing w:after="0" w:line="225" w:lineRule="exact"/>
        <w:rPr>
          <w:sz w:val="20"/>
          <w:szCs w:val="20"/>
          <w:color w:val="auto"/>
        </w:rPr>
      </w:pPr>
    </w:p>
    <w:p>
      <w:pPr>
        <w:ind w:left="660" w:right="5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financial safeguard package for all futures, options and over-the-counter swap contracts other than cleared interest rate swap contracts (base package);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financial safeguard package for cleared interest rate swap contracts.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clearing membership and any associated trading rights. In addition, we would make a demand for payment pursuant to any applicable guarantee provided to us by the parent company of the clearing firm.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maintain a $7.0 billion 364-day multi-currency line of credit with a consortium of domestic and international banks to be used in certain situations by our clearing house.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w:t>
      </w:r>
    </w:p>
    <w:p>
      <w:pPr>
        <w:sectPr>
          <w:pgSz w:w="11900" w:h="16838" w:orient="portrait"/>
          <w:cols w:equalWidth="0" w:num="1">
            <w:col w:w="11400"/>
          </w:cols>
          <w:pgMar w:left="240" w:top="121" w:right="25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121" w:right="25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line of credit, we also have the option to use our $2.4 billion multi-currency revolving senior credit facility to provide liquidity for our clearing house in the unlikely event of default.</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At December 31, 2019, aggregate performance bond deposits for clearing firms for both financial safeguard packages was $154.5 billion including cash performance bond deposits, non-cash deposits, Interest Earnings Facility funds and letters of credit. A defaulting firm's performance bond deposits can be used in the event of default of that clearing firm.</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shows the available assets at December 31, 2019 in the event of a payment default by a clearing firm for the base financial safeguard package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60" w:type="dxa"/>
            <w:vAlign w:val="bottom"/>
          </w:tcPr>
          <w:p>
            <w:pPr>
              <w:spacing w:after="0"/>
              <w:rPr>
                <w:sz w:val="14"/>
                <w:szCs w:val="14"/>
                <w:color w:val="auto"/>
              </w:rPr>
            </w:pPr>
          </w:p>
        </w:tc>
        <w:tc>
          <w:tcPr>
            <w:tcW w:w="1560" w:type="dxa"/>
            <w:vAlign w:val="bottom"/>
          </w:tcPr>
          <w:p>
            <w:pPr>
              <w:jc w:val="right"/>
              <w:ind w:right="357"/>
              <w:spacing w:after="0"/>
              <w:rPr>
                <w:sz w:val="20"/>
                <w:szCs w:val="20"/>
                <w:color w:val="auto"/>
              </w:rPr>
            </w:pPr>
            <w:r>
              <w:rPr>
                <w:rFonts w:ascii="Arial" w:cs="Arial" w:eastAsia="Arial" w:hAnsi="Arial"/>
                <w:sz w:val="14"/>
                <w:szCs w:val="14"/>
                <w:b w:val="1"/>
                <w:bCs w:val="1"/>
                <w:color w:val="auto"/>
              </w:rPr>
              <w:t>Clearing House</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futures and options</w:t>
            </w:r>
            <w:r>
              <w:rPr>
                <w:rFonts w:ascii="Arial" w:cs="Arial" w:eastAsia="Arial" w:hAnsi="Arial"/>
                <w:sz w:val="25"/>
                <w:szCs w:val="25"/>
                <w:color w:val="auto"/>
                <w:vertAlign w:val="superscript"/>
              </w:rPr>
              <w:t>(1)</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70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86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4,902.8</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28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13,482.7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380" w:hanging="652"/>
        <w:spacing w:after="0" w:line="249"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clearing house designates $100.0 million of corporate contributions to satisfy a clearing firm default in the event that the defaulting clearing firm's guaranty contributions and performance bonds do not satisfy the deficit.</w:t>
      </w:r>
    </w:p>
    <w:p>
      <w:pPr>
        <w:ind w:left="660" w:right="80" w:hanging="652"/>
        <w:spacing w:after="0" w:line="24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Guaranty fund contributions of clearing firms include guaranty fund contributions required of clearing firms, but do not include any excess deposits held by us at the direction of clearing firms.</w:t>
      </w:r>
    </w:p>
    <w:p>
      <w:pPr>
        <w:ind w:left="660" w:right="20" w:hanging="652"/>
        <w:spacing w:after="0" w:line="248"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clearing firms' guaranty fund contributions, we would assess all non-defaulting clearing members as provided in the rules governing the guaranty fund. We could assess non-defaulting clearing members 275% of their existing guaranty fund requirements up to a maximum of 550% of their existing guaranty fund requirements as provided in the rules. Assessment powers are calculated to reflect the potential obligation that each clearing member could be called for in the event clearing member defaults exhaust the guaranty fund, however the total amount available would be reduced by the defaulted clearing members assessment obligations since they would no longer be able to satisfy their obligations.</w:t>
      </w:r>
    </w:p>
    <w:p>
      <w:pPr>
        <w:spacing w:after="0" w:line="1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shows the available assets for the interest rate swap financial safeguard package at December 31, 2019 in the event of a payment default by a clearing firm that clears interest rate swap contracts,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560" w:type="dxa"/>
            <w:vAlign w:val="bottom"/>
          </w:tcPr>
          <w:p>
            <w:pPr>
              <w:spacing w:after="0"/>
              <w:rPr>
                <w:sz w:val="14"/>
                <w:szCs w:val="14"/>
                <w:color w:val="auto"/>
              </w:rPr>
            </w:pPr>
          </w:p>
        </w:tc>
        <w:tc>
          <w:tcPr>
            <w:tcW w:w="1560" w:type="dxa"/>
            <w:vAlign w:val="bottom"/>
          </w:tcPr>
          <w:p>
            <w:pPr>
              <w:jc w:val="right"/>
              <w:ind w:right="357"/>
              <w:spacing w:after="0"/>
              <w:rPr>
                <w:sz w:val="20"/>
                <w:szCs w:val="20"/>
                <w:color w:val="auto"/>
              </w:rPr>
            </w:pPr>
            <w:r>
              <w:rPr>
                <w:rFonts w:ascii="Arial" w:cs="Arial" w:eastAsia="Arial" w:hAnsi="Arial"/>
                <w:sz w:val="14"/>
                <w:szCs w:val="14"/>
                <w:b w:val="1"/>
                <w:bCs w:val="1"/>
                <w:color w:val="auto"/>
              </w:rPr>
              <w:t>Clearing House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7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interest rate swap contracts</w:t>
            </w:r>
            <w:r>
              <w:rPr>
                <w:rFonts w:ascii="Arial" w:cs="Arial" w:eastAsia="Arial" w:hAnsi="Arial"/>
                <w:sz w:val="25"/>
                <w:szCs w:val="25"/>
                <w:color w:val="auto"/>
                <w:vertAlign w:val="superscript"/>
              </w:rPr>
              <w:t>(1)</w:t>
            </w:r>
          </w:p>
        </w:tc>
        <w:tc>
          <w:tcPr>
            <w:tcW w:w="2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73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56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3,559.8</w:t>
            </w:r>
          </w:p>
        </w:tc>
        <w:tc>
          <w:tcPr>
            <w:tcW w:w="0" w:type="dxa"/>
            <w:vAlign w:val="bottom"/>
          </w:tcPr>
          <w:p>
            <w:pPr>
              <w:spacing w:after="0"/>
              <w:rPr>
                <w:sz w:val="1"/>
                <w:szCs w:val="1"/>
                <w:color w:val="auto"/>
              </w:rPr>
            </w:pPr>
          </w:p>
        </w:tc>
      </w:tr>
      <w:tr>
        <w:trPr>
          <w:trHeight w:val="270"/>
        </w:trPr>
        <w:tc>
          <w:tcPr>
            <w:tcW w:w="7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Assessment powers</w:t>
            </w:r>
            <w:r>
              <w:rPr>
                <w:rFonts w:ascii="Arial" w:cs="Arial" w:eastAsia="Arial" w:hAnsi="Arial"/>
                <w:sz w:val="25"/>
                <w:szCs w:val="25"/>
                <w:color w:val="auto"/>
                <w:vertAlign w:val="superscript"/>
              </w:rPr>
              <w:t>(3)</w:t>
            </w:r>
          </w:p>
        </w:tc>
        <w:tc>
          <w:tcPr>
            <w:tcW w:w="25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1,609.9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380" w:hanging="652"/>
        <w:spacing w:after="0" w:line="249"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clearing house designates $150.0 million of corporate contributions to satisfy a clearing firm default in the event that the defaulting clearing firm's guaranty contributions and performance bonds do not satisfy the deficit.</w:t>
      </w: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interest rate swap contracts include guaranty fund contributions required of those clearing firms.</w:t>
      </w:r>
    </w:p>
    <w:p>
      <w:pPr>
        <w:spacing w:after="0" w:line="5" w:lineRule="exact"/>
        <w:rPr>
          <w:rFonts w:ascii="Arial" w:cs="Arial" w:eastAsia="Arial" w:hAnsi="Arial"/>
          <w:sz w:val="16"/>
          <w:szCs w:val="16"/>
          <w:color w:val="auto"/>
        </w:rPr>
      </w:pPr>
    </w:p>
    <w:p>
      <w:pPr>
        <w:ind w:left="660" w:right="140" w:hanging="652"/>
        <w:spacing w:after="0" w:line="250"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firms' guaranty fund contributions, we would assess non-defaulting clearing members as provided in the rules governing the interest rate swap guaranty fund. Assessment powers are calculated to reflected the potential obligation that each clearing member could be called for based on potential failure of the third and fourth largest clearing.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BrokerTec Americas Matched Principal Business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BrokerTec Americas maintains a matched principal business, where it serves as a fully matched counterparty to offsetting positions entered into by clients on its electronic trading platform to facilitate anonymity and access to clearing and settlement. BrokerTec Americas uses Fixed Income Clearing Corporation (FICC), a third-party central clearing house as well as a third-party clearing bank for the settlement of transactions and is required to post short-term margin requirements twice a day that can vary based on the size of unsettled transactions and any adverse market changes. At December 31, 2019, the balance of the collateral at FICC was $100.0 million, which was included in other current assets on the consolidated balance sheet.</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Without sufficient funds to meet its obligations, BrokerTec Americas could be exposed to risk of breach of contract with the counterparties and the inability to continue as a member of the third-party central clearing house. Transactions with clearing house members are typically confirmed and novated shortly after execution, at which point the clearing house assumes the risk of settlement. For transactions with counterparties that are not members of the third-party clearing house, settlement typically occurs on the day following execution and, prior to settlement, BrokerTec Americas is exposed to the risk of loss in the event a</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counterparty fails to meet its obligations. If that were to occur, BrokerTec Americas would have the right to cover or liquidate the open position but could incur a loss as a result of market movements.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Risk</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foreign currency transaction risk related to changes in exchange rates on monetary assets, liabilities, revenues and expenses held at subsidiaries where those balances and activity are denominated in a currency other than the subsidiary's functional currency. Gains and losses on foreign currency transactions result primarily from cash, debt and other monetary assets, liabilities, revenues and expenses denominated in British pounds, euros and Japanese yen.</w:t>
      </w:r>
    </w:p>
    <w:p>
      <w:pPr>
        <w:spacing w:after="0" w:line="1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Aggregate transaction gains (losses) for 2019, 2018 and 2017 were $(7.2) million, $(73.6) million and $9.4 million, respectively. We expect the foreign currency gain/loss to continue to fluctuate as long as we continue to hold monetary assets and liabilities at those subsidiaries. On January 31, 2020, the United Kingdom (U.K.) formally withdrew from the European Union (EU) after a majority of voters in the U.K. approved an exit from the EU, commonly referred to as Brexit. Brexit continues to generate economic and political uncertainty throughout the world, particularly throughout the U.K. and the EU. This uncertainty could potentially lead to significant volatility with foreign currency exchange rates, which could result in additional foreign currency gain/loss.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Risk</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foreign currency translation risk related to the translation of our foreign subsidiaries' assets, liabilities, revenues and expenses from their respective functional currencies to the U.S. dollar at each reporting date. Fluctuations in exchange rates may impact the amount of assets, liabilities, revenues and expenses we report on our consolidated balance sheets and consolidated statements of income. The financial statements of those foreign subsidiaries with functional currencies other than the U.S. dollar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gains (losses), net of tax, for 2019, 2018 and 2017 were $(0.6) million, $(2.5) million and $7.5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 Related to Customer Collateral</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 portion of performance bond deposits is denominated in various foreign currencies.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1240" w:type="dxa"/>
            <w:vAlign w:val="bottom"/>
          </w:tcPr>
          <w:p>
            <w:pPr>
              <w:spacing w:after="0"/>
              <w:rPr>
                <w:sz w:val="24"/>
                <w:szCs w:val="24"/>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CME GROUP INC. AND SUBSIDIARIES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3"/>
        </w:trPr>
        <w:tc>
          <w:tcPr>
            <w:tcW w:w="1240" w:type="dxa"/>
            <w:vAlign w:val="bottom"/>
          </w:tcPr>
          <w:p>
            <w:pPr>
              <w:spacing w:after="0"/>
              <w:rPr>
                <w:sz w:val="24"/>
                <w:szCs w:val="24"/>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7100" w:type="dxa"/>
            <w:vAlign w:val="bottom"/>
          </w:tcPr>
          <w:p>
            <w:pPr>
              <w:jc w:val="center"/>
              <w:ind w:left="1750"/>
              <w:spacing w:after="0"/>
              <w:rPr>
                <w:sz w:val="20"/>
                <w:szCs w:val="20"/>
                <w:color w:val="auto"/>
              </w:rPr>
            </w:pPr>
            <w:r>
              <w:rPr>
                <w:rFonts w:ascii="Arial" w:cs="Arial" w:eastAsia="Arial" w:hAnsi="Arial"/>
                <w:sz w:val="18"/>
                <w:szCs w:val="18"/>
                <w:color w:val="auto"/>
                <w:w w:val="90"/>
              </w:rPr>
              <w:t>(dollars in millions, except per share data; shares in thousands)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2"/>
        </w:trPr>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1240" w:type="dxa"/>
            <w:vAlign w:val="bottom"/>
            <w:tcBorders>
              <w:bottom w:val="single" w:sz="8" w:color="CCEEFF"/>
            </w:tcBorders>
          </w:tcPr>
          <w:p>
            <w:pPr>
              <w:spacing w:after="0"/>
              <w:rPr>
                <w:sz w:val="22"/>
                <w:szCs w:val="22"/>
                <w:color w:val="auto"/>
              </w:rPr>
            </w:pPr>
          </w:p>
        </w:tc>
        <w:tc>
          <w:tcPr>
            <w:tcW w:w="7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1,374.5</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72.9</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$3.4 and $2.7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553.3</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$4.3 and $1.5 in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430.5</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37,077.0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39,455.5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39,567.8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41,886.7</w:t>
            </w: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net</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5,500.1</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10,742.5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10,805.3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$0.9 and $1.2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1,659.6</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7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75,215.3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77,475.7</w:t>
            </w:r>
          </w:p>
        </w:tc>
      </w:tr>
      <w:tr>
        <w:trPr>
          <w:trHeight w:val="67"/>
        </w:trPr>
        <w:tc>
          <w:tcPr>
            <w:tcW w:w="834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70"/>
        </w:trPr>
        <w:tc>
          <w:tcPr>
            <w:tcW w:w="1240" w:type="dxa"/>
            <w:vAlign w:val="bottom"/>
            <w:shd w:val="clear" w:color="auto" w:fill="CCEEFF"/>
          </w:tcPr>
          <w:p>
            <w:pPr>
              <w:spacing w:after="0"/>
              <w:rPr>
                <w:sz w:val="14"/>
                <w:szCs w:val="14"/>
                <w:color w:val="auto"/>
              </w:rPr>
            </w:pPr>
          </w:p>
        </w:tc>
        <w:tc>
          <w:tcPr>
            <w:tcW w:w="7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116.0</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574.2</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1,384.8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1,126.9</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37,075.8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39,455.5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38,522.5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41,272.6</w:t>
            </w: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Long-term debt</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3,826.8</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5,635.2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5,665.9</w:t>
            </w: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liabilities</w:t>
            </w:r>
          </w:p>
        </w:tc>
        <w:tc>
          <w:tcPr>
            <w:tcW w:w="7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745.1</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color w:val="auto"/>
                <w:w w:val="99"/>
              </w:rPr>
              <w:t>Total Liabilities</w:t>
            </w: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49,056.0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51,510.4</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1240" w:type="dxa"/>
            <w:vAlign w:val="bottom"/>
            <w:shd w:val="clear" w:color="auto" w:fill="CCEEFF"/>
          </w:tcPr>
          <w:p>
            <w:pPr>
              <w:spacing w:after="0"/>
              <w:rPr>
                <w:sz w:val="15"/>
                <w:szCs w:val="15"/>
                <w:color w:val="auto"/>
              </w:rPr>
            </w:pPr>
          </w:p>
        </w:tc>
        <w:tc>
          <w:tcPr>
            <w:tcW w:w="7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1"/>
              </w:rPr>
              <w:t>Preferred stock, $0.01 par value, 10,000 shares authorized as of December 31, 2019 and 2018; none issued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3"/>
              </w:rPr>
              <w:t>Class A common stock, $0.01 par value, 1,000,000 shares authorized as of December 31, 2019 and 2018,</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7"/>
              </w:rPr>
              <w:t>357,469 and 356,824 shares issued and outstanding as of December 31, 2019 and 2018, 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Class B common stock, $0.01 par value, 3 shares authorized, issued and outstanding as of December 31, 2019</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1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2018</w:t>
            </w:r>
          </w:p>
        </w:tc>
        <w:tc>
          <w:tcPr>
            <w:tcW w:w="7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21,113.2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21,054.3</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4,855.3</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CME Group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25,918.5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46.8</w:t>
            </w:r>
          </w:p>
        </w:tc>
      </w:tr>
      <w:tr>
        <w:trPr>
          <w:trHeight w:val="27"/>
        </w:trPr>
        <w:tc>
          <w:tcPr>
            <w:tcW w:w="124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7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26,159.3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25,965.3</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75,215.3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77,475.7</w:t>
            </w: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3,946.1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3,098.6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3,644.7</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1,334.1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2,310.6</w:t>
            </w:r>
          </w:p>
        </w:tc>
      </w:tr>
      <w:tr>
        <w:trPr>
          <w:trHeight w:val="176"/>
        </w:trPr>
        <w:tc>
          <w:tcPr>
            <w:tcW w:w="6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531.7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Non-Operating Income (Expense)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(1,537.1)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2,116.5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4,063.4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338,707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358,239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343,737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340,226</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4,063.4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gains (losses) on sale included in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29"/>
        </w:trPr>
        <w:tc>
          <w:tcPr>
            <w:tcW w:w="7440" w:type="dxa"/>
            <w:vAlign w:val="bottom"/>
          </w:tcPr>
          <w:p>
            <w:pPr>
              <w:ind w:left="280"/>
              <w:spacing w:after="0"/>
              <w:rPr>
                <w:sz w:val="20"/>
                <w:szCs w:val="20"/>
                <w:color w:val="auto"/>
              </w:rPr>
            </w:pPr>
            <w:r>
              <w:rPr>
                <w:rFonts w:ascii="Arial" w:cs="Arial" w:eastAsia="Arial" w:hAnsi="Arial"/>
                <w:sz w:val="18"/>
                <w:szCs w:val="18"/>
                <w:color w:val="auto"/>
                <w:w w:val="97"/>
              </w:rPr>
              <w:t>Amortization of net actuarial (gains) losses and prior service costs included in compensation</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and benefits 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Amortization of effective portion of net (gains) losses on cash flow hedges included in interest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1,949.4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4,091.8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0" w:name="page51"/>
    <w:bookmarkEnd w:id="50"/>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338,240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17,830.3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4,063.4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4,063.4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Dividends on common stock of $6.14 per share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(2,088.5)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Impact of adoption of standards update on employee share-</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based payments, net of tax</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339,235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17,900.3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4,497.2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22,411.8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6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9"/>
              </w:rPr>
              <w:t>Total CME</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6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20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339,235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3"/>
              </w:rPr>
              <w:t>$ 17,900.3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4,497.2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22,411.8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22,411.8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1,962.2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1,962.2</w:t>
            </w:r>
          </w:p>
        </w:tc>
        <w:tc>
          <w:tcPr>
            <w:tcW w:w="20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Dividends on common stock of</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$4.55 per share</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(1,591.6)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(1,591.6)</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(1,591.6)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standards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update on tax effects related to</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accumulated other comprehensive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and revenue recognition</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3"/>
              </w:rPr>
              <w:t>Common stock issued to complete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the acquisition of NEX</w:t>
            </w:r>
          </w:p>
        </w:tc>
        <w:tc>
          <w:tcPr>
            <w:tcW w:w="820" w:type="dxa"/>
            <w:vAlign w:val="bottom"/>
          </w:tcPr>
          <w:p>
            <w:pPr>
              <w:jc w:val="right"/>
              <w:spacing w:after="0"/>
              <w:rPr>
                <w:sz w:val="20"/>
                <w:szCs w:val="20"/>
                <w:color w:val="auto"/>
              </w:rPr>
            </w:pPr>
            <w:r>
              <w:rPr>
                <w:rFonts w:ascii="Arial" w:cs="Arial" w:eastAsia="Arial" w:hAnsi="Arial"/>
                <w:sz w:val="18"/>
                <w:szCs w:val="18"/>
                <w:color w:val="auto"/>
              </w:rPr>
              <w:t>16,927</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3,105.8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3,105.8</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3,105.8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Non-controlling interest resulting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the acquisition of NEX</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Vesting of issued restricted Class A</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0"/>
              </w:rPr>
              <w:t>Shares issued to Board of Directors</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under Employee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68.5</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356,824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3"/>
              </w:rPr>
              <w:t>$ 21,057.9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4,855.3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25,918.5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46.8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25,965.3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Balance at December 31, 2018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356,824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4"/>
              </w:rPr>
              <w:t>21,057.9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25,965.3</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2,116.5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2,116.5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2,115.8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Dividends on common stock of</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$5.50 per share</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(1,970.0)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Impact of adoption of standards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updates on leasing</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Changes in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40"/>
              <w:spacing w:after="0"/>
              <w:rPr>
                <w:sz w:val="20"/>
                <w:szCs w:val="20"/>
                <w:color w:val="auto"/>
              </w:rPr>
            </w:pPr>
            <w:r>
              <w:rPr>
                <w:rFonts w:ascii="Arial" w:cs="Arial" w:eastAsia="Arial" w:hAnsi="Arial"/>
                <w:sz w:val="18"/>
                <w:szCs w:val="18"/>
                <w:color w:val="auto"/>
              </w:rPr>
              <w:t>interest due to measurement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period adjustments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2"/>
              </w:rPr>
              <w:t>Vesting of issued restricted Class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A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to Board of</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8"/>
              </w:rPr>
              <w:t>Shares issued under Employee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Stock Purchase Plan</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57"/>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w w:val="95"/>
              </w:rPr>
              <w:t>Balance at December 31, 2019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357,469</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w w:val="94"/>
              </w:rPr>
              <w:t>21,116.8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5,008.7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26,128.9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26,159.3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2,115.8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4,063.4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losses on assets held for sale and impaired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3"/>
              </w:rPr>
              <w:t>Income tax expense reclassified from accumulated other comprehensive income upon</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final sale of BM&amp;FBOVESPA shares</w:t>
            </w:r>
          </w:p>
        </w:tc>
        <w:tc>
          <w:tcPr>
            <w:tcW w:w="3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derivative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realized and unrealized gains on investments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(2,445.6)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2,672.8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1,751.1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6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and sales of available-for-sale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 in business ventures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business ventures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to acquire NEX, net of cash received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w:t>
            </w:r>
          </w:p>
        </w:tc>
      </w:tr>
      <w:tr>
        <w:trPr>
          <w:trHeight w:val="20"/>
        </w:trPr>
        <w:tc>
          <w:tcPr>
            <w:tcW w:w="6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Issuance of commercial paper, net of maturities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other borrowings, net of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Repayment of other borrowings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settlement of (premium payment for) derivative contract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taxes paid on restricted stock vesting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(1,985.3)</w:t>
            </w:r>
          </w:p>
        </w:tc>
      </w:tr>
      <w:tr>
        <w:trPr>
          <w:trHeight w:val="291"/>
        </w:trPr>
        <w:tc>
          <w:tcPr>
            <w:tcW w:w="6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1,906.0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1,960.3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1,556.6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1,377.2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1,906.0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1,551.4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1,903.6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Long-term restricted cash</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1,556.6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1,906.0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7"/>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paid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paid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Common stock issued for the acquisition of NEX</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Declaration of annual variable dividend, payable in January 2020, January 2019 and</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January 2018</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893.7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624.4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1,187.3</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CME Group Inc. (CME Group) exchanges offer the widest range of global benchmark products across all major asset classes based on interest rates, equity indexes, foreign exchange (FX), agricultural, energy and metal commodities. We offer futures and options trading across asset classes through the CME Globex platform, cash and repo fixed income trading via BrokerTec, and cash and OTC FX trading via EBS. In addition, it operates one of the world’s leading central counterparty clearing houses. CME Group offers clearing, settlement and guarantees for all products cleared through the clearing house.</w:t>
      </w:r>
    </w:p>
    <w:p>
      <w:pPr>
        <w:spacing w:after="0" w:line="15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Chicago Mercantile Exchange Inc. (CME), the Board of Trade of the City of Chicago, Inc. (CBOT), New York Mercantile Exchange, Inc. (NYMEX) and Commodity Exchange, Inc. (COMEX), wholly-owned subsidiaries of CME Group, are designated contract markets for the trading of futures and options contracts.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November 2, 2018, CME Group completed its acquisition of NEX Group plc (NEX). NEX offers electronic trade execution platforms for the foreign exchange and fixed income over-the-counter markets as well as other services across the transaction lifecycle, including trade and portfolio management and portfolio compression. The financial statements and accompanying notes presented in this report include the financial results of NEX and its subsidiaries beginning on November 3,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CME Group and its subsidiaries are referred to collectively as “the company” in the notes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accompanying consolidated financial statements are prepared in accordance with accounting principles generally accepted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and include the accounts of the company and its subsidiaries. All intercompany transactions and balances have been eliminated.</w:t>
      </w:r>
    </w:p>
    <w:p>
      <w:pPr>
        <w:spacing w:after="0" w:line="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requires management to make estimates and assumptions that affect the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and the disclosure of contingent amounts on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7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and highly liquid investments with a maturity of three months or less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w:t>
      </w:r>
    </w:p>
    <w:p>
      <w:pPr>
        <w:spacing w:after="0" w:line="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Financial Investments. </w:t>
      </w:r>
      <w:r>
        <w:rPr>
          <w:rFonts w:ascii="Arial" w:cs="Arial" w:eastAsia="Arial" w:hAnsi="Arial"/>
          <w:sz w:val="18"/>
          <w:szCs w:val="18"/>
          <w:color w:val="auto"/>
        </w:rPr>
        <w:t>The company maintains short-term and long-term investments, classified as equity method investments, equity securities, available-for-sale debt securities, and trading securities. Available-for-sale debt securities are carried at fair value, with unrealized gains and losses, net of deferred income taxes, reported as a component of accumulated other comprehensive income. Trading securities held in connection with non-qualified deferred compensation plans and equity securities are recorded at fair value, with net realized and unrealized gains and losses and dividend income reported as investment income. For equity investments in privately-held entities that do not have a readily determinable fair value, our accounting policy is to utilize the measurement alternative for valuation of these investments, which permits the company to estimate fair value at cost minus impairment, plus or minus changes resulting from observable price movements. Also, the company maintains long-term investments accounted for under the equity method, which requires that the company recognize our share of net income (loss) in the investee as an adjustment to the carrying amount of the investment each reporting period.</w:t>
      </w:r>
    </w:p>
    <w:p>
      <w:pPr>
        <w:spacing w:after="0" w:line="8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reviews its investment portfolio to determine whether a decline in fair value below the carrying value is other-than-temporary. If events and circumstances indicate that a decline in the value of one or more assets has occurred and is deemed to be other-than-temporary, the carrying value of the investment is reduced to its fair value and a corresponding impairment expense is charged to earnings.</w:t>
      </w:r>
    </w:p>
    <w:p>
      <w:pPr>
        <w:spacing w:after="0" w:line="69"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The company uses a three-level classification hierarchy of fair value measurements that establishes the quality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4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Derivative Investments. </w:t>
      </w:r>
      <w:r>
        <w:rPr>
          <w:rFonts w:ascii="Arial" w:cs="Arial" w:eastAsia="Arial" w:hAnsi="Arial"/>
          <w:sz w:val="18"/>
          <w:szCs w:val="18"/>
          <w:color w:val="auto"/>
        </w:rPr>
        <w:t>The company uses derivative instruments to limit exposure to changes in interest rates and foreign currency exchange rates.</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are recorded at fair value on the consolidated balance sheets. For those derivatives that meet the criteria for hedge accounting and are classified as effective cash flow hedges, changes in the fair value of the hedges is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deferred in accumulated other comprehensive income. Any realized gains and losses from effective hedges are classified within the same financial statement line item on the consolidated statements of income as the hedge risk. For any hedges no longer deemed effective or for which hedge accounting is not applied, changes in fair value of the derivative instruments are recognized in earnings immediately within other non-operating income (expense).</w:t>
      </w:r>
    </w:p>
    <w:p>
      <w:pPr>
        <w:spacing w:after="0" w:line="35"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comprised of trade receivables and unbilled revenue. All accounts receivable are stated at cost. Exposure to</w:t>
      </w:r>
      <w:r>
        <w:rPr>
          <w:rFonts w:ascii="Arial" w:cs="Arial" w:eastAsia="Arial" w:hAnsi="Arial"/>
          <w:sz w:val="18"/>
          <w:szCs w:val="18"/>
          <w:b w:val="1"/>
          <w:bCs w:val="1"/>
          <w:color w:val="auto"/>
        </w:rPr>
        <w:t xml:space="preserve"> </w:t>
      </w:r>
      <w:r>
        <w:rPr>
          <w:rFonts w:ascii="Arial" w:cs="Arial" w:eastAsia="Arial" w:hAnsi="Arial"/>
          <w:sz w:val="18"/>
          <w:szCs w:val="18"/>
          <w:color w:val="auto"/>
        </w:rPr>
        <w:t>losses on receivables for clearing and transaction fees and other amounts owed by clearing and trading firms is dependent on each firm's financial condition. With respect to clearing firms, our credit loss exposure is mitigated by the memberships that collateralize fees owed to the company. The company retains the right to liquidate exchange memberships to satisfy an outstanding receivable. The allowance for doubtful accounts is calculated based on historical losses and management's assessment of probable future collections.</w:t>
      </w:r>
    </w:p>
    <w:p>
      <w:pPr>
        <w:spacing w:after="0" w:line="76" w:lineRule="exact"/>
        <w:rPr>
          <w:sz w:val="20"/>
          <w:szCs w:val="20"/>
          <w:color w:val="auto"/>
        </w:rPr>
      </w:pPr>
    </w:p>
    <w:p>
      <w:pPr>
        <w:jc w:val="both"/>
        <w:ind w:right="80"/>
        <w:spacing w:after="0" w:line="282" w:lineRule="auto"/>
        <w:rPr>
          <w:sz w:val="20"/>
          <w:szCs w:val="20"/>
          <w:color w:val="auto"/>
        </w:rPr>
      </w:pPr>
      <w:r>
        <w:rPr>
          <w:rFonts w:ascii="Arial" w:cs="Arial" w:eastAsia="Arial" w:hAnsi="Arial"/>
          <w:sz w:val="18"/>
          <w:szCs w:val="18"/>
          <w:b w:val="1"/>
          <w:bCs w:val="1"/>
          <w:color w:val="auto"/>
        </w:rPr>
        <w:t xml:space="preserve">Performance Bonds and Guaranty Fund Contributions. </w:t>
      </w:r>
      <w:r>
        <w:rPr>
          <w:rFonts w:ascii="Arial" w:cs="Arial" w:eastAsia="Arial" w:hAnsi="Arial"/>
          <w:sz w:val="18"/>
          <w:szCs w:val="18"/>
          <w:color w:val="auto"/>
        </w:rPr>
        <w:t>Performance bonds and guaranty fund contributions held for clearing firms may be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securities or other non-cash deposits.</w:t>
      </w:r>
    </w:p>
    <w:p>
      <w:pPr>
        <w:spacing w:after="0" w:line="58"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Performance bonds and guaranty fund contributions received in the form of cash held by CME may be invested in U.S. government securities, U.S. government agency securities and certain foreign government securities acquired through and held by a bank or broker-dealer subsidiary of a bank, a cash account at the Federal Reserve Bank of Chicago, reverse repurchase agreements secured with highly rated government securities, money market funds or through CME's Interest Earning Facility (IEF) program. Any interest earned on CME investments accrues to CME and is included in investment income on the consolidated statements of income. CME may distribute any interest earned on its investments to the clearing firms at its discretion. Because CME has control of the cash collateral and the benefits and market risks of ownership accrue to CME, cash performance bonds and guaranty fund contributions are reflected on the consolidated balance sheets.</w:t>
      </w:r>
    </w:p>
    <w:p>
      <w:pPr>
        <w:spacing w:after="0" w:line="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on the consolidated balance sheets.</w:t>
      </w:r>
    </w:p>
    <w:p>
      <w:pPr>
        <w:spacing w:after="0" w:line="4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 xml:space="preserve">Property. </w:t>
      </w:r>
      <w:r>
        <w:rPr>
          <w:rFonts w:ascii="Arial" w:cs="Arial" w:eastAsia="Arial" w:hAnsi="Arial"/>
          <w:sz w:val="16"/>
          <w:szCs w:val="16"/>
          <w:color w:val="auto"/>
        </w:rPr>
        <w:t>Property is stated at cost, less accumulated depreciation and amortization. Depreciation and amortization are calculated using the straight-line</w:t>
      </w:r>
      <w:r>
        <w:rPr>
          <w:rFonts w:ascii="Arial" w:cs="Arial" w:eastAsia="Arial" w:hAnsi="Arial"/>
          <w:sz w:val="16"/>
          <w:szCs w:val="16"/>
          <w:b w:val="1"/>
          <w:bCs w:val="1"/>
          <w:color w:val="auto"/>
        </w:rPr>
        <w:t xml:space="preserve"> </w:t>
      </w:r>
      <w:r>
        <w:rPr>
          <w:rFonts w:ascii="Arial" w:cs="Arial" w:eastAsia="Arial" w:hAnsi="Arial"/>
          <w:sz w:val="16"/>
          <w:szCs w:val="16"/>
          <w:color w:val="auto"/>
        </w:rPr>
        <w:t>method, generally over two to thirty-nine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or obtaining computer software for internal use which meet the requirements for capitalization are amortized on a straight-line basis over the estimated useful life of the software, generally two to four years.</w:t>
      </w:r>
    </w:p>
    <w:p>
      <w:pPr>
        <w:spacing w:after="0" w:line="4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The company accounts for our leases of office space as operating leases. Landlord allowances are recorded as a direct reduction to the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lease asset, which is reported in other assets and amortized to rent expense over the term of the lease. The associated lease liability represents the present value of lease payments remaining in the lease term and is recorded within current and other liabilities depending upon the balance sheet classification of the payment obligations as short-term or long-term. For sale leaseback transactions, the company evaluates the sale and the lease arrangement based on the company's conclusion as to whether control of the underlying asset has been transferred and recognizes the sale leaseback as either a sale transaction or under the financing method, which requires the asset to remain on the consolidated balance sheets throughout the term of the lease and the proceeds to be recognized as a financing obligation. A portion of the lease payments is recognized as a reduction of the financing obligation and a portion is recognized as interest expense based on an imputed interest rate.</w:t>
      </w:r>
    </w:p>
    <w:p>
      <w:pPr>
        <w:spacing w:after="0" w:line="17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Goodwill represents the excess of the purchase price over the fair value of the net assets acquired in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The company reviews goodwill and indefinite-lived intangible assets for impairment at least quarterly and whenever events or circumstances indicate that their carrying values may not be recoverable. The company may test goodwill quantitatively for impairment by comparing the carrying value of a reporting unit to its estimated fair value. Estimating the fair value of a reporting unit involves significant judgments inherent in the analysis including estimating the amount and timing of future cash flows and the selection of appropriate discount rates and long-term growth rate assumptions. Changes in these estimates and assumptions could materially affect the determination of fair value for the reporting unit. If the carrying amount exceeds fair value, an impairment loss is recorded. In certain circumstances, goodwill may be reviewed qualitatively for indications of impairment without utilizing valuation techniques to estimate fair value.</w:t>
      </w:r>
    </w:p>
    <w:p>
      <w:pPr>
        <w:spacing w:after="0" w:line="17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evaluates the recoverability of indefinite-lived intangible assets at least quarterly by comparing the estimated fair value of the intangible asset to its carrying value. If the indefinite-lived intangible asset carrying value 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may be reviewed qualitatively for indications of impairment without utilizing valuation techniques to estimate fair value.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Intangible assets subject to amortization are also assessed for impairment at least quarterly or when indicated by a change in economic or operational circumstances. The impairment assessment of these assets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 and annually challenge the useful lives.</w:t>
      </w:r>
    </w:p>
    <w:p>
      <w:pPr>
        <w:spacing w:after="0" w:line="59"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company accounts for business combinations using the acquisition method. The method requires the acquirer to recognize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The company recognizes the funded status of defined benefit postretirement plans on its consolidated balance sheets.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accumulated other comprehensive income (loss).</w:t>
      </w:r>
    </w:p>
    <w:p>
      <w:pPr>
        <w:spacing w:after="0" w:line="18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 Foreign currency denominated assets and liabilities are re-measured into the functional currency using period-end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rates. Gains and losses from foreign currency transactions are included in other expense on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recognition policies for specific sources of revenue are discussed below.</w:t>
      </w:r>
    </w:p>
    <w:p>
      <w:pPr>
        <w:spacing w:after="0" w:line="121" w:lineRule="exact"/>
        <w:rPr>
          <w:sz w:val="20"/>
          <w:szCs w:val="20"/>
          <w:color w:val="auto"/>
        </w:rPr>
      </w:pPr>
    </w:p>
    <w:p>
      <w:pPr>
        <w:ind w:left="440"/>
        <w:spacing w:after="0" w:line="270" w:lineRule="auto"/>
        <w:rPr>
          <w:sz w:val="20"/>
          <w:szCs w:val="20"/>
          <w:color w:val="auto"/>
        </w:rPr>
      </w:pPr>
      <w:r>
        <w:rPr>
          <w:rFonts w:ascii="Arial" w:cs="Arial" w:eastAsia="Arial" w:hAnsi="Arial"/>
          <w:sz w:val="17"/>
          <w:szCs w:val="17"/>
          <w:i w:val="1"/>
          <w:iCs w:val="1"/>
          <w:color w:val="auto"/>
        </w:rPr>
        <w:t xml:space="preserve">Clearing and Transaction Fees. </w:t>
      </w:r>
      <w:r>
        <w:rPr>
          <w:rFonts w:ascii="Arial" w:cs="Arial" w:eastAsia="Arial" w:hAnsi="Arial"/>
          <w:sz w:val="17"/>
          <w:szCs w:val="17"/>
          <w:color w:val="auto"/>
        </w:rPr>
        <w:t>Clearing and transaction fees include per-contract charges for trade execution, clearing, trading on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trading platforms, portfolio reconciliation and compression services, risk mitigation, and other fees. Fees are charged at various rates based on the product traded, the method of trade, the exchange trading privileges of the customer making the trade and the type of contract. The majority of our clearing and transaction fees are recognized as revenue when a buy and sell order are matched.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the company,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74" w:lineRule="exact"/>
        <w:rPr>
          <w:sz w:val="20"/>
          <w:szCs w:val="20"/>
          <w:color w:val="auto"/>
        </w:rPr>
      </w:pPr>
    </w:p>
    <w:p>
      <w:pPr>
        <w:ind w:left="440" w:right="140"/>
        <w:spacing w:after="0" w:line="302" w:lineRule="auto"/>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Market data and information services represent revenue earned for the dissemination of market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are accrued each month based on the number of devices reported by vendors or over a straight line basis in accordance with the market data subscription contract term. The company conducts periodic examinations of the number of devices reported and assesses additional fees as necessary. On occasion, customers will pay for services in a lump sum payment; however, revenue is recognized as services are provided.</w:t>
      </w:r>
    </w:p>
    <w:p>
      <w:pPr>
        <w:spacing w:after="0" w:line="46" w:lineRule="exact"/>
        <w:rPr>
          <w:sz w:val="20"/>
          <w:szCs w:val="20"/>
          <w:color w:val="auto"/>
        </w:rPr>
      </w:pPr>
    </w:p>
    <w:p>
      <w:pPr>
        <w:ind w:left="440" w:right="520"/>
        <w:spacing w:after="0" w:line="342" w:lineRule="auto"/>
        <w:rPr>
          <w:sz w:val="20"/>
          <w:szCs w:val="20"/>
          <w:color w:val="auto"/>
        </w:rPr>
      </w:pPr>
      <w:r>
        <w:rPr>
          <w:rFonts w:ascii="Arial" w:cs="Arial" w:eastAsia="Arial" w:hAnsi="Arial"/>
          <w:sz w:val="16"/>
          <w:szCs w:val="16"/>
          <w:i w:val="1"/>
          <w:iCs w:val="1"/>
          <w:color w:val="auto"/>
        </w:rPr>
        <w:t xml:space="preserve">Other Revenues. </w:t>
      </w:r>
      <w:r>
        <w:rPr>
          <w:rFonts w:ascii="Arial" w:cs="Arial" w:eastAsia="Arial" w:hAnsi="Arial"/>
          <w:sz w:val="16"/>
          <w:szCs w:val="16"/>
          <w:color w:val="auto"/>
        </w:rPr>
        <w:t>Other revenues include access and communication fees, fees for collateral management and fees for trade order routing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from various strategic relationships as well as other services to customers. Revenue is recognized as services are provided.</w:t>
      </w:r>
    </w:p>
    <w:p>
      <w:pPr>
        <w:spacing w:after="0" w:line="16" w:lineRule="exact"/>
        <w:rPr>
          <w:sz w:val="20"/>
          <w:szCs w:val="20"/>
          <w:color w:val="auto"/>
        </w:rPr>
      </w:pPr>
    </w:p>
    <w:p>
      <w:pPr>
        <w:ind w:left="440"/>
        <w:spacing w:after="0" w:line="276" w:lineRule="auto"/>
        <w:rPr>
          <w:sz w:val="20"/>
          <w:szCs w:val="20"/>
          <w:color w:val="auto"/>
        </w:rPr>
      </w:pPr>
      <w:r>
        <w:rPr>
          <w:rFonts w:ascii="Arial" w:cs="Arial" w:eastAsia="Arial" w:hAnsi="Arial"/>
          <w:sz w:val="17"/>
          <w:szCs w:val="17"/>
          <w:i w:val="1"/>
          <w:iCs w:val="1"/>
          <w:color w:val="auto"/>
        </w:rPr>
        <w:t xml:space="preserve">Concentration of Revenue. </w:t>
      </w:r>
      <w:r>
        <w:rPr>
          <w:rFonts w:ascii="Arial" w:cs="Arial" w:eastAsia="Arial" w:hAnsi="Arial"/>
          <w:sz w:val="17"/>
          <w:szCs w:val="17"/>
          <w:color w:val="auto"/>
        </w:rPr>
        <w:t>No individual clearing firm represented at least 10% of our clearing and transaction fees in 2019. One clearing firm</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represented 10% of the company's clearing and transaction fee revenue in 2018. One clearing firm represented 13% and another clearing firm represented 12% of clearing and transaction fees revenue in 2017. Should a clearing firm withdraw from the company,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64" w:lineRule="exact"/>
        <w:rPr>
          <w:sz w:val="20"/>
          <w:szCs w:val="20"/>
          <w:color w:val="auto"/>
        </w:rPr>
      </w:pPr>
    </w:p>
    <w:p>
      <w:pPr>
        <w:ind w:left="440" w:right="140"/>
        <w:spacing w:after="0" w:line="259" w:lineRule="auto"/>
        <w:rPr>
          <w:sz w:val="20"/>
          <w:szCs w:val="20"/>
          <w:color w:val="auto"/>
        </w:rPr>
      </w:pPr>
      <w:r>
        <w:rPr>
          <w:rFonts w:ascii="Arial" w:cs="Arial" w:eastAsia="Arial" w:hAnsi="Arial"/>
          <w:sz w:val="18"/>
          <w:szCs w:val="18"/>
          <w:color w:val="auto"/>
        </w:rPr>
        <w:t>The two largest resellers of market data represented approximately 37% of market data and information services revenue in 2019, 41% in 2018, and 45% in 2017.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2" w:right="27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color w:val="auto"/>
        </w:rPr>
        <w:t>The company accounts for share-based payments at fair value, which is based on the grant date price of the equity awards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recognizes expense relating to stock-based compensation on an accelerated basis. As a result, the expense associated with each vesting date within a stock grant is recognized over the period of time that each portion of that grant vests.</w:t>
      </w:r>
    </w:p>
    <w:p>
      <w:pPr>
        <w:spacing w:after="0" w:line="68"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8"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Deferred income taxes arise from temporary differences between the tax basis and book basis of assets and liabilities. A valuation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classifies interest and penalties related to uncertain tax positions in income tax expense.</w:t>
      </w:r>
    </w:p>
    <w:p>
      <w:pPr>
        <w:spacing w:after="0" w:line="57"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 xml:space="preserve">Segment Reporting. </w:t>
      </w:r>
      <w:r>
        <w:rPr>
          <w:rFonts w:ascii="Arial" w:cs="Arial" w:eastAsia="Arial" w:hAnsi="Arial"/>
          <w:sz w:val="17"/>
          <w:szCs w:val="17"/>
          <w:color w:val="auto"/>
        </w:rPr>
        <w:t>The company reports the results of its operations as one operating segment primarily comprised of the businesses of CME, CBOT,</w:t>
      </w:r>
      <w:r>
        <w:rPr>
          <w:rFonts w:ascii="Arial" w:cs="Arial" w:eastAsia="Arial" w:hAnsi="Arial"/>
          <w:sz w:val="17"/>
          <w:szCs w:val="17"/>
          <w:b w:val="1"/>
          <w:bCs w:val="1"/>
          <w:color w:val="auto"/>
        </w:rPr>
        <w:t xml:space="preserve"> </w:t>
      </w:r>
      <w:r>
        <w:rPr>
          <w:rFonts w:ascii="Arial" w:cs="Arial" w:eastAsia="Arial" w:hAnsi="Arial"/>
          <w:sz w:val="17"/>
          <w:szCs w:val="17"/>
          <w:color w:val="auto"/>
        </w:rPr>
        <w:t>NYMEX, COMEX and NEX. The remaining operations do not meet the thresholds for reporting separate segment information.</w:t>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Newly Adopted Accounting Policies. </w:t>
      </w:r>
      <w:r>
        <w:rPr>
          <w:rFonts w:ascii="Arial" w:cs="Arial" w:eastAsia="Arial" w:hAnsi="Arial"/>
          <w:sz w:val="17"/>
          <w:szCs w:val="17"/>
          <w:color w:val="auto"/>
        </w:rPr>
        <w:t>In February 2016, the FASB issued a standards update that requires lessees to recognize on the balance sheet the assets</w:t>
      </w:r>
      <w:r>
        <w:rPr>
          <w:rFonts w:ascii="Arial" w:cs="Arial" w:eastAsia="Arial" w:hAnsi="Arial"/>
          <w:sz w:val="17"/>
          <w:szCs w:val="17"/>
          <w:b w:val="1"/>
          <w:bCs w:val="1"/>
          <w:color w:val="auto"/>
        </w:rPr>
        <w:t xml:space="preserve"> </w:t>
      </w:r>
      <w:r>
        <w:rPr>
          <w:rFonts w:ascii="Arial" w:cs="Arial" w:eastAsia="Arial" w:hAnsi="Arial"/>
          <w:sz w:val="17"/>
          <w:szCs w:val="17"/>
          <w:color w:val="auto"/>
        </w:rPr>
        <w:t>and liabilities associated with the rights and obligations created by those leases. The guidance for lessors is largely unchanged from current accounting rules. Under the new guidance, a lessee is required to recognize assets and liabilities for leases with terms of more than 12 months. Consistent with current accounting standards, the recognition, measurement, and presentation of expenses and cash flows arising from a lease by a lessee primarily will depend on its classification as a finance or operating lease. The company implemented this standard on January 1, 2019 using the modified retrospective approach with a cumulative effect of initially applying the guidance recognized on the date of initial adoption. Upon adoption of the new standard on January 1, 2019, the company recognized a lease liability of $568.0 million and right-of-use asset of $448.2 million.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Recently Issued Accounting Pronouncements. </w:t>
      </w:r>
      <w:r>
        <w:rPr>
          <w:rFonts w:ascii="Arial" w:cs="Arial" w:eastAsia="Arial" w:hAnsi="Arial"/>
          <w:sz w:val="16"/>
          <w:szCs w:val="16"/>
          <w:color w:val="auto"/>
        </w:rPr>
        <w:t>In June 2016, the FASB issued guidance that changes how credit losses are measured for most financial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assets measured at amortized cost and certain other instruments. The standard requires an entity to estimate its lifetime expected credit loss and record an</w:t>
      </w:r>
    </w:p>
    <w:p>
      <w:pPr>
        <w:spacing w:after="0" w:line="3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The company does not believe that the adoption of this guidance in 2020 will have a material impact on the consolidated financial statements.</w:t>
      </w:r>
    </w:p>
    <w:p>
      <w:pPr>
        <w:spacing w:after="0" w:line="13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August 2018, the FASB issued a standards update that modifies the disclosure requirements for employers that sponsor defined pension or other postretirement plans. The guidance clarifies certain existing disclosures and expands the requirements for others. Disclosures that are not considered cost beneficial are removed by the update. Also, there is a new disclosure requirement to include an explanation of the reasons for significant gains and losses related to changes in the benefit obligation for the period. This guidance is effective for reporting periods beginning in 2021. Early adoption is permitted. The company plans to update the disclosures for these changes upon adoption of the guidance in 2021.</w:t>
      </w:r>
    </w:p>
    <w:p>
      <w:pPr>
        <w:spacing w:after="0" w:line="1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December 2019, the FASB issued an accounting update that is intended to reduce cost and complexity related to accounting for income taxes. The update removes specific exceptions to the general principles for accounting for income taxes. Specifically, it eliminates the need for an entity to analyze whether the following exceptions apply in a given period: incremental approach for intraperiod tax allocation, accounting basis differences when there are ownership changes in foreign investments, and interim period income tax accounting for year-to-date losses that exceed anticipated losses. The update also simplifies the accounting for the following: franchise taxes that are partially based on income, transactions with a government that result in a step up in the tax basis of goodwill, separate financial statements of legal entities that are not subject to tax, and enacted changes in tax laws in interim periods. This update is effective for reporting periods beginning after December 15, 2020. Early adoption is permitted in any period for which the entity's financial statements have not yet been issued. The company does not believe that the adoption of this guidance will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November 2, 2018, the company completed its acquisition of NEX and its subsidiaries in a transaction valued at £11.28 per share ($14.63 per share based on the CME Group share price of $183.75 and the exchange rate of US$1.30:£1 on November 2, 2018), consisting of £5.00 per share in cash and 0.0444 CME Group shares. The total equity value of the transaction was approximately £4.3 billion ($5.6 billion), including the issuance of 16.9 million CME Group class A shares and $2.5 billion of cash consideration. As part of the acquisition, the company also assumed $1.0 billion of existing debt of NEX. The cash consideration was funded with $1.2 billion of net proceeds received from a debt offering of fixed rate notes in June 2018, borrowings from commercial paper and cash on hand. The company entered into this acquisition primarily as a means to expand its product base, further leverage its existing operating model, extend its presence in the over-the-counter market and better position itself to compete on a global scale.</w:t>
      </w:r>
    </w:p>
    <w:p>
      <w:pPr>
        <w:spacing w:after="0" w:line="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Purchase Price Allocation. </w:t>
      </w:r>
      <w:r>
        <w:rPr>
          <w:rFonts w:ascii="Arial" w:cs="Arial" w:eastAsia="Arial" w:hAnsi="Arial"/>
          <w:sz w:val="17"/>
          <w:szCs w:val="17"/>
          <w:color w:val="auto"/>
        </w:rPr>
        <w:t>The purchase price has been allocated to NEX's net tangible and identifiable intangible assets based on their estimated fair values</w:t>
      </w:r>
      <w:r>
        <w:rPr>
          <w:rFonts w:ascii="Arial" w:cs="Arial" w:eastAsia="Arial" w:hAnsi="Arial"/>
          <w:sz w:val="17"/>
          <w:szCs w:val="17"/>
          <w:i w:val="1"/>
          <w:iCs w:val="1"/>
          <w:color w:val="auto"/>
        </w:rPr>
        <w:t xml:space="preserve"> </w:t>
      </w:r>
      <w:r>
        <w:rPr>
          <w:rFonts w:ascii="Arial" w:cs="Arial" w:eastAsia="Arial" w:hAnsi="Arial"/>
          <w:sz w:val="17"/>
          <w:szCs w:val="17"/>
          <w:color w:val="auto"/>
        </w:rPr>
        <w:t>as of November 2, 2018. The identifiable intangible assets include customer relationships, technology-related intellectual property and trade names. The goodwill generated from the acquisition was primarily attributable to synergies expected to arise after the acquisition. The company finalized its purchase price allocation in the fourth quarter of 2019. The finalized purchase price allocation was as follows:</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3,258.2</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3,205.9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Debt assumed</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(1,029.1)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on identifiable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assets and liabilities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151.6</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5,584.3</w:t>
            </w:r>
          </w:p>
        </w:tc>
      </w:tr>
      <w:tr>
        <w:trPr>
          <w:trHeight w:val="20"/>
        </w:trPr>
        <w:tc>
          <w:tcPr>
            <w:tcW w:w="9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NEX maintains a 86.7% ownership interest in Traiana Inc and its subsidiaries, resulting in nonredeemable non-controlling interests included in the company's consolidated statements of equity beginning on November 3,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Pro-forma financial information. </w:t>
      </w:r>
      <w:r>
        <w:rPr>
          <w:rFonts w:ascii="Arial" w:cs="Arial" w:eastAsia="Arial" w:hAnsi="Arial"/>
          <w:sz w:val="18"/>
          <w:szCs w:val="18"/>
          <w:color w:val="auto"/>
        </w:rPr>
        <w:t>For the two-month period ended December 31, 2018, NEX revenues and net losses, which include transaction-related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$133.6 million and $(42.5) million respectively.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 presents pro-forma information as if the acquisition of NEX had occurred on January 1, 2017. This pro-forma information combines the historical condensed consolidated results of operations of CME Group and NEX after giving effect to certain adjustments, including purchase accounting fair value adjustments, amortization of intangibles, stock-based compensation expense and acquisition costs, as well as the related income tax effects of those adjustments. The pro-forma information does not necessarily reflect the results of operations that would have occurred had the company acquired NEX on January 1, 2017. Furthermore, cost savings and other business synergies related to the acquisition are not reflected in the pro-forma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540" w:type="dxa"/>
            <w:vAlign w:val="bottom"/>
          </w:tcPr>
          <w:p>
            <w:pPr>
              <w:spacing w:after="0"/>
              <w:rPr>
                <w:sz w:val="16"/>
                <w:szCs w:val="16"/>
                <w:color w:val="auto"/>
              </w:rPr>
            </w:pPr>
          </w:p>
        </w:tc>
        <w:tc>
          <w:tcPr>
            <w:tcW w:w="1500" w:type="dxa"/>
            <w:vAlign w:val="bottom"/>
          </w:tcPr>
          <w:p>
            <w:pPr>
              <w:jc w:val="right"/>
              <w:ind w:right="756"/>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6"/>
                <w:szCs w:val="16"/>
                <w:color w:val="auto"/>
              </w:rPr>
            </w:pPr>
          </w:p>
        </w:tc>
        <w:tc>
          <w:tcPr>
            <w:tcW w:w="1460" w:type="dxa"/>
            <w:vAlign w:val="bottom"/>
          </w:tcPr>
          <w:p>
            <w:pPr>
              <w:jc w:val="right"/>
              <w:ind w:right="736"/>
              <w:spacing w:after="0"/>
              <w:rPr>
                <w:sz w:val="20"/>
                <w:szCs w:val="20"/>
                <w:color w:val="auto"/>
              </w:rPr>
            </w:pPr>
            <w:r>
              <w:rPr>
                <w:rFonts w:ascii="Arial" w:cs="Arial" w:eastAsia="Arial" w:hAnsi="Arial"/>
                <w:sz w:val="14"/>
                <w:szCs w:val="14"/>
                <w:b w:val="1"/>
                <w:bCs w:val="1"/>
                <w:color w:val="auto"/>
              </w:rPr>
              <w:t>2017</w:t>
            </w:r>
          </w:p>
        </w:tc>
      </w:tr>
      <w:tr>
        <w:trPr>
          <w:trHeight w:val="80"/>
        </w:trPr>
        <w:tc>
          <w:tcPr>
            <w:tcW w:w="3360" w:type="dxa"/>
            <w:vAlign w:val="bottom"/>
            <w:tcBorders>
              <w:bottom w:val="single" w:sz="8" w:color="auto"/>
            </w:tcBorders>
          </w:tcPr>
          <w:p>
            <w:pPr>
              <w:spacing w:after="0"/>
              <w:rPr>
                <w:sz w:val="6"/>
                <w:szCs w:val="6"/>
                <w:color w:val="auto"/>
              </w:rPr>
            </w:pPr>
          </w:p>
        </w:tc>
        <w:tc>
          <w:tcPr>
            <w:tcW w:w="45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4,983.8</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4,388.4</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54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2,030.8</w:t>
            </w:r>
          </w:p>
        </w:tc>
        <w:tc>
          <w:tcPr>
            <w:tcW w:w="56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4,043.3</w:t>
            </w:r>
          </w:p>
        </w:tc>
      </w:tr>
      <w:tr>
        <w:trPr>
          <w:trHeight w:val="675"/>
        </w:trPr>
        <w:tc>
          <w:tcPr>
            <w:tcW w:w="3360" w:type="dxa"/>
            <w:vAlign w:val="bottom"/>
          </w:tcPr>
          <w:p>
            <w:pPr>
              <w:spacing w:after="0"/>
              <w:rPr>
                <w:sz w:val="24"/>
                <w:szCs w:val="24"/>
                <w:color w:val="auto"/>
              </w:rPr>
            </w:pPr>
          </w:p>
        </w:tc>
        <w:tc>
          <w:tcPr>
            <w:tcW w:w="4540" w:type="dxa"/>
            <w:vAlign w:val="bottom"/>
          </w:tcPr>
          <w:p>
            <w:pPr>
              <w:jc w:val="right"/>
              <w:ind w:right="2010"/>
              <w:spacing w:after="0"/>
              <w:rPr>
                <w:sz w:val="20"/>
                <w:szCs w:val="20"/>
                <w:color w:val="auto"/>
              </w:rPr>
            </w:pPr>
            <w:r>
              <w:rPr>
                <w:rFonts w:ascii="Arial" w:cs="Arial" w:eastAsia="Arial" w:hAnsi="Arial"/>
                <w:sz w:val="18"/>
                <w:szCs w:val="18"/>
                <w:color w:val="auto"/>
              </w:rPr>
              <w:t>60</w:t>
            </w: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equity securities, available-for-sale debt securities and mutual funds classified as marketable securities on our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equity securities and available-for-sale debt securities at December 31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2019</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6"/>
              </w:rPr>
              <w:t>2018</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1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10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Corporate debt securities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security</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corporate debt securities are maintained for a non-qualified retirement and benefit plan under the COMEX Members' Recognition and Retention Plan (MRRP) (note</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12).</w:t>
      </w:r>
    </w:p>
    <w:p>
      <w:pPr>
        <w:spacing w:after="0" w:line="20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Net unrealized gains (losses) on marketable debt securities classified as available-for-sale are reported as a component of other comprehensive income (loss) and included on the accompanying consolidated statements of comprehensive income and consolidated statements of equity. Changes in the fair value of equity securities are recognized within investment income on the consolidated statements of income.</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fair value and gross unrealized losses of our asset-backed security was $0.3 million and $0.2 million, respectively, at December 31, 2019. The asset-backed security was in an unrealized loss position for more than 12 months at December 31, 2019 and was deemed not to be other-than-temporarily impaired. The company does not intend to sell and is not required to sell these securities prior to maturity.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the corporate debt securities and asset-backed security at December 31, 2019, by contractual maturity, were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of 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between one and five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between five and ten years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greater than ten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maintains additional investments in a diverse portfolio of mutual funds related to its non-qualified deferred compensation plans (note 12). These securities are classified as trading securities. The fair value of these securities was $66.1 million and $52.7 million at December 31, 2019 and 2018,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 from customers from the following sources:</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Clearing and transaction fees. </w:t>
      </w:r>
      <w:r>
        <w:rPr>
          <w:rFonts w:ascii="Arial" w:cs="Arial" w:eastAsia="Arial" w:hAnsi="Arial"/>
          <w:sz w:val="17"/>
          <w:szCs w:val="17"/>
          <w:color w:val="auto"/>
        </w:rPr>
        <w:t>Clearing and transaction fees include electronic trading fees and brokerage commissions, surcharges for privately-negotiated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portfolio reconciliation and compression services,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1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w:t>
      </w:r>
    </w:p>
    <w:p>
      <w:pPr>
        <w:sectPr>
          <w:pgSz w:w="11900" w:h="16838" w:orient="portrait"/>
          <w:cols w:equalWidth="0" w:num="1">
            <w:col w:w="11420"/>
          </w:cols>
          <w:pgMar w:left="240" w:top="122"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are based on historical experience, anticipated performance, and best judgment at the time. Because of the company's certainty in estimating these amounts, they are included in the transaction price of contracts.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Market data and information services represent revenue from the dissemination of market data to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13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Other revenues include certain access and communication fees, fees for collateral management, fees for trade order routing through agreements from</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strategic relationships, as well as other post-trade services to customers and clearing firms. Access and communication fees are charges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disaggregation of revenue from contracts with customers for the years ended December 31, 2019, 2018 and 2017:</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rates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1,201.0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995.4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indexes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185.6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744.2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716.2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rate swap and credit default swap</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68.1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markets business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clearing and transaction fees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3,946.1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3,098.6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403.4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154.3</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4,868.0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4,309.4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3,644.7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Timing of Revenue Recognition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Services transferred at a point in time</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3,696.2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3,561.5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3,052.1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One-time charges and miscellaneous revenues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4,868.0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4,309.4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3,644.7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at the end of each reporting period. For annual licenses and upfront fee arrangements, the company generally bills customers upon contract execution. These payments are recognized as revenue over time as the obligations under the contracts are satisfied. Changes in the contract liability balances during 2019 were not materially impacted by any other factors. The balance of contract liabilities was $42.6 million and $44.4 million as of December 31, 2019 and 2018, respectively.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PERFORMANCE BONDS AND GUARANTY FUND CONTRIBUTIONS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clearing house clears and guarantees the settlement of contracts traded in the futures and options and interest rate swap markets. In its guarantor role, the clearing house has precisely equal and offsetting claims to and from clearing firms on opposite sides of each contract, standing as an intermediary on every contract cleared. In the United States, clearing firm positions are held according to Commodity and Futures Trading Commission (CFTC) regulatory account segregation standards. To the extent that funds are not otherwise available to satisfy an obligation under the applicable contract, the clearing house bears counterparty credit risk in the event that future market movements create conditions that could lead to clearing firms failing to meet their obligations to the clearing house. The clearing house reduces the exposure through risk management programs that include initial and ongoing financial standards for designation as a clearing firm, performance bond requirements, daily mark-to-market, mandatory guaranty fund contributions and intra-day monitoring.</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Each clearing firm is required to deposit and maintain balances in the form of cash, U.S. government securities, certain foreign government securities, bank letters of credit or other approved collateral investments to satisfy performance bond and guaranty fund requirements. All non-cash deposits and certain cash deposits with foreign currency exposure are marked-to-market and haircut on a daily basis. Securities deposited by the clearing firms are not reflected on the consolidated financial statements and the clearing house does not earn any interest on these deposits. These balances may fluctuate significantly over time due to collateral investment choices available to clearing firms and changes in the amount of contributions required.</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clearing house marks-to-market open positions at least once a day (twice a day for futures and options contracts), and requires payment from clearing firms whose positions have lost value and make payments to clearing firms whose positions have gained value. The clearing house has the capability to mark-to-market more frequently as market conditions warrant.</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extremely unlikely scenario of simultaneous default by every clearing firm who has open positions with unrealized losses, the maximum exposure at the time of default related to positions other than interest rate swap contracts would be one half day of changes in fair value of all open positions, before considering the clearing house's ability to access defaulting clearing firms' collateral deposits. 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 The clearing firms' collateral requirements are sized to cover at least one day of anticipated price movements. During 2019, the clearing house transferred an average of approximately $3.4 billion a day through the clearing system for settlement from clearing firms whose positions had lost value to clearing firms whose positions had gained value. The clearing house reduces its exposure through initial and maintenance performance bond requirements and mandatory guaranty fund contributions. The company believes that the guarantee liability is immaterial and therefore has not recorded any liability at December 31, 2019.</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December 31, 2019, performance bond and guaranty fund contribution assets on the consolidated balance sheets include cash as well as U.S. government agency securities with maturity dates of 90 days or less. U.S. government agency securities are purchased by the clearing house, at its discretion, using cash collateral. The benefits, including interest earned, and risks of ownership accrue to the clearing house. Interest earned is included in investment income on the consolidated statements of income. The U.S. government agency securities held at December 31, 2019 will mature during the first quarter of 2020. These securities are marked to fair value on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these securities at December 31, 2019 were as follows. There were no outstanding balances at December 31, 2018.</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2019</w:t>
            </w:r>
          </w:p>
        </w:tc>
        <w:tc>
          <w:tcPr>
            <w:tcW w:w="12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8"/>
              </w:rPr>
              <w:t>Amortized Cost</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4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898.2</w:t>
            </w:r>
          </w:p>
        </w:tc>
      </w:tr>
      <w:tr>
        <w:trPr>
          <w:trHeight w:val="27"/>
        </w:trPr>
        <w:tc>
          <w:tcPr>
            <w:tcW w:w="8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CME has been designated as a systemically important financial market utility by the Financial Stability Oversight Council and maintains cash accounts at the Federal Reserve Bank of Chicago. At December 31, 2019 and 2018, the clearing house maintained $22.9 billion and $24.7 billion, respectively, within the cash accounts at the Federal Reserve Bank of Chicago. The cash deposited at the Federal Reserve Bank of Chicago is included within performance bonds and guaranty fund contributions on the consolidated balance sheets.</w:t>
      </w:r>
    </w:p>
    <w:p>
      <w:pPr>
        <w:spacing w:after="0" w:line="16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Clearing firms, at their option, may instruct the clearing house to deposit the cash or securities held by the clearing house into one of the IEF programs. The total principal in the IEF programs was $4.1 billion at December 31, 2019 and $3.1 billion at December 31, 2018. This balance is not included in the company's consolidated balance sheets.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CME and The Options Clearing Corporation (OCC) have a perpetual cross-margin arrangement, whereby a clearing firm may maintain a cross-margin account in which a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w:t>
      </w:r>
    </w:p>
    <w:p>
      <w:pPr>
        <w:sectPr>
          <w:pgSz w:w="11900" w:h="16838" w:orient="portrait"/>
          <w:cols w:equalWidth="0" w:num="1">
            <w:col w:w="11420"/>
          </w:cols>
          <w:pgMar w:left="240" w:top="122"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cross-margin agreement are reflected at 50% of the total, or CME's proportionate share per that agreement. If a participating firm defaults, the gain or loss on the liquidation of the firm's open position and the proceeds from the liquidation of the cross-margin account would be allocated 50% each to CME and OCC. The company believes that the guarantee liability is immaterial and therefore has not recorded any liability at December 31, 2019.</w:t>
      </w:r>
    </w:p>
    <w:p>
      <w:pPr>
        <w:spacing w:after="0" w:line="16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CME has perpetual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 The company believes that the guarantee liability is immaterial and therefore has not recorded any liability at December 31, 2019.</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clearing firm for futures and options is required to deposit and maintain specified guaranty fund contributions in the form of cash or U.S. Treasury securities. In the event that performance bonds, guaranty fund contributions and other assets required to support clearing membership of a defaulting clearing firm are inadequate to fulfill that clearing firm's outstanding financial obligation, the base guaranty fund for contracts other than interest rate swaps is available to cover potential losses after first utilizing $100.0 million of corporate contributions designated by CME to be used in the event of a default of a clearing firm for the base guaranty fund.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clearing house maintains a separate guaranty fund to support the clearing firms that clear interest rate swap products. The funds for interest rate swaps are independent of the base guaranty fund and are isolated to clearing firms for products in the respective asset class. Each clearing firm for cleared interest rate swaps is required to deposit and maintain specified guaranty fund contributions in the form of cash or U.S. Treasury securities. In the 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CME maintains a 364-day multi-currency line of credit with a consortium of domestic and international banks to be used in certain situations by the clearing house.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2019, guaranty fund contributions available for clearing firms were $8.5 billion. CME has the option to request an increase in the line from $7.0 billion to $10.0 billion, subject to the approval of participating banks. In addition to the 364-day fully secured, committed multi-currency line of credit, the company also has the option to use the $2.4 billion multi-currency revolving senior credit facility to provide liquidity for the clearing house in the unlikely event of default.</w:t>
      </w:r>
    </w:p>
    <w:p>
      <w:pPr>
        <w:spacing w:after="0" w:line="19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clearing house is required under the Commodity Exchange Act in the United States to segregate cash and securities deposited by clearing firms from its customers. In addition, the clearing house requires segregation of all funds deposited by its clearing firms from operating funds.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Cash and non-cash deposits held as performance bonds and guaranty fund contributions at fair value at December 31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2019</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2018</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Non-Cash</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Deposits</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7"/>
              </w:rPr>
              <w:t>Deposits</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360" w:type="dxa"/>
            <w:vAlign w:val="bottom"/>
          </w:tcPr>
          <w:p>
            <w:pPr>
              <w:spacing w:after="0"/>
              <w:rPr>
                <w:sz w:val="12"/>
                <w:szCs w:val="12"/>
                <w:color w:val="auto"/>
              </w:rPr>
            </w:pPr>
          </w:p>
        </w:tc>
        <w:tc>
          <w:tcPr>
            <w:tcW w:w="10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 xml:space="preserve">IEF Funds </w:t>
            </w:r>
            <w:r>
              <w:rPr>
                <w:rFonts w:ascii="Arial" w:cs="Arial" w:eastAsia="Arial" w:hAnsi="Arial"/>
                <w:sz w:val="8"/>
                <w:szCs w:val="8"/>
                <w:b w:val="1"/>
                <w:bCs w:val="1"/>
                <w:color w:val="auto"/>
                <w:w w:val="98"/>
              </w:rPr>
              <w:t>(1)</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IEF Funds (1)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35,597.3</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116,462.7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38,211.4</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102,264.8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Guaranty fund contributions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7,500.6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6,935.9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Cross-margin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Performance bond collateral for delivery</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37,077.0</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124,156.6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39,455.5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109,403.0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 IEF funds include customer-directed investments in IEF funds that are not included on the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Cross-margin arrangements include collateral for the cross-margin accounts with OCC and FICC.</w:t>
      </w:r>
    </w:p>
    <w:p>
      <w:pPr>
        <w:spacing w:after="0" w:line="22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$133.8 million and $206.8 million at December 31, 2019 and 2018, respectively. Intraday settlements may be invested on an overnight basis and are offset by an equal liability owed to clearing firms.</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addition to cash, securities and other non-cash deposits, irrevocable letters of credit may be used as performance bond deposits for clearing firms. At December 31, these letters of credit, which are not included in the accompanying consolidated balance sheets,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2,699.2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Performance bond collateral for delivery</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3,273.0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Letters of Credit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5,972.2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cash, securities and letters of credit posted as performance bonds are only available to meet the financial obligations of that clearing firm to the clearing house.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680" w:type="dxa"/>
            <w:vAlign w:val="bottom"/>
            <w:shd w:val="clear" w:color="auto" w:fill="CCEEFF"/>
          </w:tcPr>
          <w:p>
            <w:pPr>
              <w:jc w:val="center"/>
              <w:ind w:left="13"/>
              <w:spacing w:after="0" w:line="270" w:lineRule="exact"/>
              <w:rPr>
                <w:sz w:val="20"/>
                <w:szCs w:val="20"/>
                <w:color w:val="auto"/>
              </w:rPr>
            </w:pPr>
            <w:r>
              <w:rPr>
                <w:rFonts w:ascii="Arial" w:cs="Arial" w:eastAsia="Arial" w:hAnsi="Arial"/>
                <w:sz w:val="18"/>
                <w:szCs w:val="18"/>
                <w:color w:val="auto"/>
                <w:w w:val="84"/>
              </w:rPr>
              <w:t xml:space="preserve">10 - 20 years </w:t>
            </w:r>
            <w:r>
              <w:rPr>
                <w:rFonts w:ascii="Arial" w:cs="Arial" w:eastAsia="Arial" w:hAnsi="Arial"/>
                <w:sz w:val="25"/>
                <w:szCs w:val="25"/>
                <w:color w:val="auto"/>
                <w:w w:val="84"/>
                <w:vertAlign w:val="superscript"/>
              </w:rPr>
              <w:t>(1)</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174.1</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90"/>
              </w:rPr>
              <w:t>3 - 39 years</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215.6</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0"/>
              </w:rPr>
              <w:t>3 - 19 years</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371.6</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86"/>
              </w:rPr>
              <w:t>2 - 7 years</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software development costs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440.7</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6"/>
              </w:rPr>
              <w:t>2 - 4 years</w:t>
            </w:r>
          </w:p>
        </w:tc>
        <w:tc>
          <w:tcPr>
            <w:tcW w:w="0" w:type="dxa"/>
            <w:vAlign w:val="bottom"/>
          </w:tcPr>
          <w:p>
            <w:pPr>
              <w:spacing w:after="0"/>
              <w:rPr>
                <w:sz w:val="1"/>
                <w:szCs w:val="1"/>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Total property</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1,209.8</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16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Property,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448.7</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 Estimated useful life applies only to land improvements.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5,797.1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(1,346.0)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4,451.1</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5,862.5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4,796.9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6,075.2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4,667.7</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6,144.4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5,050.1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5,500.1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40" w:hanging="652"/>
        <w:spacing w:after="0" w:line="254"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originally assigned useful lives for the amortizable intangible assets as of December 31, 2019 are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Clearing firm, market data and other customer relationships</w:t>
            </w:r>
          </w:p>
        </w:tc>
        <w:tc>
          <w:tcPr>
            <w:tcW w:w="4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5 - 30 years</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Technology-related intellectual property</w:t>
            </w:r>
          </w:p>
        </w:tc>
        <w:tc>
          <w:tcPr>
            <w:tcW w:w="4020" w:type="dxa"/>
            <w:vAlign w:val="bottom"/>
          </w:tcPr>
          <w:p>
            <w:pPr>
              <w:jc w:val="right"/>
              <w:spacing w:after="0"/>
              <w:rPr>
                <w:sz w:val="20"/>
                <w:szCs w:val="20"/>
                <w:color w:val="auto"/>
              </w:rPr>
            </w:pPr>
            <w:r>
              <w:rPr>
                <w:rFonts w:ascii="Arial" w:cs="Arial" w:eastAsia="Arial" w:hAnsi="Arial"/>
                <w:sz w:val="18"/>
                <w:szCs w:val="18"/>
                <w:color w:val="auto"/>
              </w:rPr>
              <w:t>5 - 9 years</w:t>
            </w:r>
          </w:p>
        </w:tc>
      </w:tr>
      <w:tr>
        <w:trPr>
          <w:trHeight w:val="27"/>
        </w:trPr>
        <w:tc>
          <w:tcPr>
            <w:tcW w:w="734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3 - 24.5 years</w:t>
            </w:r>
          </w:p>
        </w:tc>
      </w:tr>
      <w:tr>
        <w:trPr>
          <w:trHeight w:val="27"/>
        </w:trPr>
        <w:tc>
          <w:tcPr>
            <w:tcW w:w="73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Total amortization expense for intangible assets was $314.7 million, $130.0 million and $95.5 million for the years ended December 31, 2019, 2018 and 2017, respectively. As of December 31, 2019, the future estimated amortization expense related to amortizable intangible assets is expected to be as follows: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22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2021</w:t>
            </w:r>
          </w:p>
        </w:tc>
        <w:tc>
          <w:tcPr>
            <w:tcW w:w="7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312.7</w:t>
            </w:r>
          </w:p>
        </w:tc>
      </w:tr>
      <w:tr>
        <w:trPr>
          <w:trHeight w:val="27"/>
        </w:trPr>
        <w:tc>
          <w:tcPr>
            <w:tcW w:w="32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2023</w:t>
            </w:r>
          </w:p>
        </w:tc>
        <w:tc>
          <w:tcPr>
            <w:tcW w:w="7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311.0</w:t>
            </w:r>
          </w:p>
        </w:tc>
      </w:tr>
      <w:tr>
        <w:trPr>
          <w:trHeight w:val="27"/>
        </w:trPr>
        <w:tc>
          <w:tcPr>
            <w:tcW w:w="32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3,114.6</w:t>
            </w:r>
          </w:p>
        </w:tc>
      </w:tr>
      <w:tr>
        <w:trPr>
          <w:trHeight w:val="783"/>
        </w:trPr>
        <w:tc>
          <w:tcPr>
            <w:tcW w:w="3200" w:type="dxa"/>
            <w:vAlign w:val="bottom"/>
          </w:tcPr>
          <w:p>
            <w:pPr>
              <w:spacing w:after="0"/>
              <w:rPr>
                <w:sz w:val="24"/>
                <w:szCs w:val="24"/>
                <w:color w:val="auto"/>
              </w:rPr>
            </w:pPr>
          </w:p>
        </w:tc>
        <w:tc>
          <w:tcPr>
            <w:tcW w:w="7220" w:type="dxa"/>
            <w:vAlign w:val="bottom"/>
          </w:tcPr>
          <w:p>
            <w:pPr>
              <w:jc w:val="right"/>
              <w:ind w:right="4530"/>
              <w:spacing w:after="0"/>
              <w:rPr>
                <w:sz w:val="20"/>
                <w:szCs w:val="20"/>
                <w:color w:val="auto"/>
              </w:rPr>
            </w:pPr>
            <w:r>
              <w:rPr>
                <w:rFonts w:ascii="Arial" w:cs="Arial" w:eastAsia="Arial" w:hAnsi="Arial"/>
                <w:sz w:val="18"/>
                <w:szCs w:val="18"/>
                <w:color w:val="auto"/>
              </w:rPr>
              <w:t>66</w:t>
            </w: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years ended December 31, 2019 and 2018</w:t>
      </w:r>
      <w:r>
        <w:rPr>
          <w:rFonts w:ascii="Arial" w:cs="Arial" w:eastAsia="Arial" w:hAnsi="Arial"/>
          <w:sz w:val="16"/>
          <w:szCs w:val="16"/>
          <w:color w:val="auto"/>
        </w:rPr>
        <w: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2018</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Combinations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Activity (1)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5,066.4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3,236.3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3,173.5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10,805.3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10,742.5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3"/>
              </w:rPr>
              <w:t>Business</w:t>
            </w: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34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2017</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Combinations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Activity</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5,066.4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7,569.0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10,805.3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340" w:firstLine="8"/>
        <w:spacing w:after="0" w:line="349" w:lineRule="auto"/>
        <w:tabs>
          <w:tab w:leader="none" w:pos="1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activity includes measurement period adjustments, including adjustments to intangible assets, fixed assets, other assets and accrued liabilities, as well as goodwill associated with assets sold and held for sale. The company finalized its purchase price allocation of net tangible and intangible assets in the fourth quarter of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various long-term investments as described below. The investments are recorded in other assets on the consolidated balance sheets.</w:t>
      </w:r>
    </w:p>
    <w:p>
      <w:pPr>
        <w:spacing w:after="0" w:line="244"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 xml:space="preserve">Bursa Malaysia Derivatives Berhad. </w:t>
      </w:r>
      <w:r>
        <w:rPr>
          <w:rFonts w:ascii="Arial" w:cs="Arial" w:eastAsia="Arial" w:hAnsi="Arial"/>
          <w:sz w:val="18"/>
          <w:szCs w:val="18"/>
          <w:color w:val="auto"/>
        </w:rPr>
        <w:t>In December 2019, the company sold its 25% interest in Bursa Malaysia Derivatives Berhad (Bursa Malaysia)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a gain of $11.1 million. The company and Bursa Malaysia have entered into several agreements including agreements to provide licensing and trade matching services.</w:t>
      </w:r>
    </w:p>
    <w:p>
      <w:pPr>
        <w:spacing w:after="0" w:line="176"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DME Holdings Limited. </w:t>
      </w:r>
      <w:r>
        <w:rPr>
          <w:rFonts w:ascii="Arial" w:cs="Arial" w:eastAsia="Arial" w:hAnsi="Arial"/>
          <w:sz w:val="16"/>
          <w:szCs w:val="16"/>
          <w:color w:val="auto"/>
        </w:rPr>
        <w:t>The company owns an approximate 50% interest in DME Holdings Limited (DME Holdings), and accounts for its investment in</w:t>
      </w:r>
      <w:r>
        <w:rPr>
          <w:rFonts w:ascii="Arial" w:cs="Arial" w:eastAsia="Arial" w:hAnsi="Arial"/>
          <w:sz w:val="16"/>
          <w:szCs w:val="16"/>
          <w:b w:val="1"/>
          <w:bCs w:val="1"/>
          <w:color w:val="auto"/>
        </w:rPr>
        <w:t xml:space="preserve"> </w:t>
      </w:r>
      <w:r>
        <w:rPr>
          <w:rFonts w:ascii="Arial" w:cs="Arial" w:eastAsia="Arial" w:hAnsi="Arial"/>
          <w:sz w:val="16"/>
          <w:szCs w:val="16"/>
          <w:color w:val="auto"/>
        </w:rPr>
        <w:t>DME Holdings using the equity method of accounting. The company's investment in DME Holdings was $15.9 million at December 31, 2019. The company and DME Holdings maintain an agreement for Dubai Mercantile Exchange futures contracts to be exclusively traded on the CME Globex platform.</w:t>
      </w:r>
    </w:p>
    <w:p>
      <w:pPr>
        <w:spacing w:after="0" w:line="14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S&amp;P/DJI Indices LLC. </w:t>
      </w:r>
      <w:r>
        <w:rPr>
          <w:rFonts w:ascii="Arial" w:cs="Arial" w:eastAsia="Arial" w:hAnsi="Arial"/>
          <w:sz w:val="17"/>
          <w:szCs w:val="17"/>
          <w:color w:val="auto"/>
        </w:rPr>
        <w:t>The company owns a 27% interest in S&amp;P/Dow Jones Indices LLC (S&amp;P/DJI) and accounts for its investment in S&amp;P/DJI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equity method of accounting. The company's investment in S&amp;P/DJI was $991.6 million at December 31, 2019. The company has long-term exclusive licensing agreements with S&amp;P/DJI to list products based on the Standard &amp; Poor's Indices and Dow Jones Indices.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March 2019, the company repaid both the €350.0 million fixed rates notes and the ¥19.1 billion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outstanding consisted of the following at December 31 (in U.S. dollar equivalent):</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70"/>
        </w:trPr>
        <w:tc>
          <w:tcPr>
            <w:tcW w:w="8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€350.0 million fixed rate notes due March 2019, stated rate of 3.13%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400.7</w:t>
            </w:r>
          </w:p>
        </w:tc>
      </w:tr>
      <w:tr>
        <w:trPr>
          <w:trHeight w:val="270"/>
        </w:trPr>
        <w:tc>
          <w:tcPr>
            <w:tcW w:w="83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¥19.1 billion term loan due March 2019, stated rate of 0.81%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173.5</w:t>
            </w:r>
          </w:p>
        </w:tc>
      </w:tr>
      <w:tr>
        <w:trPr>
          <w:trHeight w:val="257"/>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short-term debt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574.2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consisted of the following at December 31 (in U.S. dollar equivalent):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0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$750.0 million fixed rate notes due September 2022, stated rate of 3.00% </w:t>
      </w:r>
      <w:r>
        <w:rPr>
          <w:rFonts w:ascii="Arial" w:cs="Arial" w:eastAsia="Arial" w:hAnsi="Arial"/>
          <w:sz w:val="22"/>
          <w:szCs w:val="22"/>
          <w:color w:val="auto"/>
          <w:vertAlign w:val="superscript"/>
        </w:rPr>
        <w:t>(1)</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€15.0 million fixed rate notes due May 2023, stated rate of 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$750.0 million fixed rate notes due March 2025, stated rate of 3.00% </w:t>
      </w:r>
      <w:r>
        <w:rPr>
          <w:rFonts w:ascii="Arial" w:cs="Arial" w:eastAsia="Arial" w:hAnsi="Arial"/>
          <w:sz w:val="24"/>
          <w:szCs w:val="24"/>
          <w:color w:val="auto"/>
          <w:vertAlign w:val="superscript"/>
        </w:rPr>
        <w:t>(2)</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$500.0 million fixed rate notes due June 2028, stated rate of 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$750.0 million fixed rate notes due September 2043, stated rate of 5.30% </w:t>
      </w:r>
      <w:r>
        <w:rPr>
          <w:rFonts w:ascii="Arial" w:cs="Arial" w:eastAsia="Arial" w:hAnsi="Arial"/>
          <w:sz w:val="22"/>
          <w:szCs w:val="22"/>
          <w:color w:val="auto"/>
          <w:vertAlign w:val="superscript"/>
        </w:rPr>
        <w:t>(3)</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$700.0 million fixed rate notes due June 2048, stated rate of 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5"/>
          <w:szCs w:val="25"/>
          <w:color w:val="auto"/>
          <w:vertAlign w:val="superscript"/>
        </w:rPr>
        <w:t>(4)</w:t>
      </w:r>
    </w:p>
    <w:p>
      <w:pPr>
        <w:ind w:left="40"/>
        <w:spacing w:after="0"/>
        <w:rPr>
          <w:sz w:val="20"/>
          <w:szCs w:val="20"/>
          <w:color w:val="auto"/>
        </w:rPr>
      </w:pPr>
      <w:r>
        <w:rPr>
          <w:rFonts w:ascii="Arial" w:cs="Arial" w:eastAsia="Arial" w:hAnsi="Arial"/>
          <w:sz w:val="18"/>
          <w:szCs w:val="18"/>
          <w:color w:val="auto"/>
        </w:rPr>
        <w:t>Total long-term debt</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746.9</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745.6</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496.4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495.9</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742.8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742.4</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689.5</w:t>
            </w:r>
          </w:p>
        </w:tc>
      </w:tr>
      <w:tr>
        <w:trPr>
          <w:trHeight w:val="270"/>
        </w:trPr>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389.9</w:t>
            </w:r>
          </w:p>
        </w:tc>
      </w:tr>
      <w:tr>
        <w:trPr>
          <w:trHeight w:val="27"/>
        </w:trPr>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3,743.2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3,826.8</w:t>
            </w:r>
          </w:p>
        </w:tc>
      </w:tr>
      <w:tr>
        <w:trPr>
          <w:trHeight w:val="27"/>
        </w:trPr>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ectPr>
          <w:pgSz w:w="11900" w:h="16838" w:orient="portrait"/>
          <w:cols w:equalWidth="0" w:num="2">
            <w:col w:w="7640" w:space="720"/>
            <w:col w:w="3060"/>
          </w:cols>
          <w:pgMar w:left="240" w:top="122" w:right="239" w:bottom="1440" w:gutter="0" w:footer="0" w:header="0"/>
          <w:type w:val="continuous"/>
        </w:sectPr>
      </w:pPr>
    </w:p>
    <w:p>
      <w:pPr>
        <w:spacing w:after="0" w:line="30" w:lineRule="exact"/>
        <w:rPr>
          <w:sz w:val="20"/>
          <w:szCs w:val="20"/>
          <w:color w:val="auto"/>
        </w:rPr>
      </w:pPr>
    </w:p>
    <w:p>
      <w:pPr>
        <w:ind w:left="660" w:right="100" w:hanging="652"/>
        <w:spacing w:after="0" w:line="275"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maintained a forward-starting interest rate swap agreement that modified the interest obligation associated with these notes so that the interest payable on the notes effectively became fixed at a rate of 3.32%.</w:t>
      </w:r>
    </w:p>
    <w:p>
      <w:pPr>
        <w:spacing w:after="0" w:line="172" w:lineRule="exact"/>
        <w:rPr>
          <w:rFonts w:ascii="Arial" w:cs="Arial" w:eastAsia="Arial" w:hAnsi="Arial"/>
          <w:sz w:val="16"/>
          <w:szCs w:val="16"/>
          <w:color w:val="auto"/>
        </w:rPr>
      </w:pPr>
    </w:p>
    <w:p>
      <w:pPr>
        <w:ind w:left="660" w:right="100" w:hanging="652"/>
        <w:spacing w:after="0" w:line="275"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172" w:lineRule="exact"/>
        <w:rPr>
          <w:rFonts w:ascii="Arial" w:cs="Arial" w:eastAsia="Arial" w:hAnsi="Arial"/>
          <w:sz w:val="16"/>
          <w:szCs w:val="16"/>
          <w:color w:val="auto"/>
        </w:rPr>
      </w:pPr>
    </w:p>
    <w:p>
      <w:pPr>
        <w:ind w:left="660" w:right="100" w:hanging="652"/>
        <w:spacing w:after="0" w:line="275"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172" w:lineRule="exact"/>
        <w:rPr>
          <w:rFonts w:ascii="Arial" w:cs="Arial" w:eastAsia="Arial" w:hAnsi="Arial"/>
          <w:sz w:val="16"/>
          <w:szCs w:val="16"/>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commercial paper is backed by the five-year multi-currency revolving credit facility.</w:t>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Commercial paper with an aggregate par value of $8.2 billion and maturities ranging from 1 to 18 days was issued during 2019. The weighted average discount rate of commercial paper outstanding at December 31, 2019 was 1.80%. The weighted average balance of commercial paper outstanding during the year was $263.0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(in U.S. dollar equivalent), were as follows as of December 31, 2019:</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2021</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1,054.0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2023</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16.8</w:t>
            </w:r>
          </w:p>
        </w:tc>
      </w:tr>
      <w:tr>
        <w:trPr>
          <w:trHeight w:val="27"/>
        </w:trPr>
        <w:tc>
          <w:tcPr>
            <w:tcW w:w="5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2,700.0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Commercial paper is considered to mature in 2022 because it is backed by the five-year multi-currency revolving credit facility, which expires in 2022.</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is subject to regulation under a wide variety of U.S., federal, state and foreign tax laws and regulations. Income before income taxes and the income tax provision consisted of the following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2,650.2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2,716.8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2,464.2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2,526.3</w:t>
            </w: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908.5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(2,576.3)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Income Tax Provision (Benefit)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(1,537.1)</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U.S. federal income tax rate (statutory tax rate) to the effective tax rate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Increase (decrease) in domestic valuation allowance</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revised state and local apportionment estimates</w:t>
            </w: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Reclassification of accumulated other comprehensive income</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2017 Tax Act</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324"/>
        </w:trPr>
        <w:tc>
          <w:tcPr>
            <w:tcW w:w="6520" w:type="dxa"/>
            <w:vAlign w:val="bottom"/>
          </w:tcPr>
          <w:p>
            <w:pPr>
              <w:ind w:left="40"/>
              <w:spacing w:after="0"/>
              <w:rPr>
                <w:sz w:val="20"/>
                <w:szCs w:val="20"/>
                <w:color w:val="auto"/>
              </w:rPr>
            </w:pPr>
            <w:r>
              <w:rPr>
                <w:rFonts w:ascii="Arial" w:cs="Arial" w:eastAsia="Arial" w:hAnsi="Arial"/>
                <w:sz w:val="18"/>
                <w:szCs w:val="18"/>
                <w:color w:val="auto"/>
              </w:rPr>
              <w:t>Foreign-derived intangible income deduction</w:t>
            </w:r>
          </w:p>
        </w:tc>
        <w:tc>
          <w:tcPr>
            <w:tcW w:w="1560" w:type="dxa"/>
            <w:vAlign w:val="bottom"/>
            <w:vMerge w:val="restart"/>
          </w:tcPr>
          <w:p>
            <w:pPr>
              <w:jc w:val="right"/>
              <w:ind w:right="9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6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652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Effective Tax Expense (Benefit) Rate</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2019, the effective rate was slightly higher than the statutory tax rate. The increase to the effective tax rate for the state taxes was offset by the foreign-derived intangible income deduction (FDII) in Sec. 250(a) introduced during the Tax Cut and Jobs Act tax reform. Proposed FDII Deduction regulations were released in 2019 and as a result, management revised the income tax calculations to reflect the proposed guidance. The benefit recognized in 2019 includes estimates for the deduction for 2018 and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 2018, the effective rate was higher than the statutory tax rate primarily due to the NEX acquisition impact on state tax expense.</w:t>
      </w:r>
    </w:p>
    <w:p>
      <w:pPr>
        <w:spacing w:after="0" w:line="17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In 2017, the effective rate was lower than the statutory tax rate due to the remeasurement of the deferred tax liabilities as a result of the 2017 Tax Act. This decrease was partially offset by an increase in the state apportionment impact of the Illinois income tax rate change on deferred tax liabilities as well as the reclassification of income tax expense from accumulated other comprehensive income related to the disposal of BM&amp;FBOVESPA shares.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deferred income tax assets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compensation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Property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income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Deferred Income Tax Liabilities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(5,636.3)</w:t>
            </w:r>
          </w:p>
        </w:tc>
      </w:tr>
      <w:tr>
        <w:trPr>
          <w:trHeight w:val="67"/>
        </w:trPr>
        <w:tc>
          <w:tcPr>
            <w:tcW w:w="83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Reported as: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non-current deferred tax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non-current deferred tax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Deferred Income Tax Liabilities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(5,636.3)</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At December 31, 2019 and 2018, the company had domestic and foreign income tax loss carry forwards of $202.1 million and $226.0 million, respectively. These amounts primarily related to losses from the acquisition of NEX Group plc, the acquisitions of Swapstream Limited and its affiliates, the acquisition of Pivot, Inc., losses incurred in the operation of various foreign entities and capital losses from the sales of securities. At December 31, 2019 and 2018, the company determined that it was not more-likely-than-not that deferred income tax assets related to the acquisition of Swapstream Limited and its affiliates and other deferred income tax assets created from the start-up of various foreign operations will be fully realized.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a result, valuation allowances of $10.0 million and $10.7 million were recorded at December 31,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unrecognized tax benefits: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388.5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308.8</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Unrecognized tax benefits, net of tax impacts in other jurisdictions</w:t>
            </w:r>
          </w:p>
        </w:tc>
        <w:tc>
          <w:tcPr>
            <w:tcW w:w="10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359.6</w:t>
            </w:r>
          </w:p>
        </w:tc>
        <w:tc>
          <w:tcPr>
            <w:tcW w:w="4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367.9</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276.0</w:t>
            </w:r>
          </w:p>
        </w:tc>
      </w:tr>
      <w:tr>
        <w:trPr>
          <w:trHeight w:val="27"/>
        </w:trPr>
        <w:tc>
          <w:tcPr>
            <w:tcW w:w="6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interest and penalties related to uncertain tax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53.3</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Interest and penalties recognized on the consolidated statements of income</w:t>
            </w:r>
          </w:p>
        </w:tc>
        <w:tc>
          <w:tcPr>
            <w:tcW w:w="10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29.5</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it is reasonably possible that within the next twelve months, unrecognized tax benefits will change by a significant amount.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Unrecognized tax benefits acquired at date of acquisition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Reductions resulting from the lapse of statutes of limitations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with taxing authorities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308.8</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 is subject to U.S. federal income tax as well as income taxes in Illinois and multiple other state, local and foreign jurisdictions. As of December 31, 2019, substantially all federal and state income tax matters had been concluded through 2007 and 2006,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Pension Plans. </w:t>
      </w:r>
      <w:r>
        <w:rPr>
          <w:rFonts w:ascii="Arial" w:cs="Arial" w:eastAsia="Arial" w:hAnsi="Arial"/>
          <w:sz w:val="17"/>
          <w:szCs w:val="17"/>
          <w:color w:val="auto"/>
        </w:rPr>
        <w:t>CME maintains a non-contributory defined benefit cash balance pension plan for eligible employees. CME's plan provides for a pay-based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added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projected benefit obligation: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Actuarial (gain) loss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265.1</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accumulated benefit obligation was $293.1 million and $240.9 million at December 31,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fair value of plan assets: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w:t>
      </w:r>
    </w:p>
    <w:p>
      <w:pPr>
        <w:sectPr>
          <w:pgSz w:w="11900" w:h="16838" w:orient="portrait"/>
          <w:cols w:equalWidth="0" w:num="1">
            <w:col w:w="11420"/>
          </w:cols>
          <w:pgMar w:left="240" w:top="122" w:right="239"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609"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major category of plan assets as of December 31 is indicated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Fixed income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155.0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Foreign equity</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At December 31, 2019 and 2018, the fair value of pension plan assets exceeded the projected benefit obligation by $32.7 million and $50.7 million, respectively, and the excess was recorded as a non-current pension asset in other assets.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CME's funding goal is to have its pension plan 100% funded at each year-end on a projected benefit obligation basis, while also satisfying any minimum required contribution and obtaining the maximum tax deduction. Year-end 2019 assumptions have been used to project the assets and liabilities from December 31, 2019 to December 31, 2020. The result of this projection is that estimated liabilities would not exceed the fair value of the plan assets at December 31, 2020. Accordingly, the company anticipates based on this projection that no additional contribution in 2020 will be necessary for it to meet its funding goal. However, the amount of the actual contribution is contingent on various factors, including the actual rate of return on the plan assets during 2020 and the December 31, 2020 discount rate.</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are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18.7</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(15.1)</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net actuarial loss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Net Pension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17.3</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Assumptions Used to Determine End-of-Year Benefit Obligation:</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Cash balance interest crediting rate</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6.50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crediting rate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ectPr>
          <w:pgSz w:w="11900" w:h="16838" w:orient="portrait"/>
          <w:cols w:equalWidth="0" w:num="1">
            <w:col w:w="11420"/>
          </w:cols>
          <w:pgMar w:left="240" w:top="122"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2019</w:t>
            </w: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43.5%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2.7</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2.5</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33.9</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19.9</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18.5</w:t>
            </w:r>
          </w:p>
        </w:tc>
      </w:tr>
      <w:tr>
        <w:trPr>
          <w:trHeight w:val="675"/>
        </w:trPr>
        <w:tc>
          <w:tcPr>
            <w:tcW w:w="6680" w:type="dxa"/>
            <w:vAlign w:val="bottom"/>
          </w:tcPr>
          <w:p>
            <w:pPr>
              <w:spacing w:after="0"/>
              <w:rPr>
                <w:sz w:val="20"/>
                <w:szCs w:val="20"/>
                <w:color w:val="auto"/>
              </w:rPr>
            </w:pPr>
            <w:r>
              <w:rPr>
                <w:rFonts w:ascii="Arial" w:cs="Arial" w:eastAsia="Arial" w:hAnsi="Arial"/>
                <w:sz w:val="18"/>
                <w:szCs w:val="18"/>
                <w:color w:val="auto"/>
              </w:rPr>
              <w:t>The range of target allocation percentages for 2020 is as follows: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15"/>
        </w:trPr>
        <w:tc>
          <w:tcPr>
            <w:tcW w:w="6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Minimum</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Maximum</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50.0%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large-cap equity</w:t>
            </w:r>
          </w:p>
        </w:tc>
        <w:tc>
          <w:tcPr>
            <w:tcW w:w="3340" w:type="dxa"/>
            <w:vAlign w:val="bottom"/>
          </w:tcPr>
          <w:p>
            <w:pPr>
              <w:jc w:val="right"/>
              <w:ind w:right="213"/>
              <w:spacing w:after="0"/>
              <w:rPr>
                <w:sz w:val="20"/>
                <w:szCs w:val="20"/>
                <w:color w:val="auto"/>
              </w:rPr>
            </w:pPr>
            <w:r>
              <w:rPr>
                <w:rFonts w:ascii="Arial" w:cs="Arial" w:eastAsia="Arial" w:hAnsi="Arial"/>
                <w:sz w:val="18"/>
                <w:szCs w:val="18"/>
                <w:color w:val="auto"/>
              </w:rPr>
              <w:t>10.0%</w:t>
            </w:r>
          </w:p>
        </w:tc>
        <w:tc>
          <w:tcPr>
            <w:tcW w:w="14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mid-cap equity</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5.0</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small-cap equity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5.0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10.0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developed equity</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Foreign small-cap equity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5.0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Emerging markets equity</w:t>
            </w:r>
          </w:p>
        </w:tc>
        <w:tc>
          <w:tcPr>
            <w:tcW w:w="33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5.0</w:t>
            </w:r>
          </w:p>
        </w:tc>
      </w:tr>
      <w:tr>
        <w:trPr>
          <w:trHeight w:val="27"/>
        </w:trPr>
        <w:tc>
          <w:tcPr>
            <w:tcW w:w="668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times, the company may determine that it is necessary to place some assets in cash equivalent investments in order to pay expected plan liabilities. Given this, the actual asset allocation for the plan may not fall within the target allocation ranges from time to time.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or Moody's.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pre-tax balance and activity of actuarial losses for the pension plan, which are included in other comprehensive income (loss), for 2019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92"/>
        </w:trPr>
        <w:tc>
          <w:tcPr>
            <w:tcW w:w="99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Unrecognized net loss</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as a component of net pension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expects to amortize $4.4 million of actuarial loss and prior service costs from accumulated other comprehensive income (loss) into net periodic benefit costs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anticipated benefit payments from the plan in future years are as follows:</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8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2021</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2023</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2025-2029</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130.5</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CME maintains a defined contribution savings plan pursuant to Section 401(k) of the Internal Revenue Code, whereby all U.S. employees are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and have the option to contribute to this plan. CME matches employee contributions up to 3% of the employee's base salary and may make additional discretionary contributions.</w:t>
      </w:r>
    </w:p>
    <w:p>
      <w:pPr>
        <w:spacing w:after="0" w:line="1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to the plan for U.S. employees, the company maintains defined contribution savings plans for employees in international locations, including employees for NEX beginning on November 3, 2018.</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Aggregate expense for all of the defined contribution savings plans amounted to $23.6 million, $13.8 million and $11.8 million in 2019, 2018 and 2017, respectively.</w:t>
      </w:r>
    </w:p>
    <w:p>
      <w:pPr>
        <w:spacing w:after="0" w:line="166"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b w:val="1"/>
          <w:bCs w:val="1"/>
          <w:color w:val="auto"/>
        </w:rPr>
        <w:t xml:space="preserve">CME Non-Qualified Plans. </w:t>
      </w:r>
      <w:r>
        <w:rPr>
          <w:rFonts w:ascii="Arial" w:cs="Arial" w:eastAsia="Arial" w:hAnsi="Arial"/>
          <w:sz w:val="16"/>
          <w:szCs w:val="16"/>
          <w:color w:val="auto"/>
        </w:rPr>
        <w:t>CME maintains non-qualified plans, under which participants may make assumed investment choices with respect to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contributed on their behalf. Although not required to do so, CME invests such contributions in assets that mirror the assumed investment choices. The balances in these plans are subject to the claims of general creditors of the company and totaled $66.1 million and $52.7 million at December 31, 2019 and 2018 respectively. Although the value of the plans is recorded as an asset in marketable securities on the consolidated balance sheets, there is an equal and offsetting liability. The investment results of these plans have no impact on net income as the investment results are recorded in equal amounts to both investment income and compensation and benefits expense. The non-qualified plans include the following:</w:t>
      </w:r>
    </w:p>
    <w:p>
      <w:pPr>
        <w:spacing w:after="0" w:line="16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 xml:space="preserve">Supplemental Savings Plan. </w:t>
      </w:r>
      <w:r>
        <w:rPr>
          <w:rFonts w:ascii="Arial" w:cs="Arial" w:eastAsia="Arial" w:hAnsi="Arial"/>
          <w:sz w:val="16"/>
          <w:szCs w:val="16"/>
          <w:color w:val="auto"/>
        </w:rPr>
        <w:t>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 Employees in this plan are subject to the vesting requirements of the underlying qualified plans.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A deferred compensation plan is maintained by CME, under which eligible employees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COMEX Members' Retirement Plan and Benefits. </w:t>
      </w:r>
      <w:r>
        <w:rPr>
          <w:rFonts w:ascii="Arial" w:cs="Arial" w:eastAsia="Arial" w:hAnsi="Arial"/>
          <w:sz w:val="17"/>
          <w:szCs w:val="17"/>
          <w:color w:val="auto"/>
        </w:rPr>
        <w:t>COMEX maintains a non-qualified retirement and benefit plan under the COMEX MRRP. This plan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All benefits to be paid under the MRRP are based on reasonable actuarial assumptions which are based upon the amounts that are available and are expected to be available to pay benefits. There were no contributions to the plan in 2019, 2018 and 2017. At December 31, 2019 and 2018, the obligation for the MRRP totaled $16.5 million. Assets with a fair value of $19.3 million and $19.2 million have been allocated to this plan at December 31, 2019 and 2018, respectively, and are included in marketable securities and cash and cash equivalents on the consolidated balance sheets. The balances in this plan are subject to the claims of general creditors of COMEX.</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 AND OTHER COMMITMENTS</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adopted the new leasing standard on January 1, 2019, using the modified retrospective approach. The standard requires lessees to</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 on the balance sheet the assets and liabilities associated with the rights and obligations created by those leases. Upon implementation of the standard, the company utilized the package of practical expedients which did not require reassessment of the following: (a) whether any expired or existing contracts are or contain leases, (b) the lease classification for any expired or existing leases, and (c) any initial direct costs for existing leases. In addition, the company has elected not to separately account for lease and non-lease components, resulting in a greater amount of capitalized lease costs on the balance sheet. Upon adoption of the new standard on January 1, 2019, the company recognized a lease liability of $568.0 million and right-of-use asset of $448.2 million.</w:t>
      </w:r>
    </w:p>
    <w:p>
      <w:pPr>
        <w:spacing w:after="0" w:line="1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operating leases for datacenters and corporate offices. The operating leases have remaining lease terms of up to 18 years, some of which include options to extend or renew the leases for up to an additional five years, and some of which include options to early terminate the leases in less than 12 months. Management evaluates the exercisability of these options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12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also has one finance lease, which is related to the sale of our datacenter in March 2016. In connection with the sale, the company leased back a portion of the property. The sale leaseback transaction was recognized under the financing method and not as a sale leaseback arrangement.</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 The company has elected to utilize the short term lease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exception for purposes of adopting this standard, such that the company has not capitalized on the balance sheet a lease asset or lease liability associated with leases with terms of 12 months or less from the commencement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92"/>
        </w:trPr>
        <w:tc>
          <w:tcPr>
            <w:tcW w:w="9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cost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3"/>
        </w:trPr>
        <w:tc>
          <w:tcPr>
            <w:tcW w:w="9520" w:type="dxa"/>
            <w:vAlign w:val="bottom"/>
          </w:tcPr>
          <w:p>
            <w:pPr>
              <w:ind w:left="280"/>
              <w:spacing w:after="0"/>
              <w:rPr>
                <w:sz w:val="20"/>
                <w:szCs w:val="20"/>
                <w:color w:val="auto"/>
              </w:rPr>
            </w:pPr>
            <w:r>
              <w:rPr>
                <w:rFonts w:ascii="Arial" w:cs="Arial" w:eastAsia="Arial" w:hAnsi="Arial"/>
                <w:sz w:val="18"/>
                <w:szCs w:val="18"/>
                <w:color w:val="auto"/>
              </w:rPr>
              <w:t>Short-term lease cost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9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lease expense included in other expense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expense:</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expense</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97"/>
        </w:trPr>
        <w:tc>
          <w:tcPr>
            <w:tcW w:w="9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finance lease expense</w:t>
            </w:r>
          </w:p>
        </w:tc>
        <w:tc>
          <w:tcPr>
            <w:tcW w:w="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311"/>
        </w:trPr>
        <w:tc>
          <w:tcPr>
            <w:tcW w:w="9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Sublease revenue included in other 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702"/>
        </w:trPr>
        <w:tc>
          <w:tcPr>
            <w:tcW w:w="95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154"/>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92"/>
        </w:trPr>
        <w:tc>
          <w:tcPr>
            <w:tcW w:w="9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Cash outflows for operating leases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outflows for finance leases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648"/>
        </w:trPr>
        <w:tc>
          <w:tcPr>
            <w:tcW w:w="952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20" w:type="dxa"/>
            <w:vAlign w:val="bottom"/>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9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952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7"/>
        </w:trPr>
        <w:tc>
          <w:tcPr>
            <w:tcW w:w="9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months)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9"/>
              </w:rPr>
              <w:t>December 31, 2019</w:t>
            </w: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right-of-use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97.5</w:t>
            </w:r>
          </w:p>
        </w:tc>
      </w:tr>
      <w:tr>
        <w:trPr>
          <w:trHeight w:val="324"/>
        </w:trPr>
        <w:tc>
          <w:tcPr>
            <w:tcW w:w="9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952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93"/>
              <w:spacing w:after="0"/>
              <w:rPr>
                <w:sz w:val="20"/>
                <w:szCs w:val="20"/>
                <w:color w:val="auto"/>
              </w:rPr>
            </w:pPr>
            <w:r>
              <w:rPr>
                <w:rFonts w:ascii="Arial" w:cs="Arial" w:eastAsia="Arial" w:hAnsi="Arial"/>
                <w:sz w:val="18"/>
                <w:szCs w:val="18"/>
                <w:color w:val="auto"/>
              </w:rPr>
              <w:t>7.4</w:t>
            </w:r>
          </w:p>
        </w:tc>
      </w:tr>
      <w:tr>
        <w:trPr>
          <w:trHeight w:val="27"/>
        </w:trPr>
        <w:tc>
          <w:tcPr>
            <w:tcW w:w="9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91.5</w:t>
            </w:r>
          </w:p>
        </w:tc>
      </w:tr>
      <w:tr>
        <w:trPr>
          <w:trHeight w:val="297"/>
        </w:trPr>
        <w:tc>
          <w:tcPr>
            <w:tcW w:w="9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finance lease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98.9</w:t>
            </w:r>
          </w:p>
        </w:tc>
      </w:tr>
      <w:tr>
        <w:trPr>
          <w:trHeight w:val="311"/>
        </w:trPr>
        <w:tc>
          <w:tcPr>
            <w:tcW w:w="9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months)</w:t>
            </w:r>
          </w:p>
        </w:tc>
        <w:tc>
          <w:tcPr>
            <w:tcW w:w="240" w:type="dxa"/>
            <w:vAlign w:val="bottom"/>
          </w:tcPr>
          <w:p>
            <w:pPr>
              <w:spacing w:after="0"/>
              <w:rPr>
                <w:sz w:val="21"/>
                <w:szCs w:val="21"/>
                <w:color w:val="auto"/>
              </w:rPr>
            </w:pPr>
          </w:p>
        </w:tc>
        <w:tc>
          <w:tcPr>
            <w:tcW w:w="1660" w:type="dxa"/>
            <w:vAlign w:val="bottom"/>
          </w:tcPr>
          <w:p>
            <w:pPr>
              <w:jc w:val="right"/>
              <w:ind w:right="93"/>
              <w:spacing w:after="0"/>
              <w:rPr>
                <w:sz w:val="20"/>
                <w:szCs w:val="20"/>
                <w:color w:val="auto"/>
              </w:rPr>
            </w:pPr>
            <w:r>
              <w:rPr>
                <w:rFonts w:ascii="Arial" w:cs="Arial" w:eastAsia="Arial" w:hAnsi="Arial"/>
                <w:sz w:val="18"/>
                <w:szCs w:val="18"/>
                <w:color w:val="auto"/>
              </w:rPr>
              <w:t>135</w:t>
            </w:r>
          </w:p>
        </w:tc>
      </w:tr>
      <w:tr>
        <w:trPr>
          <w:trHeight w:val="27"/>
        </w:trPr>
        <w:tc>
          <w:tcPr>
            <w:tcW w:w="9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9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were as follows as of December 31, 2019 for operating and finance leases:</w:t>
      </w:r>
    </w:p>
    <w:p>
      <w:pPr>
        <w:sectPr>
          <w:pgSz w:w="11900" w:h="16838" w:orient="portrait"/>
          <w:cols w:equalWidth="0" w:num="1">
            <w:col w:w="11420"/>
          </w:cols>
          <w:pgMar w:left="240" w:top="122" w:right="239" w:bottom="1440" w:gutter="0" w:footer="0" w:header="0"/>
        </w:sect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imputed interest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Present value of lease liability</w:t>
      </w: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imputed interest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Present value of lease liability</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Operating Leases</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63.8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61.4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64.4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60.7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55.1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157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704.1</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157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7" w:lineRule="exact"/>
        <w:rPr>
          <w:sz w:val="20"/>
          <w:szCs w:val="20"/>
          <w:color w:val="auto"/>
        </w:rPr>
      </w:pPr>
    </w:p>
    <w:p>
      <w:pPr>
        <w:ind w:left="1280" w:hanging="1276"/>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1576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48895</wp:posOffset>
            </wp:positionV>
            <wp:extent cx="1157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1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Finance Lease</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16.9</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1576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197.4</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1576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1576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48895</wp:posOffset>
            </wp:positionV>
            <wp:extent cx="11576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00" w:space="720"/>
            <w:col w:w="1800"/>
          </w:cols>
          <w:pgMar w:left="240" w:top="122" w:right="239" w:bottom="1440" w:gutter="0" w:footer="0" w:header="0"/>
          <w:type w:val="continuous"/>
        </w:sectPr>
      </w:pPr>
    </w:p>
    <w:p>
      <w:pPr>
        <w:spacing w:after="0" w:line="19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material contractual purchase obligations that are non-cancellable. Purchase obligations relate to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licensing, hardware, software and maintenance as well as telecommunication services. At December 31, 2019, future minimum payments due under purchase obligations were payable as follows (in millions):</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2" w:right="2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The case is set for trial in October 2020. Based on its investigation to date and advice from legal counsel, the company believes that it has strong factual and legal defenses to the claim.</w:t>
      </w:r>
    </w:p>
    <w:p>
      <w:pPr>
        <w:spacing w:after="0" w:line="4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2003, the U.S. Futures Exchange, L.L.C. (Eurex U.S.) and U.S. Exchange Holdings, Inc. filed suit in federal court alleging that CBOT and CME violated the antitrust laws and tortuously interfered with the business relationship and contract between Eurex U.S. and The Clearing Corporation. On October 31, 2018, the Court granted CBOT's and CME's motion for summary judgment and dismissed the case in its entirety. Eurex has appealed this decision.</w:t>
      </w:r>
    </w:p>
    <w:p>
      <w:pPr>
        <w:spacing w:after="0" w:line="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accrual was required for legal and regulatory matters as none were probable and estimable as of December 31, 2019 and 2018.</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Group platforms,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GUARANTEES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maintain a mutual offset agreement with a current term through October 2020.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its intent to terminate. CME can maintain collateral in the form of U.S. Treasury securities or irrevocable, standby letters of credit. At December 31, 2019, CME was contingently liable to SGX on irrevocable letters of credit totaling $260.0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December 31, 2019.</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Family Farmer and Rancher Protection Fund. </w:t>
      </w:r>
      <w:r>
        <w:rPr>
          <w:rFonts w:ascii="Arial" w:cs="Arial" w:eastAsia="Arial" w:hAnsi="Arial"/>
          <w:sz w:val="16"/>
          <w:szCs w:val="16"/>
          <w:color w:val="auto"/>
        </w:rPr>
        <w:t>In 2012, the company established the Family Farmer and Rancher Protection Fund (the Fund). The Fund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has an aggregate maximum payment amount of $100.0 million. Since its establishment, the Fund has made payments of approximately $2.0 million, which leaves $98.0 million available for future claims. If payments to participants were to exceed this amount,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 authorized</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1,000,000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A common stock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357,469</w:t>
            </w:r>
          </w:p>
        </w:tc>
        <w:tc>
          <w:tcPr>
            <w:tcW w:w="1000" w:type="dxa"/>
            <w:vAlign w:val="bottom"/>
          </w:tcPr>
          <w:p>
            <w:pPr>
              <w:jc w:val="right"/>
              <w:spacing w:after="0"/>
              <w:rPr>
                <w:sz w:val="20"/>
                <w:szCs w:val="20"/>
                <w:color w:val="auto"/>
              </w:rPr>
            </w:pPr>
            <w:r>
              <w:rPr>
                <w:rFonts w:ascii="Arial" w:cs="Arial" w:eastAsia="Arial" w:hAnsi="Arial"/>
                <w:sz w:val="18"/>
                <w:szCs w:val="18"/>
                <w:color w:val="auto"/>
              </w:rPr>
              <w:t>356,824</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B-1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0.6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B-2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0.8</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B-3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B-4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0.4</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CME Group has no shares of preferred stock issued and outstanding.</w:t>
      </w:r>
    </w:p>
    <w:p>
      <w:pPr>
        <w:spacing w:after="0" w:line="221"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color w:val="auto"/>
        </w:rPr>
        <w:t xml:space="preserve">Associated Trading Rights. </w:t>
      </w:r>
      <w:r>
        <w:rPr>
          <w:rFonts w:ascii="Arial" w:cs="Arial" w:eastAsia="Arial" w:hAnsi="Arial"/>
          <w:sz w:val="17"/>
          <w:szCs w:val="17"/>
          <w:color w:val="auto"/>
        </w:rPr>
        <w:t>Members of CME, CBOT, NYMEX and COMEX own or lease trading rights which entitle them to access open outcry trading,</w:t>
      </w:r>
      <w:r>
        <w:rPr>
          <w:rFonts w:ascii="Arial" w:cs="Arial" w:eastAsia="Arial" w:hAnsi="Arial"/>
          <w:sz w:val="17"/>
          <w:szCs w:val="17"/>
          <w:b w:val="1"/>
          <w:bCs w:val="1"/>
          <w:color w:val="auto"/>
        </w:rPr>
        <w:t xml:space="preserve"> </w:t>
      </w:r>
      <w:r>
        <w:rPr>
          <w:rFonts w:ascii="Arial" w:cs="Arial" w:eastAsia="Arial" w:hAnsi="Arial"/>
          <w:sz w:val="17"/>
          <w:szCs w:val="17"/>
          <w:color w:val="auto"/>
        </w:rPr>
        <w:t>discounts on trading fees and the right to vote on certain matters as provided for by the rules of the particular exchange and CME Group's or the subsidiary's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the election of six members to the board of directors and approval rights with respect to the core rights described below.</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17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Core Rights. </w:t>
      </w:r>
      <w:r>
        <w:rPr>
          <w:rFonts w:ascii="Arial" w:cs="Arial" w:eastAsia="Arial" w:hAnsi="Arial"/>
          <w:sz w:val="17"/>
          <w:szCs w:val="17"/>
          <w:color w:val="auto"/>
        </w:rPr>
        <w:t>Holders of CME Group Class B common shares have the right to approve changes in specified rights relating to the trading privileges at CME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74"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CME Group common stock vote</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on all matters for which a vote of common shareholders is required. In these votes, each holder of shares of Class A or Class B common stock of CME Group has one vote per share.</w:t>
      </w:r>
    </w:p>
    <w:p>
      <w:pPr>
        <w:spacing w:after="0" w:line="17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Each class of CME Group Class B common stock is subject to transfer restrictions contained in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These transfer restrictions prohibit the sale or transfer of any shares of Class B common stock separate from the sale of the associated trading rights.</w:t>
      </w:r>
    </w:p>
    <w:p>
      <w:pPr>
        <w:spacing w:after="0" w:line="176"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Election of Directors. </w:t>
      </w:r>
      <w:r>
        <w:rPr>
          <w:rFonts w:ascii="Arial" w:cs="Arial" w:eastAsia="Arial" w:hAnsi="Arial"/>
          <w:sz w:val="17"/>
          <w:szCs w:val="17"/>
          <w:color w:val="auto"/>
        </w:rPr>
        <w:t>The CME Group Board of Directors is currently comprised of 22 members. Holders of Class B-1, Class B-2 and Class B-3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15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CME Group board of directors.</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40.2 million Class A common stock shares have been reserved for awards under the plan. Awards totaling 24.6 million shares have been granted and are outstanding or have been exercised under this plan at December 31, 2019 (note 17).</w:t>
      </w:r>
    </w:p>
    <w:p>
      <w:pPr>
        <w:spacing w:after="0" w:line="176"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625,000 Class A shares have been reserved under this plan, and approximately 399,000 shares have been awarded through December 31, 2019.</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500,000</w:t>
      </w:r>
    </w:p>
    <w:p>
      <w:pPr>
        <w:sectPr>
          <w:pgSz w:w="11900" w:h="16838" w:orient="portrait"/>
          <w:cols w:equalWidth="0" w:num="1">
            <w:col w:w="11420"/>
          </w:cols>
          <w:pgMar w:left="240" w:top="121"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Class A shares have been reserved under this plan, of which approximately 309,000 shares have been purchased through December 31, 2019 (note 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PAYMENTS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40.2 million Class A shares have been reserved for awards under the plan. Awards totaling 24.6 million shares have been granted and are outstanding or have been exercised under the plan as of December 31, 2019. Awards granted generally vest over a four-year period, with 25% vesting one year after the grant date and on that same date in each of the following three years.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compensation expense for stock-based payments and total income tax benefit recognized on the consolidated statements of income for stock-based awards were as follows: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58.3</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Income tax benefit recognized</w:t>
            </w:r>
          </w:p>
        </w:tc>
        <w:tc>
          <w:tcPr>
            <w:tcW w:w="25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27.3</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27.5</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42.6</w:t>
            </w:r>
          </w:p>
        </w:tc>
      </w:tr>
    </w:tbl>
    <w:p>
      <w:pPr>
        <w:spacing w:after="0" w:line="200" w:lineRule="exact"/>
        <w:rPr>
          <w:sz w:val="20"/>
          <w:szCs w:val="20"/>
          <w:color w:val="auto"/>
        </w:rPr>
      </w:pPr>
    </w:p>
    <w:p>
      <w:pPr>
        <w:spacing w:after="0" w:line="24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compensation expense above includes expense of $5.0 million related to restricted share awards held by NEX employees that vested within 6 months following the acquisition. The employees received cash consideration equivalent to the cash and share consideration received by NEX shareholders upon vesting in 2019.</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At December 31, 2019, there was $143.8 million of total unrecognized compensation expense related to employee stock-based compensation arrangements that had not yet vested. The total unrecognized expense is expected to be recognized over a weighted average period of 2.1 years.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Stock options have not been granted since 2012. The following table summarizes stock option activity for 2019. Aggregate intrinsic value is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center"/>
              <w:ind w:left="404"/>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 (in</w:t>
            </w: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397,227</w:t>
            </w:r>
          </w:p>
        </w:tc>
        <w:tc>
          <w:tcPr>
            <w:tcW w:w="1220" w:type="dxa"/>
            <w:vAlign w:val="bottom"/>
            <w:tcBorders>
              <w:bottom w:val="single" w:sz="8" w:color="CCEEFF"/>
            </w:tcBorders>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(169,363)</w:t>
            </w:r>
          </w:p>
        </w:tc>
        <w:tc>
          <w:tcPr>
            <w:tcW w:w="122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2019</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227,084</w:t>
            </w:r>
          </w:p>
        </w:tc>
        <w:tc>
          <w:tcPr>
            <w:tcW w:w="12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54</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51"/>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December 31, 2019</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227,084</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during 2019, 2018 and 2017 was $23.1 million, $17.8 million and $20.4 million, respectively.</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2019, the company granted 389,162 shares of restricted Class A common stock and 31,595 shares of restricted stock units. Restricted common stock and restricted stock units generally have a vesting period of two to four years. The fair value related to these grants was $86.2 million, which is recognized as compensation expense on an accelerated basis over the vesting period. Dividends are accrued on restricted Class A common stock and restricted stock units and are paid once the restricted stock vests. In 2019, the company also granted 167,300 performance shares. The fair value related to these grants was $26.9 million, which is recognized as compensation expense on a straight-lined basis over the vesting period. The vesting of these shares is contingent on meeting stated performance or market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restricted stock units, and performance shares activity for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1,361,228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588,057</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(398,205)</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(226,702)</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1,324,378</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total fair value of restricted stock, restricted stock units, and performance shares that vested during 2019, 2018 and 2017 was $77.7 million, $76.6 million and $66.0 million, respectively.</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Under the ESPP, 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2019, 2018 and 2017, a total of 26,134, 22,249 and 19,936 shares, respectively, of Class A common stock were issued to participating employees. These shares are subject to a six-month holding period. Annual expense of $0.5 million for the purchase discount was recognized in 2019, $0.4 million was recognized in 2018 and $0.3 million was recognized in 2017.</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Non-executive directors receive an annual award of Class A common stock with a value equal to $120,000. Non-executive directors may also elect to receive some or all of the cash portion of their annual stipend, up to $80,000, in shares of stock based on the closing price at the date of distribution. As a result, 16,328 shares, 16,640 shares and 19,736 shares of Class A common stock were issued to non-executive directors during 2019, 2018 and 2017, respectively. These shares are not subject to any vesting restrictions. Expense of $3.0 million, $2.6 million and $2.5 million related to these stock-based payments was recognized for the years ended December 31, 2019, 2018 and 2017,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56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56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Impact of adoption of standards update on tax effects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related to accumulated other comprehensive income</w:t>
            </w: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5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2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80</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9"/>
        </w:trPr>
        <w:tc>
          <w:tcPr>
            <w:tcW w:w="1020" w:type="dxa"/>
            <w:vAlign w:val="bottom"/>
            <w:tcBorders>
              <w:top w:val="single" w:sz="8" w:color="0000EE"/>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100" w:type="dxa"/>
            <w:vAlign w:val="bottom"/>
            <w:vMerge w:val="restart"/>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auto"/>
            </w:tcBorders>
            <w:vMerge w:val="continue"/>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2016</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MEASUREMENTS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98" w:lineRule="exact"/>
        <w:rPr>
          <w:sz w:val="20"/>
          <w:szCs w:val="20"/>
          <w:color w:val="auto"/>
        </w:rPr>
      </w:pPr>
    </w:p>
    <w:p>
      <w:pPr>
        <w:ind w:left="660" w:right="40" w:hanging="328"/>
        <w:spacing w:after="0" w:line="271"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28" w:lineRule="exact"/>
        <w:rPr>
          <w:rFonts w:ascii="Arial" w:cs="Arial" w:eastAsia="Arial" w:hAnsi="Arial"/>
          <w:sz w:val="22"/>
          <w:szCs w:val="22"/>
          <w:color w:val="auto"/>
        </w:rPr>
      </w:pPr>
    </w:p>
    <w:p>
      <w:pPr>
        <w:ind w:left="660" w:right="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18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Level 1 assets generally include investments in publicly traded mutual funds, equity securities, U.S. government securities and corporate debt securities with quoted market prices. In general, the company uses quoted prices in active markets for identical assets to determine the fair value of marketable securities.</w:t>
      </w:r>
    </w:p>
    <w:p>
      <w:pPr>
        <w:spacing w:after="0" w:line="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Level 2 assets and liabilities generally consist of asset-backed securities, derivatives and long-term debt notes. Asset-backed securities were measured at fair value based on matrix pricing using prices of similar securities with similar inputs such as maturity dates, interest rates and credit ratings. The derivative contracts were measured at fair value using standard valuation models with market-based observable inputs. The fair values of the long-term debt notes were based on quoted market prices in an inactive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include fixed assets, assets held for sale, certain investments that were impaired and contingent consideration.</w:t>
      </w:r>
    </w:p>
    <w:p>
      <w:pPr>
        <w:spacing w:after="0" w:line="19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Recurring Fair Value Measurements. </w:t>
      </w:r>
      <w:r>
        <w:rPr>
          <w:rFonts w:ascii="Arial" w:cs="Arial" w:eastAsia="Arial" w:hAnsi="Arial"/>
          <w:sz w:val="16"/>
          <w:szCs w:val="16"/>
          <w:color w:val="auto"/>
        </w:rPr>
        <w:t>Financial assets and liabilities recorded at fair value on the consolidated balance sheets as of December 31, 2019 and</w:t>
      </w:r>
      <w:r>
        <w:rPr>
          <w:rFonts w:ascii="Arial" w:cs="Arial" w:eastAsia="Arial" w:hAnsi="Arial"/>
          <w:sz w:val="16"/>
          <w:szCs w:val="16"/>
          <w:i w:val="1"/>
          <w:iCs w:val="1"/>
          <w:color w:val="auto"/>
        </w:rPr>
        <w:t xml:space="preserve"> </w:t>
      </w:r>
      <w:r>
        <w:rPr>
          <w:rFonts w:ascii="Arial" w:cs="Arial" w:eastAsia="Arial" w:hAnsi="Arial"/>
          <w:sz w:val="16"/>
          <w:szCs w:val="16"/>
          <w:color w:val="auto"/>
        </w:rPr>
        <w:t>2018 were classified in their entirety based on the lowest level of input that was significant to each asset or liability's fair value measurement.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w:t>
            </w:r>
          </w:p>
        </w:tc>
      </w:tr>
      <w:tr>
        <w:trPr>
          <w:trHeight w:val="264"/>
        </w:trPr>
        <w:tc>
          <w:tcPr>
            <w:tcW w:w="51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Performance bonds and guaranty fund contributions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agencies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981.1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981.4</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37"/>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730"/>
        </w:trPr>
        <w:tc>
          <w:tcPr>
            <w:tcW w:w="102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December 31, 2018</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3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72.9</w:t>
            </w:r>
          </w:p>
        </w:tc>
      </w:tr>
      <w:tr>
        <w:trPr>
          <w:trHeight w:val="27"/>
        </w:trPr>
        <w:tc>
          <w:tcPr>
            <w:tcW w:w="10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Contracts</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110.6</w:t>
            </w:r>
          </w:p>
        </w:tc>
      </w:tr>
      <w:tr>
        <w:trPr>
          <w:trHeight w:val="67"/>
        </w:trPr>
        <w:tc>
          <w:tcPr>
            <w:tcW w:w="1020" w:type="dxa"/>
            <w:vAlign w:val="bottom"/>
            <w:tcBorders>
              <w:bottom w:val="single" w:sz="8" w:color="CCEEFF"/>
            </w:tcBorders>
          </w:tcPr>
          <w:p>
            <w:pPr>
              <w:spacing w:after="0"/>
              <w:rPr>
                <w:sz w:val="5"/>
                <w:szCs w:val="5"/>
                <w:color w:val="auto"/>
              </w:rPr>
            </w:pPr>
          </w:p>
        </w:tc>
        <w:tc>
          <w:tcPr>
            <w:tcW w:w="41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Derivative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03" w:lineRule="exact"/>
        <w:rPr>
          <w:sz w:val="20"/>
          <w:szCs w:val="20"/>
          <w:color w:val="auto"/>
        </w:rPr>
      </w:pPr>
    </w:p>
    <w:p>
      <w:pPr>
        <w:ind w:right="300" w:firstLine="8"/>
        <w:spacing w:after="0" w:line="275" w:lineRule="auto"/>
        <w:tabs>
          <w:tab w:leader="none" w:pos="23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Performance bonds and guaranty fund contributions on the consolidated balance sheet at December 31, 2019 include U.S. government agency securities purchased with cash collateral.</w:t>
      </w:r>
    </w:p>
    <w:p>
      <w:pPr>
        <w:spacing w:after="0" w:line="11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is a reconciliation of the level 3 liability valued at fair value on a recurring basis during 2018 and 2019. As of December 31, 2019, the remaining contingent consideration liability has expired.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140" w:type="dxa"/>
            <w:vAlign w:val="bottom"/>
          </w:tcPr>
          <w:p>
            <w:pPr>
              <w:ind w:left="280"/>
              <w:spacing w:after="0"/>
              <w:rPr>
                <w:sz w:val="20"/>
                <w:szCs w:val="20"/>
                <w:color w:val="auto"/>
              </w:rPr>
            </w:pPr>
            <w:r>
              <w:rPr>
                <w:rFonts w:ascii="Arial" w:cs="Arial" w:eastAsia="Arial" w:hAnsi="Arial"/>
                <w:sz w:val="18"/>
                <w:szCs w:val="18"/>
                <w:color w:val="auto"/>
              </w:rPr>
              <w:t>Liability acquired through business combination</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6.7</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2018</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43"/>
        </w:trPr>
        <w:tc>
          <w:tcPr>
            <w:tcW w:w="9140" w:type="dxa"/>
            <w:vAlign w:val="bottom"/>
          </w:tcPr>
          <w:p>
            <w:pPr>
              <w:ind w:left="280"/>
              <w:spacing w:after="0"/>
              <w:rPr>
                <w:sz w:val="20"/>
                <w:szCs w:val="20"/>
                <w:color w:val="auto"/>
              </w:rPr>
            </w:pPr>
            <w:r>
              <w:rPr>
                <w:rFonts w:ascii="Arial" w:cs="Arial" w:eastAsia="Arial" w:hAnsi="Arial"/>
                <w:sz w:val="18"/>
                <w:szCs w:val="18"/>
                <w:color w:val="auto"/>
              </w:rPr>
              <w:t>Unrealized gains (losses) included in operating expense</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measurement period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914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Non-Recurring Fair Value Measurements. </w:t>
      </w:r>
      <w:r>
        <w:rPr>
          <w:rFonts w:ascii="Arial" w:cs="Arial" w:eastAsia="Arial" w:hAnsi="Arial"/>
          <w:sz w:val="18"/>
          <w:szCs w:val="18"/>
          <w:color w:val="auto"/>
        </w:rPr>
        <w:t>During 2019, the company recognized impairment charges of $13.0 million related to some of its investments.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fair values of these investments were estimated to be $57.2 million at December 31, 2019. The company also recognized unrealized losses of $61.1 million related to assets held for sale and $20.9 million related to certain fixed assets. The fair value of the fixed assets was estimated to be zero at the impairment date. The fair value of the net assets held for sale were estimated to be $3.6 million and $7.7 million at the respective assessment dates. These assessments were based on quantitative and qualitative indications of impairment. The fair value measurements of the investments, fixed assets and assets held for sale are considered level 3 and non-recurring.</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Fair Values of Debt Notes. </w:t>
      </w:r>
      <w:r>
        <w:rPr>
          <w:rFonts w:ascii="Arial" w:cs="Arial" w:eastAsia="Arial" w:hAnsi="Arial"/>
          <w:sz w:val="18"/>
          <w:szCs w:val="18"/>
          <w:color w:val="auto"/>
        </w:rPr>
        <w:t>The following presents the estimated fair values of long-term debt notes, which are carried at amortized cost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sheets. The fair values below that are classified as level 2 under the fair value hierarchy were estimated using quoted market prices in inactive markets. The fair value of the debt facility that was classified as level 3 under the fair value hierarchy was estimated based on assumptions made by management regarding expectations of future settlement of the debt.</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14" w:right="2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fair values (in U.S. dollar equivalents)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7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2022</w:t>
            </w:r>
          </w:p>
        </w:tc>
        <w:tc>
          <w:tcPr>
            <w:tcW w:w="37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772.4</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Level 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€15.0 million fixed rate notes due May 2023</w:t>
            </w:r>
          </w:p>
        </w:tc>
        <w:tc>
          <w:tcPr>
            <w:tcW w:w="3760" w:type="dxa"/>
            <w:vAlign w:val="bottom"/>
          </w:tcPr>
          <w:p>
            <w:pPr>
              <w:jc w:val="right"/>
              <w:ind w:right="252"/>
              <w:spacing w:after="0"/>
              <w:rPr>
                <w:sz w:val="20"/>
                <w:szCs w:val="20"/>
                <w:color w:val="auto"/>
              </w:rPr>
            </w:pPr>
            <w:r>
              <w:rPr>
                <w:rFonts w:ascii="Arial" w:cs="Arial" w:eastAsia="Arial" w:hAnsi="Arial"/>
                <w:sz w:val="18"/>
                <w:szCs w:val="18"/>
                <w:color w:val="auto"/>
              </w:rPr>
              <w:t>18.8</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Level 2</w:t>
            </w:r>
          </w:p>
        </w:tc>
      </w:tr>
      <w:tr>
        <w:trPr>
          <w:trHeight w:val="27"/>
        </w:trPr>
        <w:tc>
          <w:tcPr>
            <w:tcW w:w="64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March 2025</w:t>
            </w:r>
          </w:p>
        </w:tc>
        <w:tc>
          <w:tcPr>
            <w:tcW w:w="37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784.0</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Level 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$500.0 million fixed rate notes due June 2028</w:t>
            </w:r>
          </w:p>
        </w:tc>
        <w:tc>
          <w:tcPr>
            <w:tcW w:w="3760" w:type="dxa"/>
            <w:vAlign w:val="bottom"/>
          </w:tcPr>
          <w:p>
            <w:pPr>
              <w:jc w:val="right"/>
              <w:ind w:right="252"/>
              <w:spacing w:after="0"/>
              <w:rPr>
                <w:sz w:val="20"/>
                <w:szCs w:val="20"/>
                <w:color w:val="auto"/>
              </w:rPr>
            </w:pPr>
            <w:r>
              <w:rPr>
                <w:rFonts w:ascii="Arial" w:cs="Arial" w:eastAsia="Arial" w:hAnsi="Arial"/>
                <w:sz w:val="18"/>
                <w:szCs w:val="18"/>
                <w:color w:val="auto"/>
              </w:rPr>
              <w:t>551.9</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Level 2</w:t>
            </w:r>
          </w:p>
        </w:tc>
      </w:tr>
      <w:tr>
        <w:trPr>
          <w:trHeight w:val="27"/>
        </w:trPr>
        <w:tc>
          <w:tcPr>
            <w:tcW w:w="64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w:t>
            </w:r>
          </w:p>
        </w:tc>
        <w:tc>
          <w:tcPr>
            <w:tcW w:w="37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1,010.1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Level 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$700.0 million fixed rate notes due June 2048</w:t>
            </w:r>
          </w:p>
        </w:tc>
        <w:tc>
          <w:tcPr>
            <w:tcW w:w="3760" w:type="dxa"/>
            <w:vAlign w:val="bottom"/>
          </w:tcPr>
          <w:p>
            <w:pPr>
              <w:jc w:val="right"/>
              <w:ind w:right="252"/>
              <w:spacing w:after="0"/>
              <w:rPr>
                <w:sz w:val="20"/>
                <w:szCs w:val="20"/>
                <w:color w:val="auto"/>
              </w:rPr>
            </w:pPr>
            <w:r>
              <w:rPr>
                <w:rFonts w:ascii="Arial" w:cs="Arial" w:eastAsia="Arial" w:hAnsi="Arial"/>
                <w:sz w:val="18"/>
                <w:szCs w:val="18"/>
                <w:color w:val="auto"/>
              </w:rPr>
              <w:t>845.0</w:t>
            </w:r>
          </w:p>
        </w:tc>
        <w:tc>
          <w:tcPr>
            <w:tcW w:w="1240" w:type="dxa"/>
            <w:vAlign w:val="bottom"/>
          </w:tcPr>
          <w:p>
            <w:pPr>
              <w:jc w:val="center"/>
              <w:spacing w:after="0"/>
              <w:rPr>
                <w:sz w:val="20"/>
                <w:szCs w:val="20"/>
                <w:color w:val="auto"/>
              </w:rPr>
            </w:pPr>
            <w:r>
              <w:rPr>
                <w:rFonts w:ascii="Arial" w:cs="Arial" w:eastAsia="Arial" w:hAnsi="Arial"/>
                <w:sz w:val="18"/>
                <w:szCs w:val="18"/>
                <w:color w:val="auto"/>
                <w:w w:val="96"/>
              </w:rPr>
              <w:t>Level 2</w:t>
            </w:r>
          </w:p>
        </w:tc>
      </w:tr>
      <w:tr>
        <w:trPr>
          <w:trHeight w:val="27"/>
        </w:trPr>
        <w:tc>
          <w:tcPr>
            <w:tcW w:w="64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303.8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Level 3</w:t>
            </w:r>
          </w:p>
        </w:tc>
      </w:tr>
      <w:tr>
        <w:trPr>
          <w:trHeight w:val="27"/>
        </w:trPr>
        <w:tc>
          <w:tcPr>
            <w:tcW w:w="64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SHARE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awards were as follows for the years presented: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670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awards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00" w:type="dxa"/>
            <w:vAlign w:val="bottom"/>
          </w:tcPr>
          <w:p>
            <w:pPr>
              <w:ind w:left="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w w:val="96"/>
              </w:rPr>
              <w:t>The following table presents the earnings per share calculation for the years presented:</w:t>
            </w: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0"/>
        </w:trPr>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6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2,116.5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357,155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342,344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338,707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Effect of stock options and stock awards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358,239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343,737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340,226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9019"/>
          </w:cols>
          <w:pgMar w:left="1440" w:top="449" w:right="1440"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INFORMATION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800" w:type="dxa"/>
            <w:vAlign w:val="bottom"/>
          </w:tcPr>
          <w:p>
            <w:pPr>
              <w:spacing w:after="0"/>
              <w:rPr>
                <w:sz w:val="14"/>
                <w:szCs w:val="1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4"/>
                <w:szCs w:val="14"/>
                <w:color w:val="auto"/>
              </w:rPr>
            </w:pPr>
          </w:p>
        </w:tc>
        <w:tc>
          <w:tcPr>
            <w:tcW w:w="920" w:type="dxa"/>
            <w:vAlign w:val="bottom"/>
          </w:tcPr>
          <w:p>
            <w:pPr>
              <w:jc w:val="right"/>
              <w:ind w:right="272"/>
              <w:spacing w:after="0"/>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14"/>
                <w:szCs w:val="14"/>
                <w:color w:val="auto"/>
              </w:rPr>
            </w:pPr>
          </w:p>
        </w:tc>
        <w:tc>
          <w:tcPr>
            <w:tcW w:w="920" w:type="dxa"/>
            <w:vAlign w:val="bottom"/>
          </w:tcPr>
          <w:p>
            <w:pPr>
              <w:jc w:val="right"/>
              <w:ind w:right="312"/>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4"/>
                <w:szCs w:val="14"/>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Fourth</w:t>
            </w:r>
          </w:p>
        </w:tc>
        <w:tc>
          <w:tcPr>
            <w:tcW w:w="240" w:type="dxa"/>
            <w:vAlign w:val="bottom"/>
          </w:tcPr>
          <w:p>
            <w:pPr>
              <w:spacing w:after="0"/>
              <w:rPr>
                <w:sz w:val="14"/>
                <w:szCs w:val="14"/>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Year to Date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Year Ended December 31, 2019</w:t>
            </w: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auto"/>
            </w:tcBorders>
            <w:shd w:val="clear" w:color="auto" w:fill="CCEEFF"/>
          </w:tcPr>
          <w:p>
            <w:pPr>
              <w:spacing w:after="0"/>
              <w:rPr>
                <w:sz w:val="4"/>
                <w:szCs w:val="4"/>
                <w:color w:val="auto"/>
              </w:rPr>
            </w:pPr>
          </w:p>
        </w:tc>
        <w:tc>
          <w:tcPr>
            <w:tcW w:w="23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1,179.6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1,272.7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1,277.3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1,138.4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4,868.0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631.0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698.6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685.2</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573.0</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2,587.8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Non-operating income (expense)</w:t>
            </w:r>
          </w:p>
        </w:tc>
        <w:tc>
          <w:tcPr>
            <w:tcW w:w="8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51.1</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640.2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723.2</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624.1</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2,689.6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CME Group</w:t>
            </w:r>
          </w:p>
        </w:tc>
        <w:tc>
          <w:tcPr>
            <w:tcW w:w="8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496.9</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513.8</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636.3</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469.5</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1.39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Year Ended December 31, 2018</w:t>
            </w: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1,109.0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1,059.6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1,236.6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4,309.4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8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740.9</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666.9</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549.9</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649.9</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2,607.6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20.6</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8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788.7</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756.8</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561.8</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670.5</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2,777.8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598.8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411.8</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385.5</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0"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fourth quarter of 2019 that have materially affected, or are reasonably likely to materially affect, the company's internal control over financial reporting. The integration of NEX into our overall internal control over financial reporting process was completed during 2019. There were no other changes in the company’s internal control over financial reporting which occurred during 2019, that have materially affected, or are reasonably likely to materially affect, the company’s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9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2019.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3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Based on this assessment, management believes that, as of December 31, 2019, our internal control over financial reporting is effective. The effectiveness of our internal control over financial reporting as of December 31, 2019 has been audited by Ernst &amp; Young LLP, an independent registered public accounting firm, as stated in the report on page 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121" w:right="31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CME Group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CME Group Inc. and subsidiaries (the Company) as of December 31, 2019 and 2018, the related consolidated statements of income, comprehensive income, equity, and cash flows for each of the three years in the period ended December 31, 2019,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28,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11 to the consolidated financial statements, the Company had unrecognized income tax benefits of $388.5 million related to uncertain tax positions as of December 31, 2019. Uncertainty in a tax position may arise due to the application of complex tax regulations. The Company uses significant judgment to (1) determine whether, based on the technical merits, the tax position is more likely than not to be sustained upon examination and (2) measure the amount of the tax benefit that qualifies for recognition.</w:t>
      </w:r>
    </w:p>
    <w:p>
      <w:pPr>
        <w:spacing w:after="0" w:line="13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Auditing management’s estimate of the Company’s uncertain tax positions that qualified for recognition and the related unrecognized income tax benefits was especially challenging because management’s estimate involved significant judgment in evaluating the technical merits of the positions, including interpretations of applicable tax laws and regulations.</w:t>
      </w:r>
    </w:p>
    <w:p>
      <w:pPr>
        <w:spacing w:after="0" w:line="84" w:lineRule="exact"/>
        <w:rPr>
          <w:sz w:val="20"/>
          <w:szCs w:val="20"/>
          <w:color w:val="auto"/>
        </w:rPr>
      </w:pPr>
    </w:p>
    <w:p>
      <w:pPr>
        <w:sectPr>
          <w:pgSz w:w="11900" w:h="16838" w:orient="portrait"/>
          <w:cols w:equalWidth="0" w:num="2">
            <w:col w:w="1400" w:space="400"/>
            <w:col w:w="9540"/>
          </w:cols>
          <w:pgMar w:left="240" w:top="122" w:right="319" w:bottom="1440" w:gutter="0" w:footer="0" w:header="0"/>
        </w:sectPr>
      </w:pPr>
    </w:p>
    <w:p>
      <w:pPr>
        <w:ind w:left="100" w:right="20"/>
        <w:spacing w:after="0" w:line="184" w:lineRule="auto"/>
        <w:rPr>
          <w:sz w:val="20"/>
          <w:szCs w:val="20"/>
          <w:color w:val="auto"/>
        </w:rPr>
      </w:pPr>
      <w:r>
        <w:rPr>
          <w:rFonts w:ascii="Arial" w:cs="Arial" w:eastAsia="Arial" w:hAnsi="Arial"/>
          <w:sz w:val="30"/>
          <w:szCs w:val="30"/>
          <w:i w:val="1"/>
          <w:iCs w:val="1"/>
          <w:color w:val="auto"/>
          <w:vertAlign w:val="superscript"/>
        </w:rPr>
        <w:t>How we Addressed the</w:t>
      </w:r>
      <w:r>
        <w:rPr>
          <w:rFonts w:ascii="Arial" w:cs="Arial" w:eastAsia="Arial" w:hAnsi="Arial"/>
          <w:sz w:val="16"/>
          <w:szCs w:val="16"/>
          <w:color w:val="auto"/>
        </w:rPr>
        <w:t xml:space="preserve"> We tested the Company’s controls that address the risk of material misstatement relating to the recognition and measurement of </w:t>
      </w:r>
      <w:r>
        <w:rPr>
          <w:rFonts w:ascii="Arial" w:cs="Arial" w:eastAsia="Arial" w:hAnsi="Arial"/>
          <w:sz w:val="30"/>
          <w:szCs w:val="30"/>
          <w:i w:val="1"/>
          <w:iCs w:val="1"/>
          <w:color w:val="auto"/>
          <w:vertAlign w:val="superscript"/>
        </w:rPr>
        <w:t>Matter in Our Audit</w:t>
      </w:r>
      <w:r>
        <w:rPr>
          <w:rFonts w:ascii="Arial" w:cs="Arial" w:eastAsia="Arial" w:hAnsi="Arial"/>
          <w:sz w:val="16"/>
          <w:szCs w:val="16"/>
          <w:color w:val="auto"/>
        </w:rPr>
        <w:t xml:space="preserve"> uncertain tax positions. For example, we tested controls over the Company’s assessment of the technical merits of tax positions and</w:t>
      </w:r>
    </w:p>
    <w:p>
      <w:pPr>
        <w:jc w:val="both"/>
        <w:ind w:left="1800" w:right="20"/>
        <w:spacing w:after="0" w:line="259" w:lineRule="auto"/>
        <w:rPr>
          <w:sz w:val="20"/>
          <w:szCs w:val="20"/>
          <w:color w:val="auto"/>
        </w:rPr>
      </w:pPr>
      <w:r>
        <w:rPr>
          <w:rFonts w:ascii="Arial" w:cs="Arial" w:eastAsia="Arial" w:hAnsi="Arial"/>
          <w:sz w:val="18"/>
          <w:szCs w:val="18"/>
          <w:color w:val="auto"/>
        </w:rPr>
        <w:t>management’s process to measure the benefit of those tax positions that qualified for recognition, including management’s review of the inputs used in the calculations.</w:t>
      </w:r>
    </w:p>
    <w:p>
      <w:pPr>
        <w:spacing w:after="0" w:line="131" w:lineRule="exact"/>
        <w:rPr>
          <w:sz w:val="20"/>
          <w:szCs w:val="20"/>
          <w:color w:val="auto"/>
        </w:rPr>
      </w:pPr>
    </w:p>
    <w:p>
      <w:pPr>
        <w:jc w:val="both"/>
        <w:ind w:left="1800" w:right="20"/>
        <w:spacing w:after="0" w:line="276" w:lineRule="auto"/>
        <w:rPr>
          <w:sz w:val="20"/>
          <w:szCs w:val="20"/>
          <w:color w:val="auto"/>
        </w:rPr>
      </w:pPr>
      <w:r>
        <w:rPr>
          <w:rFonts w:ascii="Arial" w:cs="Arial" w:eastAsia="Arial" w:hAnsi="Arial"/>
          <w:sz w:val="17"/>
          <w:szCs w:val="17"/>
          <w:color w:val="auto"/>
        </w:rPr>
        <w:t>We involved our tax professionals to evaluate the technical merits of the Company's tax positions. Our audit procedures included, among others, evaluating the assumptions the Company used to develop its uncertain tax positions and related unrecognized income tax benefit amount by jurisdiction. We also tested the completeness and accuracy of the underlying data used by the Company to calculate its uncertain tax positions, inspected correspondence with relevant tax authorities, and evaluated third-party advice obtained and used by the Company in assessing the technical merits of its tax positions.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340"/>
          </w:cols>
          <w:pgMar w:left="240" w:top="12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40"/>
          </w:cols>
          <w:pgMar w:left="240" w:top="122" w:right="31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right="3460" w:firstLine="3453"/>
        <w:spacing w:after="0" w:line="52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the Board of Directors of CME Group Inc. and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CME Group Inc. and subsidiaries’ internal control over financial reporting as of December 31, 2019, based on criteria established in Internal Control-Integrated Framework issued by the Committee of Sponsoring Organizations of the Treadway Commission </w:t>
      </w:r>
      <w:r>
        <w:rPr>
          <w:rFonts w:ascii="Arial" w:cs="Arial" w:eastAsia="Arial" w:hAnsi="Arial"/>
          <w:sz w:val="18"/>
          <w:szCs w:val="18"/>
          <w:b w:val="1"/>
          <w:bCs w:val="1"/>
          <w:color w:val="auto"/>
        </w:rPr>
        <w:t>(2013 framework)</w:t>
      </w:r>
      <w:r>
        <w:rPr>
          <w:rFonts w:ascii="Arial" w:cs="Arial" w:eastAsia="Arial" w:hAnsi="Arial"/>
          <w:sz w:val="18"/>
          <w:szCs w:val="18"/>
          <w:color w:val="auto"/>
        </w:rPr>
        <w:t xml:space="preserve"> (the COSO criteria). In our opinion, CME Group Inc. and subsidiaries (the Company) maintained, in all material respects, effective internal control over financial reporting as December 31, 2019, based on the COSO criteria.</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CME Group Inc. and subsidiaries as of December 31, 2019 and 2018, the related consolidated statements of income, comprehensive income, equity and cash flows for each of the three years in the period ended December 31, 2019, and the related notes and financial statement schedule listed in the Index at Item 15(a) and our report dated February 28, 2020 expressed an unqualified opinion thereon.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We have adopted written codes of conduct applicable to all of our employees, including our Chairman and Chief Executive Officer, President, Chief Financial Officer, Chief Accounting Officer and other senior financial officers. In accordance with SEC rules and regulations, copies of these codes of conduct are available on our website at </w:t>
      </w:r>
      <w:r>
        <w:rPr>
          <w:rFonts w:ascii="Arial" w:cs="Arial" w:eastAsia="Arial" w:hAnsi="Arial"/>
          <w:sz w:val="16"/>
          <w:szCs w:val="16"/>
          <w:i w:val="1"/>
          <w:iCs w:val="1"/>
          <w:color w:val="auto"/>
        </w:rPr>
        <w:t>www.cmegroup.com</w:t>
      </w:r>
      <w:r>
        <w:rPr>
          <w:rFonts w:ascii="Arial" w:cs="Arial" w:eastAsia="Arial" w:hAnsi="Arial"/>
          <w:sz w:val="16"/>
          <w:szCs w:val="16"/>
          <w:color w:val="auto"/>
        </w:rPr>
        <w:t xml:space="preserve"> under the "Investor Relations — Corporate Governance" link. In accordance with SEC rules and regulations and the listing requirements of Nasdaq, we intend to disclose promptly on the website and location specified above any substantive amendments to these codes of conduct and any waivers granted to our executive officers or Board members. In addition, we have adopted Corporate Governance Principles which govern the practices of our board of directors. You may also obtain a copy of our codes of conduct and our Corporate Governance Principles by following the instructions in the section of this Annual Report on Form 10-K entitled "Item 1. Business — Available Information."</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CME Group’s definitive proxy statement for the Annual Meeting of Shareholders to be held on May 6, 2020, to be filed by CME Group with the SEC pursuant to Regulation 14A within 120 days after December 31, 2019 (Proxy Statement). Additional information called for by this item is contained in Item 1 of this Annual Report on Form 10-K under the caption "Employees — Executive Officers."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currently maintain the following equity compensation plans: CME Group Inc. Amended and Restated Omnibus Stock Plan, CME Group Inc. Director Stock Plan and CME Group Inc. Amended and Restated Employee Stock Purchase Plan. We do not maintain any equity compensation plans not approved by shareholders. A description of each of these plans and the number of shares authorized and available for future awards is included in note 16 of the notes to consolidated financial statements. The numbers in the following table are as of December 31,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to be Issued Upon</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 of</w:t>
            </w: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Securities Remaining Available for Future</w:t>
            </w:r>
          </w:p>
        </w:tc>
      </w:tr>
      <w:tr>
        <w:trPr>
          <w:trHeight w:val="203"/>
        </w:trPr>
        <w:tc>
          <w:tcPr>
            <w:tcW w:w="34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2520" w:type="dxa"/>
            <w:vAlign w:val="bottom"/>
            <w:gridSpan w:val="2"/>
          </w:tcPr>
          <w:p>
            <w:pPr>
              <w:jc w:val="right"/>
              <w:ind w:right="33"/>
              <w:spacing w:after="0"/>
              <w:rPr>
                <w:sz w:val="20"/>
                <w:szCs w:val="20"/>
                <w:color w:val="auto"/>
              </w:rPr>
            </w:pPr>
            <w:r>
              <w:rPr>
                <w:rFonts w:ascii="Arial" w:cs="Arial" w:eastAsia="Arial" w:hAnsi="Arial"/>
                <w:sz w:val="16"/>
                <w:szCs w:val="16"/>
                <w:b w:val="1"/>
                <w:bCs w:val="1"/>
                <w:color w:val="auto"/>
                <w:w w:val="93"/>
              </w:rPr>
              <w:t>Weighted-Average Exercise Price</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91"/>
              </w:rPr>
              <w:t>Issuance Under Equity Compensation Plans (excluding</w:t>
            </w: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(a)</w:t>
            </w:r>
          </w:p>
        </w:tc>
        <w:tc>
          <w:tcPr>
            <w:tcW w:w="280" w:type="dxa"/>
            <w:vAlign w:val="bottom"/>
          </w:tcPr>
          <w:p>
            <w:pPr>
              <w:spacing w:after="0"/>
              <w:rPr>
                <w:sz w:val="19"/>
                <w:szCs w:val="19"/>
                <w:color w:val="auto"/>
              </w:rPr>
            </w:pPr>
          </w:p>
        </w:tc>
        <w:tc>
          <w:tcPr>
            <w:tcW w:w="2240" w:type="dxa"/>
            <w:vAlign w:val="bottom"/>
          </w:tcPr>
          <w:p>
            <w:pPr>
              <w:jc w:val="right"/>
              <w:ind w:right="353"/>
              <w:spacing w:after="0"/>
              <w:rPr>
                <w:sz w:val="20"/>
                <w:szCs w:val="20"/>
                <w:color w:val="auto"/>
              </w:rPr>
            </w:pPr>
            <w:r>
              <w:rPr>
                <w:rFonts w:ascii="Arial" w:cs="Arial" w:eastAsia="Arial" w:hAnsi="Arial"/>
                <w:sz w:val="16"/>
                <w:szCs w:val="16"/>
                <w:b w:val="1"/>
                <w:bCs w:val="1"/>
                <w:color w:val="auto"/>
                <w:w w:val="99"/>
              </w:rPr>
              <w:t>of Outstanding Options</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reflected in column (a))</w:t>
            </w:r>
          </w:p>
        </w:tc>
      </w:tr>
      <w:tr>
        <w:trPr>
          <w:trHeight w:val="33"/>
        </w:trPr>
        <w:tc>
          <w:tcPr>
            <w:tcW w:w="3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22"/>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holders</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227,084</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54.45</w:t>
            </w:r>
          </w:p>
        </w:tc>
        <w:tc>
          <w:tcPr>
            <w:tcW w:w="3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16,083,992</w:t>
            </w: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w w:val="96"/>
              </w:rPr>
              <w:t>Equity compensation plans not approved by</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security holders</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9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227,084</w:t>
            </w:r>
          </w:p>
        </w:tc>
        <w:tc>
          <w:tcPr>
            <w:tcW w:w="28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16,083,992</w:t>
            </w:r>
          </w:p>
        </w:tc>
      </w:tr>
      <w:tr>
        <w:trPr>
          <w:trHeight w:val="20"/>
        </w:trPr>
        <w:tc>
          <w:tcPr>
            <w:tcW w:w="3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5620" w:right="1360" w:hanging="5615"/>
        <w:spacing w:after="0" w:line="653" w:lineRule="auto"/>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 89</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Financial Statement Schedules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at December 31, 2019 and 2018</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Income for the Years Ended December 31, 2019, 2018 and 2017</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Comprehensive Income for the Years Ended December 31, 2019, 2018 and 2017</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Equity for the Years Ended December 31, 2019, 2018 and 2017</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2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CME Group Inc. and Subsidiaries</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9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of year</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expenses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of year</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_______________</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1020" w:hanging="652"/>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write-offs of doubtful accounts, foreign currency and additions to allowance for deferred tax assets through accumulated other comprehensive income (loss).</w:t>
      </w:r>
    </w:p>
    <w:p>
      <w:pPr>
        <w:spacing w:after="0" w:line="13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on the consolidated financial statements or notes thereto.</w:t>
      </w:r>
    </w:p>
    <w:p>
      <w:pPr>
        <w:spacing w:after="0" w:line="11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20" w:type="dxa"/>
            <w:vAlign w:val="bottom"/>
          </w:tcPr>
          <w:p>
            <w:pPr>
              <w:jc w:val="center"/>
              <w:ind w:right="2348"/>
              <w:spacing w:after="0"/>
              <w:rPr>
                <w:sz w:val="20"/>
                <w:szCs w:val="20"/>
                <w:color w:val="auto"/>
              </w:rPr>
            </w:pPr>
            <w:r>
              <w:rPr>
                <w:rFonts w:ascii="Arial" w:cs="Arial" w:eastAsia="Arial" w:hAnsi="Arial"/>
                <w:sz w:val="14"/>
                <w:szCs w:val="14"/>
                <w:b w:val="1"/>
                <w:bCs w:val="1"/>
                <w:color w:val="auto"/>
                <w:w w:val="98"/>
              </w:rPr>
              <w:t>Exhibit</w:t>
            </w:r>
          </w:p>
        </w:tc>
        <w:tc>
          <w:tcPr>
            <w:tcW w:w="3780" w:type="dxa"/>
            <w:vAlign w:val="bottom"/>
            <w:vMerge w:val="restart"/>
          </w:tcPr>
          <w:p>
            <w:pPr>
              <w:ind w:left="242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920" w:type="dxa"/>
            <w:vAlign w:val="bottom"/>
          </w:tcPr>
          <w:p>
            <w:pPr>
              <w:jc w:val="center"/>
              <w:ind w:right="2328"/>
              <w:spacing w:after="0"/>
              <w:rPr>
                <w:sz w:val="20"/>
                <w:szCs w:val="20"/>
                <w:color w:val="auto"/>
              </w:rPr>
            </w:pPr>
            <w:r>
              <w:rPr>
                <w:rFonts w:ascii="Arial" w:cs="Arial" w:eastAsia="Arial" w:hAnsi="Arial"/>
                <w:sz w:val="14"/>
                <w:szCs w:val="14"/>
                <w:b w:val="1"/>
                <w:bCs w:val="1"/>
                <w:color w:val="auto"/>
                <w:w w:val="98"/>
              </w:rPr>
              <w:t>Number</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420" w:hanging="1385"/>
        <w:spacing w:after="0"/>
        <w:tabs>
          <w:tab w:leader="none" w:pos="14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Articles of Incorporation and Bylaws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3.1</w:t>
            </w:r>
          </w:p>
        </w:tc>
        <w:tc>
          <w:tcPr>
            <w:tcW w:w="9780" w:type="dxa"/>
            <w:vAlign w:val="bottom"/>
            <w:tcBorders>
              <w:bottom w:val="single" w:sz="8" w:color="0000FF"/>
            </w:tcBorders>
            <w:gridSpan w:val="4"/>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Fourth Amended and Restated Certificate of Incorporation of CME Group Inc. (incorporated by reference to Exhibit 3.1 to CME Group</w:t>
              </w:r>
            </w:hyperlink>
          </w:p>
        </w:tc>
      </w:tr>
      <w:tr>
        <w:trPr>
          <w:trHeight w:val="196"/>
        </w:trPr>
        <w:tc>
          <w:tcPr>
            <w:tcW w:w="1380" w:type="dxa"/>
            <w:vAlign w:val="bottom"/>
          </w:tcPr>
          <w:p>
            <w:pPr>
              <w:spacing w:after="0"/>
              <w:rPr>
                <w:sz w:val="17"/>
                <w:szCs w:val="17"/>
                <w:color w:val="auto"/>
              </w:rPr>
            </w:pPr>
          </w:p>
        </w:tc>
        <w:tc>
          <w:tcPr>
            <w:tcW w:w="9780" w:type="dxa"/>
            <w:vAlign w:val="bottom"/>
            <w:gridSpan w:val="4"/>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Inc.’s Current Report on Form 8-K, filed with the SEC on May 29, 2012).</w:t>
              </w:r>
            </w:hyperlink>
          </w:p>
        </w:tc>
      </w:tr>
      <w:tr>
        <w:trPr>
          <w:trHeight w:val="20"/>
        </w:trPr>
        <w:tc>
          <w:tcPr>
            <w:tcW w:w="138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7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3.2</w:t>
            </w:r>
          </w:p>
        </w:tc>
        <w:tc>
          <w:tcPr>
            <w:tcW w:w="9780" w:type="dxa"/>
            <w:vAlign w:val="bottom"/>
            <w:gridSpan w:val="4"/>
          </w:tcPr>
          <w:p>
            <w:pPr>
              <w:spacing w:after="0"/>
              <w:rPr>
                <w:rFonts w:ascii="Arial" w:cs="Arial" w:eastAsia="Arial" w:hAnsi="Arial"/>
                <w:sz w:val="18"/>
                <w:szCs w:val="18"/>
                <w:color w:val="0000FF"/>
                <w:w w:val="94"/>
              </w:rPr>
            </w:pPr>
            <w:hyperlink r:id="rId33">
              <w:r>
                <w:rPr>
                  <w:rFonts w:ascii="Arial" w:cs="Arial" w:eastAsia="Arial" w:hAnsi="Arial"/>
                  <w:sz w:val="18"/>
                  <w:szCs w:val="18"/>
                  <w:color w:val="0000FF"/>
                  <w:w w:val="94"/>
                </w:rPr>
                <w:t>Fifteenth Amended and Restated Bylaws of CME Group Inc. (incorporated by reference to Exhibit 3.1 to CME Group Inc.’s Current</w:t>
              </w:r>
            </w:hyperlink>
          </w:p>
        </w:tc>
      </w:tr>
      <w:tr>
        <w:trPr>
          <w:trHeight w:val="196"/>
        </w:trPr>
        <w:tc>
          <w:tcPr>
            <w:tcW w:w="1380" w:type="dxa"/>
            <w:vAlign w:val="bottom"/>
          </w:tcPr>
          <w:p>
            <w:pPr>
              <w:spacing w:after="0"/>
              <w:rPr>
                <w:sz w:val="17"/>
                <w:szCs w:val="17"/>
                <w:color w:val="auto"/>
              </w:rPr>
            </w:pPr>
          </w:p>
        </w:tc>
        <w:tc>
          <w:tcPr>
            <w:tcW w:w="954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Report on Form 8-K, filed with the SEC on February 7, 2020).</w:t>
              </w:r>
            </w:hyperlink>
          </w:p>
        </w:tc>
        <w:tc>
          <w:tcPr>
            <w:tcW w:w="2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20" w:hanging="1385"/>
        <w:spacing w:after="0"/>
        <w:tabs>
          <w:tab w:leader="none" w:pos="142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Instruments Defining the Rights of Security Holders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4.1</w:t>
            </w:r>
          </w:p>
        </w:tc>
        <w:tc>
          <w:tcPr>
            <w:tcW w:w="9760" w:type="dxa"/>
            <w:vAlign w:val="bottom"/>
            <w:gridSpan w:val="5"/>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Amended and Restated Commercial Paper Dealer Agreement, dated as of October 20, 2014, among CME Group Inc., as Issuer, and</w:t>
              </w:r>
            </w:hyperlink>
          </w:p>
        </w:tc>
      </w:tr>
      <w:tr>
        <w:trPr>
          <w:trHeight w:val="20"/>
        </w:trPr>
        <w:tc>
          <w:tcPr>
            <w:tcW w:w="1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Barclays Capital Inc., as Dealer (incorporated by reference to Exhibit 4.1 to CME Group's 10-K, filed with the SEC on February 26,</w:t>
              </w:r>
            </w:hyperlink>
          </w:p>
        </w:tc>
      </w:tr>
      <w:tr>
        <w:trPr>
          <w:trHeight w:val="196"/>
        </w:trPr>
        <w:tc>
          <w:tcPr>
            <w:tcW w:w="13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4">
              <w:r>
                <w:rPr>
                  <w:rFonts w:ascii="Arial" w:cs="Arial" w:eastAsia="Arial" w:hAnsi="Arial"/>
                  <w:sz w:val="18"/>
                  <w:szCs w:val="18"/>
                  <w:color w:val="0000FF"/>
                  <w:w w:val="86"/>
                </w:rPr>
                <w:t>2015).</w:t>
              </w:r>
            </w:hyperlink>
          </w:p>
        </w:tc>
        <w:tc>
          <w:tcPr>
            <w:tcW w:w="1820" w:type="dxa"/>
            <w:vAlign w:val="bottom"/>
            <w:tcBorders>
              <w:top w:val="single" w:sz="8" w:color="0000FF"/>
            </w:tcBorders>
          </w:tcPr>
          <w:p>
            <w:pPr>
              <w:spacing w:after="0"/>
              <w:rPr>
                <w:sz w:val="17"/>
                <w:szCs w:val="17"/>
                <w:color w:val="auto"/>
              </w:rPr>
            </w:pPr>
          </w:p>
        </w:tc>
        <w:tc>
          <w:tcPr>
            <w:tcW w:w="7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r>
      <w:tr>
        <w:trPr>
          <w:trHeight w:val="372"/>
        </w:trPr>
        <w:tc>
          <w:tcPr>
            <w:tcW w:w="1380" w:type="dxa"/>
            <w:vAlign w:val="bottom"/>
          </w:tcPr>
          <w:p>
            <w:pPr>
              <w:jc w:val="right"/>
              <w:ind w:right="1070"/>
              <w:spacing w:after="0"/>
              <w:rPr>
                <w:sz w:val="20"/>
                <w:szCs w:val="20"/>
                <w:color w:val="auto"/>
              </w:rPr>
            </w:pPr>
            <w:r>
              <w:rPr>
                <w:rFonts w:ascii="Arial" w:cs="Arial" w:eastAsia="Arial" w:hAnsi="Arial"/>
                <w:sz w:val="18"/>
                <w:szCs w:val="18"/>
                <w:color w:val="auto"/>
                <w:w w:val="79"/>
              </w:rPr>
              <w:t>4.2</w:t>
            </w:r>
          </w:p>
        </w:tc>
        <w:tc>
          <w:tcPr>
            <w:tcW w:w="9480" w:type="dxa"/>
            <w:vAlign w:val="bottom"/>
            <w:tcBorders>
              <w:bottom w:val="single" w:sz="8" w:color="0000FF"/>
            </w:tcBorders>
            <w:gridSpan w:val="3"/>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Commercial Paper Issuing and Paying Agency Agreement, dated as of September 26, 2014, between CME Group Inc. and Bank of</w:t>
              </w:r>
            </w:hyperlink>
          </w:p>
        </w:tc>
        <w:tc>
          <w:tcPr>
            <w:tcW w:w="28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America, National Association, as Issuing and Paying Agent (incorporated by reference to Exhibit 4.2 to CME Group's 10-K, filed with</w:t>
              </w:r>
            </w:hyperlink>
          </w:p>
        </w:tc>
      </w:tr>
      <w:tr>
        <w:trPr>
          <w:trHeight w:val="196"/>
        </w:trPr>
        <w:tc>
          <w:tcPr>
            <w:tcW w:w="138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the SEC on February 26, 2015).</w:t>
              </w:r>
            </w:hyperlink>
          </w:p>
        </w:tc>
      </w:tr>
      <w:tr>
        <w:trPr>
          <w:trHeight w:val="20"/>
        </w:trPr>
        <w:tc>
          <w:tcPr>
            <w:tcW w:w="1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2" w:right="279" w:bottom="1440"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4.5</w:t>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br w:type="column"/>
      </w:r>
    </w:p>
    <w:p>
      <w:pPr>
        <w:ind w:right="40"/>
        <w:spacing w:after="0" w:line="264" w:lineRule="auto"/>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Amended and Restated Commercial Paper Dealer Agreement, dated as of October 20, 2014, between CME Group Inc., as Issuer, and</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Merrill Lynch, Pierce, Fenner &amp; Smith Incorporated, as Dealer (incorporated by reference to Exhibit 4.3 to CME Group's 10-K, filed with</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the SEC on February 26, 2015).</w:t>
        </w:r>
      </w:hyperlink>
    </w:p>
    <w:p>
      <w:pPr>
        <w:spacing w:after="0" w:line="141" w:lineRule="exact"/>
        <w:rPr>
          <w:rFonts w:ascii="Arial" w:cs="Arial" w:eastAsia="Arial" w:hAnsi="Arial"/>
          <w:sz w:val="18"/>
          <w:szCs w:val="18"/>
          <w:u w:val="single" w:color="auto"/>
          <w:color w:val="0000FF"/>
        </w:rPr>
      </w:pPr>
    </w:p>
    <w:p>
      <w:pPr>
        <w:jc w:val="both"/>
        <w:ind w:right="300"/>
        <w:spacing w:after="0" w:line="264" w:lineRule="auto"/>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Amended and Restated Commercial Paper Dealer Agreement, dated as of October 20, 2014, between CME Group Inc., as Issuer, and</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Goldman, Sachs &amp; Co., as Dealer (incorporated by reference to Exhibit 4.4 to CME Group's 10-K, filed with the SEC on February 26,</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2015).</w:t>
        </w:r>
      </w:hyperlink>
    </w:p>
    <w:p>
      <w:pPr>
        <w:spacing w:after="0" w:line="141" w:lineRule="exact"/>
        <w:rPr>
          <w:rFonts w:ascii="Arial" w:cs="Arial" w:eastAsia="Arial" w:hAnsi="Arial"/>
          <w:sz w:val="18"/>
          <w:szCs w:val="18"/>
          <w:u w:val="single" w:color="auto"/>
          <w:color w:val="0000FF"/>
        </w:rPr>
      </w:pPr>
    </w:p>
    <w:p>
      <w:pPr>
        <w:ind w:right="240"/>
        <w:spacing w:after="0" w:line="277" w:lineRule="auto"/>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Indenture, dated August 12, 2008, between CME Group Inc. and U.S. Bank National Association (incorporated by reference to Exhibit</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4.1 to CME Group Inc.’s Current Report on Form 8-K, filed with the SEC on August 13, 2008).</w:t>
        </w:r>
      </w:hyperlink>
    </w:p>
    <w:p>
      <w:pPr>
        <w:spacing w:after="0" w:line="211" w:lineRule="exact"/>
        <w:rPr>
          <w:sz w:val="20"/>
          <w:szCs w:val="20"/>
          <w:color w:val="auto"/>
        </w:rPr>
      </w:pPr>
    </w:p>
    <w:p>
      <w:pPr>
        <w:ind w:right="240"/>
        <w:spacing w:after="0" w:line="264" w:lineRule="auto"/>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Fifth Supplemental Indenture (including the form of 3.00% note due 2022), dated September 10, 2012, between CME Group Inc. and</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U.S. Bank National Association (incorporated by reference to Exhibit 4.2 to CME Group Inc.'s Current Report on Form 8-K, filed with</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the SEC on September 10, 2012).</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700" w:space="720"/>
            <w:col w:w="9960"/>
          </w:cols>
          <w:pgMar w:left="240" w:top="122" w:right="279" w:bottom="1440" w:gutter="0" w:footer="0" w:header="0"/>
          <w:type w:val="continuous"/>
        </w:sectPr>
      </w:pPr>
    </w:p>
    <w:p>
      <w:pPr>
        <w:spacing w:after="0" w:line="22" w:lineRule="exact"/>
        <w:rPr>
          <w:rFonts w:ascii="Arial" w:cs="Arial" w:eastAsia="Arial" w:hAnsi="Arial"/>
          <w:sz w:val="18"/>
          <w:szCs w:val="18"/>
          <w:u w:val="single" w:color="auto"/>
          <w:color w:val="0000FF"/>
        </w:rPr>
      </w:pPr>
    </w:p>
    <w:tbl>
      <w:tblPr>
        <w:tblLayout w:type="fixed"/>
        <w:tblInd w:w="4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4.7</w:t>
            </w:r>
          </w:p>
        </w:tc>
        <w:tc>
          <w:tcPr>
            <w:tcW w:w="9740" w:type="dxa"/>
            <w:vAlign w:val="bottom"/>
            <w:gridSpan w:val="8"/>
            <w:vMerge w:val="restart"/>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Sixth Supplemental Indenture (including the form of 5.300% note due 2043), dated as of September 9, 2013, between CME Group Inc.</w:t>
              </w:r>
            </w:hyperlink>
          </w:p>
        </w:tc>
        <w:tc>
          <w:tcPr>
            <w:tcW w:w="200" w:type="dxa"/>
            <w:vAlign w:val="bottom"/>
            <w:gridSpan w:val="4"/>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380" w:type="dxa"/>
            <w:vAlign w:val="bottom"/>
          </w:tcPr>
          <w:p>
            <w:pPr>
              <w:spacing w:after="0"/>
              <w:rPr>
                <w:sz w:val="3"/>
                <w:szCs w:val="3"/>
                <w:color w:val="auto"/>
              </w:rPr>
            </w:pPr>
          </w:p>
        </w:tc>
        <w:tc>
          <w:tcPr>
            <w:tcW w:w="9740" w:type="dxa"/>
            <w:vAlign w:val="bottom"/>
            <w:tcBorders>
              <w:bottom w:val="single" w:sz="8" w:color="0000FF"/>
            </w:tcBorders>
            <w:gridSpan w:val="8"/>
            <w:vMerge w:val="continue"/>
          </w:tcPr>
          <w:p>
            <w:pPr>
              <w:spacing w:after="0"/>
              <w:rPr>
                <w:sz w:val="3"/>
                <w:szCs w:val="3"/>
                <w:color w:val="auto"/>
              </w:rPr>
            </w:pPr>
          </w:p>
        </w:tc>
        <w:tc>
          <w:tcPr>
            <w:tcW w:w="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FF"/>
                <w:w w:val="94"/>
              </w:rPr>
            </w:pPr>
            <w:hyperlink r:id="rId40">
              <w:r>
                <w:rPr>
                  <w:rFonts w:ascii="Arial" w:cs="Arial" w:eastAsia="Arial" w:hAnsi="Arial"/>
                  <w:sz w:val="18"/>
                  <w:szCs w:val="18"/>
                  <w:color w:val="0000FF"/>
                  <w:w w:val="94"/>
                </w:rPr>
                <w:t>and U.S. Bank National Association (incorporated by reference to Exhibit 4.2 to CME Group Inc.'s Current Report on Form 8-K, filed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6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with the SEC on September 9, 2013).</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4.8</w:t>
            </w:r>
          </w:p>
        </w:tc>
        <w:tc>
          <w:tcPr>
            <w:tcW w:w="9940" w:type="dxa"/>
            <w:vAlign w:val="bottom"/>
            <w:gridSpan w:val="12"/>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Seventh Supplemental Indenture (including the form of 3.000% note due 2025), dated as of March 9, 2015, between CME Group Inc.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7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U.S. Bank National Association (incorporated by reference to Exhibit 4.2 to CME Group Inc.'s Current Report on Form 8-K, filed with</w:t>
              </w:r>
            </w:hyperlink>
          </w:p>
        </w:tc>
        <w:tc>
          <w:tcPr>
            <w:tcW w:w="16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0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the SEC on March 9, 2015).</w:t>
              </w:r>
            </w:hyperlink>
          </w:p>
        </w:tc>
        <w:tc>
          <w:tcPr>
            <w:tcW w:w="79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4.9</w:t>
            </w:r>
          </w:p>
        </w:tc>
        <w:tc>
          <w:tcPr>
            <w:tcW w:w="9940" w:type="dxa"/>
            <w:vAlign w:val="bottom"/>
            <w:gridSpan w:val="12"/>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Eighth Supplemental Indenture (including the form of 3.750% note due 2028), dated as of June 21, 2018, between CME Group Inc.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7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U.S. Bank National Association (incorporated by reference to Exhibit 4.2 to CME Group Inc.'s Current Report on Form 8-K, filed with</w:t>
              </w:r>
            </w:hyperlink>
          </w:p>
        </w:tc>
        <w:tc>
          <w:tcPr>
            <w:tcW w:w="40" w:type="dxa"/>
            <w:vAlign w:val="bottom"/>
            <w:tcBorders>
              <w:top w:val="single" w:sz="8" w:color="0000FF"/>
            </w:tcBorders>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98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42">
              <w:r>
                <w:rPr>
                  <w:rFonts w:ascii="Arial" w:cs="Arial" w:eastAsia="Arial" w:hAnsi="Arial"/>
                  <w:sz w:val="18"/>
                  <w:szCs w:val="18"/>
                  <w:color w:val="0000FF"/>
                  <w:w w:val="88"/>
                </w:rPr>
                <w:t>the SEC on June 21, 2018).</w:t>
              </w:r>
            </w:hyperlink>
          </w:p>
        </w:tc>
        <w:tc>
          <w:tcPr>
            <w:tcW w:w="79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4.10</w:t>
            </w:r>
          </w:p>
        </w:tc>
        <w:tc>
          <w:tcPr>
            <w:tcW w:w="9720" w:type="dxa"/>
            <w:vAlign w:val="bottom"/>
            <w:tcBorders>
              <w:bottom w:val="single" w:sz="8" w:color="0000FF"/>
            </w:tcBorders>
            <w:gridSpan w:val="7"/>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Ninth Supplemental Indenture (including the form of 4.150% note due 2048), dated as of June 21, 2018, between CME Group Inc. and</w:t>
              </w:r>
            </w:hyperlink>
          </w:p>
        </w:tc>
        <w:tc>
          <w:tcPr>
            <w:tcW w:w="2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76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U.S. Bank National Association (incorporated by reference to Exhibit 4.3 to CME Group Inc.'s Current Report on Form 8-K, filed with</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the SEC on June 21, 2018).</w:t>
              </w:r>
            </w:hyperlink>
          </w:p>
        </w:tc>
        <w:tc>
          <w:tcPr>
            <w:tcW w:w="0" w:type="dxa"/>
            <w:vAlign w:val="bottom"/>
          </w:tcPr>
          <w:p>
            <w:pPr>
              <w:spacing w:after="0"/>
              <w:rPr>
                <w:sz w:val="1"/>
                <w:szCs w:val="1"/>
                <w:color w:val="auto"/>
              </w:rPr>
            </w:pPr>
          </w:p>
        </w:tc>
      </w:tr>
      <w:tr>
        <w:trPr>
          <w:trHeight w:val="385"/>
        </w:trPr>
        <w:tc>
          <w:tcPr>
            <w:tcW w:w="1380" w:type="dxa"/>
            <w:vAlign w:val="bottom"/>
          </w:tcPr>
          <w:p>
            <w:pPr>
              <w:spacing w:after="0"/>
              <w:rPr>
                <w:sz w:val="20"/>
                <w:szCs w:val="20"/>
                <w:color w:val="auto"/>
              </w:rPr>
            </w:pPr>
            <w:r>
              <w:rPr>
                <w:rFonts w:ascii="Arial" w:cs="Arial" w:eastAsia="Arial" w:hAnsi="Arial"/>
                <w:sz w:val="18"/>
                <w:szCs w:val="18"/>
                <w:color w:val="auto"/>
              </w:rPr>
              <w:t>4.11*</w:t>
            </w:r>
          </w:p>
        </w:tc>
        <w:tc>
          <w:tcPr>
            <w:tcW w:w="1960" w:type="dxa"/>
            <w:vAlign w:val="bottom"/>
            <w:tcBorders>
              <w:top w:val="single" w:sz="8" w:color="0000FF"/>
            </w:tcBorders>
            <w:gridSpan w:val="2"/>
          </w:tcPr>
          <w:p>
            <w:pPr>
              <w:spacing w:after="0"/>
              <w:rPr>
                <w:rFonts w:ascii="Arial" w:cs="Arial" w:eastAsia="Arial" w:hAnsi="Arial"/>
                <w:sz w:val="18"/>
                <w:szCs w:val="18"/>
                <w:color w:val="0000FF"/>
                <w:w w:val="98"/>
              </w:rPr>
            </w:pPr>
            <w:hyperlink w:anchor="page98">
              <w:r>
                <w:rPr>
                  <w:rFonts w:ascii="Arial" w:cs="Arial" w:eastAsia="Arial" w:hAnsi="Arial"/>
                  <w:sz w:val="18"/>
                  <w:szCs w:val="18"/>
                  <w:color w:val="0000FF"/>
                  <w:w w:val="98"/>
                </w:rPr>
                <w:t>Description of securities</w:t>
              </w:r>
            </w:hyperlink>
            <w:r>
              <w:rPr>
                <w:rFonts w:ascii="Arial" w:cs="Arial" w:eastAsia="Arial" w:hAnsi="Arial"/>
                <w:sz w:val="18"/>
                <w:szCs w:val="18"/>
                <w:color w:val="000000"/>
                <w:w w:val="98"/>
              </w:rPr>
              <w:t>.</w:t>
            </w:r>
          </w:p>
        </w:tc>
        <w:tc>
          <w:tcPr>
            <w:tcW w:w="7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20" w:hanging="1385"/>
        <w:spacing w:after="0"/>
        <w:tabs>
          <w:tab w:leader="none" w:pos="14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87"/>
              </w:rPr>
              <w:t>10.1(1)</w:t>
            </w:r>
          </w:p>
        </w:tc>
        <w:tc>
          <w:tcPr>
            <w:tcW w:w="9800" w:type="dxa"/>
            <w:vAlign w:val="bottom"/>
            <w:tcBorders>
              <w:bottom w:val="single" w:sz="8" w:color="0000FF"/>
            </w:tcBorders>
            <w:gridSpan w:val="5"/>
          </w:tcPr>
          <w:p>
            <w:pPr>
              <w:spacing w:after="0"/>
              <w:rPr>
                <w:rFonts w:ascii="Arial" w:cs="Arial" w:eastAsia="Arial" w:hAnsi="Arial"/>
                <w:sz w:val="18"/>
                <w:szCs w:val="18"/>
                <w:color w:val="0000FF"/>
                <w:w w:val="89"/>
              </w:rPr>
            </w:pPr>
            <w:hyperlink r:id="rId44">
              <w:r>
                <w:rPr>
                  <w:rFonts w:ascii="Arial" w:cs="Arial" w:eastAsia="Arial" w:hAnsi="Arial"/>
                  <w:sz w:val="18"/>
                  <w:szCs w:val="18"/>
                  <w:color w:val="0000FF"/>
                  <w:w w:val="89"/>
                </w:rPr>
                <w:t>CME Group Inc. Second Amended and Restated Omnibus Stock Plan, amended and restated effective as of May 24, 2017 (incorporated</w:t>
              </w:r>
            </w:hyperlink>
          </w:p>
        </w:tc>
        <w:tc>
          <w:tcPr>
            <w:tcW w:w="160" w:type="dxa"/>
            <w:vAlign w:val="bottom"/>
          </w:tcPr>
          <w:p>
            <w:pPr>
              <w:spacing w:after="0"/>
              <w:rPr>
                <w:sz w:val="18"/>
                <w:szCs w:val="18"/>
                <w:color w:val="auto"/>
              </w:rPr>
            </w:pPr>
          </w:p>
        </w:tc>
      </w:tr>
      <w:tr>
        <w:trPr>
          <w:trHeight w:val="196"/>
        </w:trPr>
        <w:tc>
          <w:tcPr>
            <w:tcW w:w="1380" w:type="dxa"/>
            <w:vAlign w:val="bottom"/>
          </w:tcPr>
          <w:p>
            <w:pPr>
              <w:spacing w:after="0"/>
              <w:rPr>
                <w:sz w:val="17"/>
                <w:szCs w:val="17"/>
                <w:color w:val="auto"/>
              </w:rPr>
            </w:pPr>
          </w:p>
        </w:tc>
        <w:tc>
          <w:tcPr>
            <w:tcW w:w="71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by reference to Exhibit 10.2 to CME Group Inc.’s Form 8-K, filed with the SEC on May 30, 2017).</w:t>
              </w:r>
            </w:hyperlink>
          </w:p>
        </w:tc>
        <w:tc>
          <w:tcPr>
            <w:tcW w:w="2820" w:type="dxa"/>
            <w:vAlign w:val="bottom"/>
            <w:gridSpan w:val="3"/>
          </w:tcPr>
          <w:p>
            <w:pPr>
              <w:spacing w:after="0"/>
              <w:rPr>
                <w:sz w:val="17"/>
                <w:szCs w:val="17"/>
                <w:color w:val="auto"/>
              </w:rPr>
            </w:pPr>
          </w:p>
        </w:tc>
      </w:tr>
      <w:tr>
        <w:trPr>
          <w:trHeight w:val="372"/>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87"/>
              </w:rPr>
              <w:t>10.2(1)</w:t>
            </w:r>
          </w:p>
        </w:tc>
        <w:tc>
          <w:tcPr>
            <w:tcW w:w="9960" w:type="dxa"/>
            <w:vAlign w:val="bottom"/>
            <w:tcBorders>
              <w:bottom w:val="single" w:sz="8" w:color="0000FF"/>
            </w:tcBorders>
            <w:gridSpan w:val="6"/>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Form of Equity Grant Letter for Restricted Shares (incorporated by reference to Exhibit 10.2 to CME Group's 10-K, filed with the SEC on</w:t>
              </w:r>
            </w:hyperlink>
          </w:p>
        </w:tc>
      </w:tr>
      <w:tr>
        <w:trPr>
          <w:trHeight w:val="196"/>
        </w:trPr>
        <w:tc>
          <w:tcPr>
            <w:tcW w:w="1380" w:type="dxa"/>
            <w:vAlign w:val="bottom"/>
          </w:tcPr>
          <w:p>
            <w:pPr>
              <w:spacing w:after="0"/>
              <w:rPr>
                <w:sz w:val="17"/>
                <w:szCs w:val="17"/>
                <w:color w:val="auto"/>
              </w:rPr>
            </w:pPr>
          </w:p>
        </w:tc>
        <w:tc>
          <w:tcPr>
            <w:tcW w:w="116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March 1, 2018).</w:t>
              </w:r>
            </w:hyperlink>
          </w:p>
        </w:tc>
        <w:tc>
          <w:tcPr>
            <w:tcW w:w="8800" w:type="dxa"/>
            <w:vAlign w:val="bottom"/>
            <w:gridSpan w:val="5"/>
          </w:tcPr>
          <w:p>
            <w:pPr>
              <w:spacing w:after="0"/>
              <w:rPr>
                <w:sz w:val="17"/>
                <w:szCs w:val="17"/>
                <w:color w:val="auto"/>
              </w:rPr>
            </w:pPr>
          </w:p>
        </w:tc>
      </w:tr>
      <w:tr>
        <w:trPr>
          <w:trHeight w:val="372"/>
        </w:trPr>
        <w:tc>
          <w:tcPr>
            <w:tcW w:w="1380" w:type="dxa"/>
            <w:vAlign w:val="bottom"/>
          </w:tcPr>
          <w:p>
            <w:pPr>
              <w:jc w:val="right"/>
              <w:ind w:right="770"/>
              <w:spacing w:after="0"/>
              <w:rPr>
                <w:sz w:val="20"/>
                <w:szCs w:val="20"/>
                <w:color w:val="auto"/>
              </w:rPr>
            </w:pPr>
            <w:r>
              <w:rPr>
                <w:rFonts w:ascii="Arial" w:cs="Arial" w:eastAsia="Arial" w:hAnsi="Arial"/>
                <w:sz w:val="18"/>
                <w:szCs w:val="18"/>
                <w:color w:val="auto"/>
                <w:w w:val="87"/>
              </w:rPr>
              <w:t>10.3(1)</w:t>
            </w:r>
          </w:p>
        </w:tc>
        <w:tc>
          <w:tcPr>
            <w:tcW w:w="9960" w:type="dxa"/>
            <w:vAlign w:val="bottom"/>
            <w:gridSpan w:val="6"/>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Form of Equity Grant Letter for Annual Grant of Performance Shares (incorporated by reference to Exhibit 10.3 to CME Group's 10-K,</w:t>
              </w:r>
            </w:hyperlink>
          </w:p>
        </w:tc>
      </w:tr>
      <w:tr>
        <w:trPr>
          <w:trHeight w:val="196"/>
        </w:trPr>
        <w:tc>
          <w:tcPr>
            <w:tcW w:w="138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filed with the SEC on March 1, 2018).</w:t>
              </w:r>
            </w:hyperlink>
          </w:p>
        </w:tc>
        <w:tc>
          <w:tcPr>
            <w:tcW w:w="7000" w:type="dxa"/>
            <w:vAlign w:val="bottom"/>
            <w:tcBorders>
              <w:top w:val="single" w:sz="8" w:color="0000FF"/>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80"/>
          </w:cols>
          <w:pgMar w:left="240" w:top="122" w:right="279" w:bottom="1440" w:gutter="0" w:footer="0" w:header="0"/>
          <w:type w:val="continuous"/>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80"/>
          </w:cols>
          <w:pgMar w:left="240" w:top="122" w:right="27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1"/>
        </w:trPr>
        <w:tc>
          <w:tcPr>
            <w:tcW w:w="1020" w:type="dxa"/>
            <w:vAlign w:val="bottom"/>
            <w:tcBorders>
              <w:top w:val="single" w:sz="8" w:color="0000EE"/>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3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gridSpan w:val="33"/>
            <w:vMerge w:val="restart"/>
          </w:tcPr>
          <w:p>
            <w:pPr>
              <w:ind w:left="8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00" w:type="dxa"/>
            <w:vAlign w:val="bottom"/>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10.4(1)</w:t>
            </w: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700" w:type="dxa"/>
            <w:vAlign w:val="bottom"/>
            <w:tcBorders>
              <w:top w:val="single" w:sz="8" w:color="auto"/>
              <w:bottom w:val="single" w:sz="8" w:color="0000FF"/>
            </w:tcBorders>
            <w:gridSpan w:val="31"/>
          </w:tcPr>
          <w:p>
            <w:pPr>
              <w:spacing w:after="0" w:line="202"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CME Group Inc. Director Stock Plan, amended and restated effective as of May 21, 2014 (incorporated by reference to Exhibit 10.1 to</w:t>
              </w:r>
            </w:hyperlink>
          </w:p>
        </w:tc>
        <w:tc>
          <w:tcPr>
            <w:tcW w:w="300" w:type="dxa"/>
            <w:vAlign w:val="bottom"/>
            <w:tcBorders>
              <w:top w:val="single" w:sz="8" w:color="auto"/>
            </w:tcBorders>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CME Group Inc.'s Current Report on Form 8-K, filed with the SEC on May 28, 2014).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8"/>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Form of Equity Stipend Grant Letter for Non-Executive Directors (incorporated by reference to Exhibit 10.5 to CME Group's 10-K, filed</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top w:val="single" w:sz="8" w:color="0000FF"/>
            </w:tcBorders>
            <w:gridSpan w:val="36"/>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with the SEC on March 1, 2018).</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tcBorders>
              <w:bottom w:val="single" w:sz="8" w:color="0000FF"/>
            </w:tcBorders>
            <w:gridSpan w:val="29"/>
          </w:tcPr>
          <w:p>
            <w:pPr>
              <w:spacing w:after="0"/>
              <w:rPr>
                <w:rFonts w:ascii="Arial" w:cs="Arial" w:eastAsia="Arial" w:hAnsi="Arial"/>
                <w:sz w:val="18"/>
                <w:szCs w:val="18"/>
                <w:color w:val="0000FF"/>
                <w:w w:val="89"/>
              </w:rPr>
            </w:pPr>
            <w:hyperlink r:id="rId49">
              <w:r>
                <w:rPr>
                  <w:rFonts w:ascii="Arial" w:cs="Arial" w:eastAsia="Arial" w:hAnsi="Arial"/>
                  <w:sz w:val="18"/>
                  <w:szCs w:val="18"/>
                  <w:color w:val="0000FF"/>
                  <w:w w:val="89"/>
                </w:rPr>
                <w:t>CME Group Inc.'s Amended and Restated Employee Stock Purchase Plan, amended and restated as of May 23, 2012 (incorporated by</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reference to Exhibit 10.2 to CME Group Inc.'s Form 8-K, filed with the SEC on May 29, 2012</w:t>
              </w:r>
              <w:r>
                <w:rPr>
                  <w:rFonts w:ascii="Arial" w:cs="Arial" w:eastAsia="Arial" w:hAnsi="Arial"/>
                  <w:sz w:val="18"/>
                  <w:szCs w:val="18"/>
                  <w:color w:val="000000"/>
                  <w:w w:val="95"/>
                </w:rPr>
                <w:t>;</w:t>
              </w:r>
              <w:r>
                <w:rPr>
                  <w:rFonts w:ascii="Arial" w:cs="Arial" w:eastAsia="Arial" w:hAnsi="Arial"/>
                  <w:sz w:val="18"/>
                  <w:szCs w:val="18"/>
                  <w:color w:val="0000FF"/>
                  <w:w w:val="95"/>
                </w:rPr>
                <w:t xml:space="preserve"> First Amendment to the Amended and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Restated Employee Stock Purchase Plan, effective as of December 5, 2012 (incorporated by reference to Exhibit 10.7 to CME Group</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Inc.'s Form 10-K, filed with the SEC on February 28, 2013).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10.7(1)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00" w:type="dxa"/>
            <w:vAlign w:val="bottom"/>
            <w:tcBorders>
              <w:bottom w:val="single" w:sz="8" w:color="0000FF"/>
            </w:tcBorders>
            <w:gridSpan w:val="31"/>
          </w:tcPr>
          <w:p>
            <w:pPr>
              <w:spacing w:after="0"/>
              <w:rPr>
                <w:rFonts w:ascii="Arial" w:cs="Arial" w:eastAsia="Arial" w:hAnsi="Arial"/>
                <w:sz w:val="18"/>
                <w:szCs w:val="18"/>
                <w:color w:val="0000FF"/>
                <w:w w:val="89"/>
              </w:rPr>
            </w:pPr>
            <w:hyperlink r:id="rId51">
              <w:r>
                <w:rPr>
                  <w:rFonts w:ascii="Arial" w:cs="Arial" w:eastAsia="Arial" w:hAnsi="Arial"/>
                  <w:sz w:val="18"/>
                  <w:szCs w:val="18"/>
                  <w:color w:val="0000FF"/>
                  <w:w w:val="89"/>
                </w:rPr>
                <w:t>Chicago Mercantile Exchange Inc. Senior Management Supplemental Deferred Savings Plan (SMSDSP), Amended and Restated as of</w:t>
              </w:r>
            </w:hyperlink>
          </w:p>
        </w:tc>
        <w:tc>
          <w:tcPr>
            <w:tcW w:w="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January 1, 2017 (incorporated by reference to Exhibit 10.1 to CME Group Inc.'s Form 10-Q, filed with the SEC on August 2, 2017).</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8"/>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Chicago Mercantile Exchange Inc. Directors' Deferred Compensation Plan, amended and restated as of January 1, 2009 (incorporated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reference to Exhibit 10.9 to CME Group Inc.'s Form 10-K, filed with the SEC on March 2, 2009).</w:t>
              </w:r>
            </w:hyperlink>
          </w:p>
        </w:tc>
        <w:tc>
          <w:tcPr>
            <w:tcW w:w="2800" w:type="dxa"/>
            <w:vAlign w:val="bottom"/>
            <w:tcBorders>
              <w:top w:val="single" w:sz="8" w:color="0000FF"/>
            </w:tcBorders>
            <w:gridSpan w:val="20"/>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tcBorders>
              <w:bottom w:val="single" w:sz="8" w:color="0000FF"/>
            </w:tcBorders>
            <w:gridSpan w:val="32"/>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Chicago Mercantile Exchange Inc. Supplemental Executive Retirement Plan consisting of the Grandfathered Supplemental Retirement</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tcBorders>
              <w:bottom w:val="single" w:sz="8" w:color="0000FF"/>
            </w:tcBorders>
            <w:gridSpan w:val="23"/>
          </w:tcPr>
          <w:p>
            <w:pPr>
              <w:spacing w:after="0" w:line="196" w:lineRule="exact"/>
              <w:rPr>
                <w:rFonts w:ascii="Arial" w:cs="Arial" w:eastAsia="Arial" w:hAnsi="Arial"/>
                <w:sz w:val="18"/>
                <w:szCs w:val="18"/>
                <w:color w:val="0000FF"/>
                <w:w w:val="88"/>
              </w:rPr>
            </w:pPr>
            <w:hyperlink r:id="rId53">
              <w:r>
                <w:rPr>
                  <w:rFonts w:ascii="Arial" w:cs="Arial" w:eastAsia="Arial" w:hAnsi="Arial"/>
                  <w:sz w:val="18"/>
                  <w:szCs w:val="18"/>
                  <w:color w:val="0000FF"/>
                  <w:w w:val="88"/>
                </w:rPr>
                <w:t>Plan, amended and restated as of January 1, 2008, and the Amended and Restated 409A Supplemental Executive Retirement Plan,</w:t>
              </w:r>
            </w:hyperlink>
          </w:p>
        </w:tc>
        <w:tc>
          <w:tcPr>
            <w:tcW w:w="6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8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amended and restated as of January 1, 2008 (incorporated by reference to Exhibit 10.9 to CME Group Inc.'s Form 10-K, filed with the</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SEC on February 28, 2008).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40" w:type="dxa"/>
            <w:vAlign w:val="bottom"/>
            <w:tcBorders>
              <w:bottom w:val="single" w:sz="8" w:color="0000FF"/>
            </w:tcBorders>
            <w:gridSpan w:val="22"/>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Chicago Mercantile Exchange Inc. Supplemental Executive Retirement Trust; First Amendment thereto, dated September 7, 1993</w:t>
              </w:r>
            </w:hyperlink>
          </w:p>
        </w:tc>
        <w:tc>
          <w:tcPr>
            <w:tcW w:w="6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(incorporated by reference to Exhibit 10.5 to Chicago Mercantile Exchange Inc.'s Form S-4, filed with the SEC on February 24, 2000).</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8"/>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Recognition and Retention Plan for Members of the COMEX Division of New York Mercantile Exchange (incorporated by reference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80" w:type="dxa"/>
            <w:vAlign w:val="bottom"/>
            <w:tcBorders>
              <w:top w:val="single" w:sz="8" w:color="0000FF"/>
            </w:tcBorders>
            <w:gridSpan w:val="33"/>
          </w:tcPr>
          <w:p>
            <w:pPr>
              <w:spacing w:after="0" w:line="196" w:lineRule="exact"/>
              <w:rPr>
                <w:rFonts w:ascii="Arial" w:cs="Arial" w:eastAsia="Arial" w:hAnsi="Arial"/>
                <w:sz w:val="18"/>
                <w:szCs w:val="18"/>
                <w:color w:val="0000FF"/>
                <w:w w:val="96"/>
              </w:rPr>
            </w:pPr>
            <w:hyperlink r:id="rId56">
              <w:r>
                <w:rPr>
                  <w:rFonts w:ascii="Arial" w:cs="Arial" w:eastAsia="Arial" w:hAnsi="Arial"/>
                  <w:sz w:val="18"/>
                  <w:szCs w:val="18"/>
                  <w:color w:val="0000FF"/>
                  <w:w w:val="96"/>
                </w:rPr>
                <w:t>Exhibit 10.11 to NYMEX Holdings, Inc.'s Form 10-K, filed with the SEC on March 29, 2001)</w:t>
              </w:r>
              <w:r>
                <w:rPr>
                  <w:rFonts w:ascii="Arial" w:cs="Arial" w:eastAsia="Arial" w:hAnsi="Arial"/>
                  <w:sz w:val="18"/>
                  <w:szCs w:val="18"/>
                  <w:color w:val="000000"/>
                  <w:w w:val="96"/>
                </w:rPr>
                <w:t>;</w:t>
              </w:r>
              <w:r>
                <w:rPr>
                  <w:rFonts w:ascii="Arial" w:cs="Arial" w:eastAsia="Arial" w:hAnsi="Arial"/>
                  <w:sz w:val="18"/>
                  <w:szCs w:val="18"/>
                  <w:color w:val="0000FF"/>
                  <w:w w:val="96"/>
                </w:rPr>
                <w:t xml:space="preserve"> Amendment to the Recognition and</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Retention Plan for Members of the COMEX Division of the New York Mercantile Exchange, dated October 22, 2015 (incorporated by</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reference to Exhibit 10.1 to CME Group's Form 10-Q, filed with the SEC on November 6, 2015).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ind w:left="40"/>
              <w:spacing w:after="0"/>
              <w:rPr>
                <w:sz w:val="20"/>
                <w:szCs w:val="20"/>
                <w:color w:val="auto"/>
              </w:rPr>
            </w:pPr>
            <w:r>
              <w:rPr>
                <w:rFonts w:ascii="Arial" w:cs="Arial" w:eastAsia="Arial" w:hAnsi="Arial"/>
                <w:sz w:val="18"/>
                <w:szCs w:val="18"/>
                <w:color w:val="auto"/>
              </w:rPr>
              <w:t>10.12(1)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tcBorders>
              <w:bottom w:val="single" w:sz="8" w:color="0000FF"/>
            </w:tcBorders>
            <w:gridSpan w:val="29"/>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Second Amended and Restated CME Group Inc. Incentive Plan for Named Executive Officers (Amended and Restated as of May 24,</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2017) (incorporated by reference to Exhibit 10.1 to CME Group Inc.’s Form 8-K, filed with the SEC on May 30, 2017).</w:t>
              </w:r>
            </w:hyperlink>
          </w:p>
        </w:tc>
        <w:tc>
          <w:tcPr>
            <w:tcW w:w="13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tcBorders>
              <w:bottom w:val="single" w:sz="8" w:color="0000FF"/>
            </w:tcBorders>
            <w:gridSpan w:val="32"/>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CME Group Inc. Severance Plan for Eligible Executives, amended and restated effective January 1, 2013 (incorporated by reference to</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Exhibit 10.16 to CME Group Inc.'s Form 10-K, filed with the SEC on February 28, 2014)</w:t>
              </w:r>
              <w:r>
                <w:rPr>
                  <w:rFonts w:ascii="Arial" w:cs="Arial" w:eastAsia="Arial" w:hAnsi="Arial"/>
                  <w:sz w:val="18"/>
                  <w:szCs w:val="18"/>
                  <w:color w:val="000000"/>
                </w:rPr>
                <w:t>;</w:t>
              </w:r>
              <w:r>
                <w:rPr>
                  <w:rFonts w:ascii="Arial" w:cs="Arial" w:eastAsia="Arial" w:hAnsi="Arial"/>
                  <w:sz w:val="18"/>
                  <w:szCs w:val="18"/>
                  <w:color w:val="0000FF"/>
                </w:rPr>
                <w:t xml:space="preserve"> First Amendment to CME Group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Severance Plan for Eligible Executives, effective as of October 13, 2014 (incorporated by reference to Exhibit 10.16 to CME Group's 10-</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top w:val="single" w:sz="8" w:color="0000FF"/>
            </w:tcBorders>
            <w:gridSpan w:val="37"/>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K, filed with the SEC on February 26, 2015).</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tcBorders>
              <w:bottom w:val="single" w:sz="8" w:color="0000FF"/>
            </w:tcBorders>
            <w:gridSpan w:val="29"/>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CME Group Inc. Severance Plan, amended and restated effective January 1, 2013 (incorporated by reference to Exhibit 10.17 to CME</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w w:val="95"/>
              </w:rPr>
            </w:pPr>
            <w:hyperlink r:id="rId61">
              <w:r>
                <w:rPr>
                  <w:rFonts w:ascii="Arial" w:cs="Arial" w:eastAsia="Arial" w:hAnsi="Arial"/>
                  <w:sz w:val="18"/>
                  <w:szCs w:val="18"/>
                  <w:color w:val="0000FF"/>
                  <w:w w:val="95"/>
                </w:rPr>
                <w:t>Group Inc.'s Form 10-K, filed with the SEC on February 28, 2014)</w:t>
              </w:r>
              <w:r>
                <w:rPr>
                  <w:rFonts w:ascii="Arial" w:cs="Arial" w:eastAsia="Arial" w:hAnsi="Arial"/>
                  <w:sz w:val="18"/>
                  <w:szCs w:val="18"/>
                  <w:color w:val="000000"/>
                  <w:w w:val="95"/>
                </w:rPr>
                <w:t>;</w:t>
              </w:r>
              <w:r>
                <w:rPr>
                  <w:rFonts w:ascii="Arial" w:cs="Arial" w:eastAsia="Arial" w:hAnsi="Arial"/>
                  <w:sz w:val="18"/>
                  <w:szCs w:val="18"/>
                  <w:color w:val="0000FF"/>
                  <w:w w:val="95"/>
                </w:rPr>
                <w:t xml:space="preserve"> First Amendment to the Amended and Restated CME Group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gridSpan w:val="8"/>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w w:val="95"/>
              </w:rPr>
            </w:pPr>
            <w:hyperlink r:id="rId61">
              <w:r>
                <w:rPr>
                  <w:rFonts w:ascii="Arial" w:cs="Arial" w:eastAsia="Arial" w:hAnsi="Arial"/>
                  <w:sz w:val="18"/>
                  <w:szCs w:val="18"/>
                  <w:color w:val="0000FF"/>
                  <w:w w:val="95"/>
                </w:rPr>
                <w:t>Severance Plan, effective October 13, 2014 (incorporated by reference to Exhibit 10.17 to CME Group's 10-K, filed with the SEC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February 26, 2015).</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74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10.15(1)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60" w:type="dxa"/>
            <w:vAlign w:val="bottom"/>
            <w:tcBorders>
              <w:bottom w:val="single" w:sz="8" w:color="0000FF"/>
            </w:tcBorders>
            <w:gridSpan w:val="21"/>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Amended and Restated Agreement, effective as of December 16, 2019, by and between CME Group Inc. and Terrence A. Duffy</w:t>
              </w:r>
            </w:hyperlink>
          </w:p>
        </w:tc>
        <w:tc>
          <w:tcPr>
            <w:tcW w:w="7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(incorporated by reference to Exhibit 10.1 to CME Group Inc.'s Form 8-K, filed with the SEC on December 18,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3740" w:type="dxa"/>
            <w:vAlign w:val="bottom"/>
            <w:gridSpan w:val="11"/>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tcBorders>
              <w:bottom w:val="single" w:sz="8" w:color="0000FF"/>
            </w:tcBorders>
            <w:gridSpan w:val="28"/>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Amendment Deed, dated November 2, 2018, by and among CME Group Inc., NEX Group plc and Michael Spencer (incorporated by</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reference to Exhibit 10.1 to CME Group Inc.'s Form 8-K, filed with the SEC on November 8, 2018).</w:t>
              </w:r>
            </w:hyperlink>
          </w:p>
        </w:tc>
        <w:tc>
          <w:tcPr>
            <w:tcW w:w="27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10.17(2)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80" w:type="dxa"/>
            <w:vAlign w:val="bottom"/>
            <w:tcBorders>
              <w:bottom w:val="single" w:sz="8" w:color="0000FF"/>
            </w:tcBorders>
            <w:gridSpan w:val="27"/>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License Agreement, dated June 29, 2012, between Standard &amp; Poor's Financial Services LLC and Chicago Mercantile Exchange Inc.</w:t>
              </w:r>
            </w:hyperlink>
          </w:p>
        </w:tc>
        <w:tc>
          <w:tcPr>
            <w:tcW w:w="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(incorporated by reference to Exhibit 10.6 to CME Group Inc.'s Form 10-Q, filed with the SEC on August 8, 2012).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4820" w:type="dxa"/>
            <w:vAlign w:val="bottom"/>
            <w:gridSpan w:val="1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40"/>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8"/>
          </w:tcPr>
          <w:p>
            <w:pPr>
              <w:spacing w:after="0"/>
              <w:rPr>
                <w:rFonts w:ascii="Arial" w:cs="Arial" w:eastAsia="Arial" w:hAnsi="Arial"/>
                <w:sz w:val="18"/>
                <w:szCs w:val="18"/>
                <w:color w:val="0000FF"/>
                <w:w w:val="98"/>
              </w:rPr>
            </w:pPr>
            <w:hyperlink r:id="rId65">
              <w:r>
                <w:rPr>
                  <w:rFonts w:ascii="Arial" w:cs="Arial" w:eastAsia="Arial" w:hAnsi="Arial"/>
                  <w:sz w:val="18"/>
                  <w:szCs w:val="18"/>
                  <w:u w:val="single" w:color="auto"/>
                  <w:color w:val="0000FF"/>
                  <w:w w:val="98"/>
                </w:rPr>
                <w:t>$</w:t>
              </w:r>
              <w:r>
                <w:rPr>
                  <w:rFonts w:ascii="Arial" w:cs="Arial" w:eastAsia="Arial" w:hAnsi="Arial"/>
                  <w:sz w:val="18"/>
                  <w:szCs w:val="18"/>
                  <w:color w:val="0000FF"/>
                  <w:w w:val="98"/>
                </w:rPr>
                <w:t>2,250,000,000 Credit Agreement, dated as of November 21, 2017, among CME Group Inc., certain lenders, agents, arrangers,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5640" w:type="dxa"/>
            <w:vAlign w:val="bottom"/>
            <w:gridSpan w:val="15"/>
            <w:shd w:val="clear" w:color="auto" w:fill="0000FF"/>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38"/>
          </w:tcPr>
          <w:p>
            <w:pPr>
              <w:spacing w:after="0" w:line="196"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bookrunners and Bank of America, N.A., as Administrative Agent (incorporated by reference to Exhibit 10.1 to CME Group Inc.'s Form</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top w:val="single" w:sz="8" w:color="0000FF"/>
            </w:tcBorders>
            <w:gridSpan w:val="34"/>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8-K, filed with the SEC on November 27, 2017).</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tcBorders>
              <w:top w:val="single" w:sz="8" w:color="0000FF"/>
            </w:tcBorders>
            <w:gridSpan w:val="5"/>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97"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975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6371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25" w:lineRule="exact"/>
        <w:rPr>
          <w:sz w:val="20"/>
          <w:szCs w:val="20"/>
          <w:color w:val="auto"/>
        </w:rPr>
      </w:pPr>
    </w:p>
    <w:p>
      <w:pPr>
        <w:ind w:right="360"/>
        <w:spacing w:after="0" w:line="288" w:lineRule="auto"/>
        <w:rPr>
          <w:rFonts w:ascii="Arial" w:cs="Arial" w:eastAsia="Arial" w:hAnsi="Arial"/>
          <w:sz w:val="16"/>
          <w:szCs w:val="16"/>
          <w:u w:val="single" w:color="auto"/>
          <w:color w:val="0000FF"/>
        </w:rPr>
      </w:pPr>
      <w:hyperlink r:id="rId68">
        <w:r>
          <w:rPr>
            <w:rFonts w:ascii="Arial" w:cs="Arial" w:eastAsia="Arial" w:hAnsi="Arial"/>
            <w:sz w:val="16"/>
            <w:szCs w:val="16"/>
            <w:u w:val="single" w:color="auto"/>
            <w:color w:val="0000FF"/>
          </w:rPr>
          <w:t>Amendment No. 1 to Credit Agreement and Bank Joinder Agreement, dated as of November 1, 2018, among Chicago Mercantile</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Exchange Inc., Bank of America, N.A., in its capacity as administrative agent, Citibank, N.A., in its capacity as Collateral Agent, and</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certain banks (incorporated by reference to Exhibit 10.1 to CME Group Inc.'s Form 8-K, filed with the SEC on November 7,</w:t>
        </w:r>
      </w:hyperlink>
    </w:p>
    <w:p>
      <w:pPr>
        <w:ind w:right="120"/>
        <w:spacing w:after="0" w:line="292" w:lineRule="auto"/>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2018). Amendment No. 2 to Credit Agreement and Bank Joinder Agreement, dated as of May 1, 2019, between Chicago Mercantile</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Exchange Inc., certain lenders, Bank of America, N.A., as Administrative Agent and Citibank N.A. as Collateral Agent and Collateral</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Monitoring Agent. The Amended Credit Agreement, as amended as of May 1, 2019, between Chicago Mercantile Exchange Inc., certain</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lenders, Bank of America, N.A., as Administrative Agent and Citibank N.A. as Collateral Agent and Collateral Monitoring Agent</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(incorporated by reference to Exhibit 10.1 to CME Group Inc.'s Form 8-K, filed with the SEC on May 6, 2019).</w:t>
        </w:r>
      </w:hyperlink>
    </w:p>
    <w:p>
      <w:pPr>
        <w:spacing w:after="0" w:line="186" w:lineRule="exact"/>
        <w:rPr>
          <w:rFonts w:ascii="Arial" w:cs="Arial" w:eastAsia="Arial" w:hAnsi="Arial"/>
          <w:sz w:val="16"/>
          <w:szCs w:val="16"/>
          <w:u w:val="single" w:color="auto"/>
          <w:color w:val="0000FF"/>
        </w:rPr>
      </w:pPr>
    </w:p>
    <w:p>
      <w:pPr>
        <w:sectPr>
          <w:pgSz w:w="11900" w:h="16838" w:orient="portrait"/>
          <w:cols w:equalWidth="0" w:num="2">
            <w:col w:w="1020" w:space="400"/>
            <w:col w:w="9960"/>
          </w:cols>
          <w:pgMar w:left="240" w:top="121" w:right="279" w:bottom="1440" w:gutter="0" w:footer="0" w:header="0"/>
        </w:sect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10.20</w:t>
            </w:r>
          </w:p>
        </w:tc>
        <w:tc>
          <w:tcPr>
            <w:tcW w:w="9600" w:type="dxa"/>
            <w:vAlign w:val="bottom"/>
            <w:gridSpan w:val="12"/>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Amended and Restated Commercial Paper Dealer Agreement, dated as of October 20, 2014, among CME Group Inc., as Issuer, and</w:t>
              </w:r>
            </w:hyperlink>
          </w:p>
        </w:tc>
      </w:tr>
      <w:tr>
        <w:trPr>
          <w:trHeight w:val="196"/>
        </w:trPr>
        <w:tc>
          <w:tcPr>
            <w:tcW w:w="1380" w:type="dxa"/>
            <w:vAlign w:val="bottom"/>
          </w:tcPr>
          <w:p>
            <w:pPr>
              <w:spacing w:after="0"/>
              <w:rPr>
                <w:sz w:val="17"/>
                <w:szCs w:val="17"/>
                <w:color w:val="auto"/>
              </w:rPr>
            </w:pPr>
          </w:p>
        </w:tc>
        <w:tc>
          <w:tcPr>
            <w:tcW w:w="58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Barclays Capital Inc., as Dealer (incorporated by reference to Exhibit 4.1 above).</w:t>
              </w:r>
            </w:hyperlink>
          </w:p>
        </w:tc>
        <w:tc>
          <w:tcPr>
            <w:tcW w:w="3640" w:type="dxa"/>
            <w:vAlign w:val="bottom"/>
            <w:tcBorders>
              <w:top w:val="single" w:sz="8" w:color="0000FF"/>
            </w:tcBorders>
            <w:gridSpan w:val="6"/>
          </w:tcPr>
          <w:p>
            <w:pPr>
              <w:spacing w:after="0"/>
              <w:rPr>
                <w:sz w:val="17"/>
                <w:szCs w:val="17"/>
                <w:color w:val="auto"/>
              </w:rPr>
            </w:pPr>
          </w:p>
        </w:tc>
        <w:tc>
          <w:tcPr>
            <w:tcW w:w="120" w:type="dxa"/>
            <w:vAlign w:val="bottom"/>
          </w:tcPr>
          <w:p>
            <w:pPr>
              <w:spacing w:after="0"/>
              <w:rPr>
                <w:sz w:val="17"/>
                <w:szCs w:val="17"/>
                <w:color w:val="auto"/>
              </w:rPr>
            </w:pPr>
          </w:p>
        </w:tc>
      </w:tr>
      <w:tr>
        <w:trPr>
          <w:trHeight w:val="372"/>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10.21</w:t>
            </w:r>
          </w:p>
        </w:tc>
        <w:tc>
          <w:tcPr>
            <w:tcW w:w="9440" w:type="dxa"/>
            <w:vAlign w:val="bottom"/>
            <w:tcBorders>
              <w:bottom w:val="single" w:sz="8" w:color="0000FF"/>
            </w:tcBorders>
            <w:gridSpan w:val="10"/>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Commercial Paper Issuing and Paying Agency Agreement, dated as of September 26, 2014, between CME Group Inc. and Bank of</w:t>
              </w:r>
            </w:hyperlink>
          </w:p>
        </w:tc>
        <w:tc>
          <w:tcPr>
            <w:tcW w:w="16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600" w:type="dxa"/>
            <w:vAlign w:val="bottom"/>
            <w:gridSpan w:val="1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America, National Association, as Issuing and Paying Agent (incorporated by reference to Exhibit 4.2 above).</w:t>
              </w:r>
            </w:hyperlink>
          </w:p>
        </w:tc>
      </w:tr>
      <w:tr>
        <w:trPr>
          <w:trHeight w:val="20"/>
        </w:trPr>
        <w:tc>
          <w:tcPr>
            <w:tcW w:w="138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r>
      <w:tr>
        <w:trPr>
          <w:trHeight w:val="372"/>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10.22</w:t>
            </w:r>
          </w:p>
        </w:tc>
        <w:tc>
          <w:tcPr>
            <w:tcW w:w="9600" w:type="dxa"/>
            <w:vAlign w:val="bottom"/>
            <w:tcBorders>
              <w:bottom w:val="single" w:sz="8" w:color="0000FF"/>
            </w:tcBorders>
            <w:gridSpan w:val="12"/>
          </w:tcPr>
          <w:p>
            <w:pPr>
              <w:spacing w:after="0"/>
              <w:rPr>
                <w:rFonts w:ascii="Arial" w:cs="Arial" w:eastAsia="Arial" w:hAnsi="Arial"/>
                <w:sz w:val="18"/>
                <w:szCs w:val="18"/>
                <w:color w:val="0000FF"/>
                <w:w w:val="89"/>
              </w:rPr>
            </w:pPr>
            <w:hyperlink r:id="rId36">
              <w:r>
                <w:rPr>
                  <w:rFonts w:ascii="Arial" w:cs="Arial" w:eastAsia="Arial" w:hAnsi="Arial"/>
                  <w:sz w:val="18"/>
                  <w:szCs w:val="18"/>
                  <w:color w:val="0000FF"/>
                  <w:w w:val="89"/>
                </w:rPr>
                <w:t>Amended and Restated Commercial Paper Dealer Agreement, dated as of October 20, 2014, between CME Group Inc., as Issuer, and</w:t>
              </w:r>
            </w:hyperlink>
          </w:p>
        </w:tc>
      </w:tr>
      <w:tr>
        <w:trPr>
          <w:trHeight w:val="196"/>
        </w:trPr>
        <w:tc>
          <w:tcPr>
            <w:tcW w:w="1380" w:type="dxa"/>
            <w:vAlign w:val="bottom"/>
          </w:tcPr>
          <w:p>
            <w:pPr>
              <w:spacing w:after="0"/>
              <w:rPr>
                <w:sz w:val="17"/>
                <w:szCs w:val="17"/>
                <w:color w:val="auto"/>
              </w:rPr>
            </w:pPr>
          </w:p>
        </w:tc>
        <w:tc>
          <w:tcPr>
            <w:tcW w:w="80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Merrill Lynch, Pierce, Fenner &amp; Smith Incorporated, as Dealer (incorporated by reference to Exhibit 4.3 above).</w:t>
              </w:r>
            </w:hyperlink>
          </w:p>
        </w:tc>
        <w:tc>
          <w:tcPr>
            <w:tcW w:w="1520" w:type="dxa"/>
            <w:vAlign w:val="bottom"/>
            <w:gridSpan w:val="4"/>
          </w:tcPr>
          <w:p>
            <w:pPr>
              <w:spacing w:after="0"/>
              <w:rPr>
                <w:sz w:val="17"/>
                <w:szCs w:val="17"/>
                <w:color w:val="auto"/>
              </w:rPr>
            </w:pPr>
          </w:p>
        </w:tc>
      </w:tr>
      <w:tr>
        <w:trPr>
          <w:trHeight w:val="372"/>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84"/>
              </w:rPr>
              <w:t>10.23</w:t>
            </w:r>
          </w:p>
        </w:tc>
        <w:tc>
          <w:tcPr>
            <w:tcW w:w="9600" w:type="dxa"/>
            <w:vAlign w:val="bottom"/>
            <w:tcBorders>
              <w:bottom w:val="single" w:sz="8" w:color="0000FF"/>
            </w:tcBorders>
            <w:gridSpan w:val="12"/>
          </w:tcPr>
          <w:p>
            <w:pPr>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Amended and Restated Commercial Paper Dealer Agreement, dated as of October 20, 2014, between CME Group Inc., as Issuer, and</w:t>
              </w:r>
            </w:hyperlink>
          </w:p>
        </w:tc>
      </w:tr>
      <w:tr>
        <w:trPr>
          <w:trHeight w:val="196"/>
        </w:trPr>
        <w:tc>
          <w:tcPr>
            <w:tcW w:w="1380" w:type="dxa"/>
            <w:vAlign w:val="bottom"/>
          </w:tcPr>
          <w:p>
            <w:pPr>
              <w:spacing w:after="0"/>
              <w:rPr>
                <w:sz w:val="17"/>
                <w:szCs w:val="17"/>
                <w:color w:val="auto"/>
              </w:rPr>
            </w:pPr>
          </w:p>
        </w:tc>
        <w:tc>
          <w:tcPr>
            <w:tcW w:w="9600" w:type="dxa"/>
            <w:vAlign w:val="bottom"/>
            <w:gridSpan w:val="12"/>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Goldman, Sachs &amp; Co., as Dealer (incorporated by reference to Exhibit 4.4 above).</w:t>
              </w:r>
            </w:hyperlink>
          </w:p>
        </w:tc>
      </w:tr>
      <w:tr>
        <w:trPr>
          <w:trHeight w:val="372"/>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90"/>
              </w:rPr>
              <w:t>21.1*</w:t>
            </w:r>
          </w:p>
        </w:tc>
        <w:tc>
          <w:tcPr>
            <w:tcW w:w="5980" w:type="dxa"/>
            <w:vAlign w:val="bottom"/>
            <w:tcBorders>
              <w:top w:val="single" w:sz="8" w:color="0000FF"/>
            </w:tcBorders>
            <w:gridSpan w:val="6"/>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List of Subsidiaries of CME Group Inc.</w:t>
              </w:r>
            </w:hyperlink>
          </w:p>
        </w:tc>
        <w:tc>
          <w:tcPr>
            <w:tcW w:w="3620" w:type="dxa"/>
            <w:vAlign w:val="bottom"/>
            <w:gridSpan w:val="6"/>
          </w:tcPr>
          <w:p>
            <w:pPr>
              <w:spacing w:after="0"/>
              <w:rPr>
                <w:sz w:val="24"/>
                <w:szCs w:val="24"/>
                <w:color w:val="auto"/>
              </w:rPr>
            </w:pPr>
          </w:p>
        </w:tc>
      </w:tr>
      <w:tr>
        <w:trPr>
          <w:trHeight w:val="385"/>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90"/>
              </w:rPr>
              <w:t>23.1*</w:t>
            </w:r>
          </w:p>
        </w:tc>
        <w:tc>
          <w:tcPr>
            <w:tcW w:w="23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Consent of Ernst &amp; Young LLP.</w:t>
              </w:r>
            </w:hyperlink>
          </w:p>
        </w:tc>
        <w:tc>
          <w:tcPr>
            <w:tcW w:w="540" w:type="dxa"/>
            <w:vAlign w:val="bottom"/>
            <w:tcBorders>
              <w:top w:val="single" w:sz="8" w:color="0000FF"/>
            </w:tcBorders>
          </w:tcPr>
          <w:p>
            <w:pPr>
              <w:spacing w:after="0"/>
              <w:rPr>
                <w:sz w:val="24"/>
                <w:szCs w:val="24"/>
                <w:color w:val="auto"/>
              </w:rPr>
            </w:pPr>
          </w:p>
        </w:tc>
        <w:tc>
          <w:tcPr>
            <w:tcW w:w="6760" w:type="dxa"/>
            <w:vAlign w:val="bottom"/>
            <w:gridSpan w:val="10"/>
          </w:tcPr>
          <w:p>
            <w:pPr>
              <w:spacing w:after="0"/>
              <w:rPr>
                <w:sz w:val="24"/>
                <w:szCs w:val="24"/>
                <w:color w:val="auto"/>
              </w:rPr>
            </w:pPr>
          </w:p>
        </w:tc>
      </w:tr>
      <w:tr>
        <w:trPr>
          <w:trHeight w:val="372"/>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90"/>
              </w:rPr>
              <w:t>31.1*</w:t>
            </w:r>
          </w:p>
        </w:tc>
        <w:tc>
          <w:tcPr>
            <w:tcW w:w="9600" w:type="dxa"/>
            <w:vAlign w:val="bottom"/>
            <w:gridSpan w:val="12"/>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Section 302—Certification of Terrence A. Duffy.</w:t>
              </w:r>
            </w:hyperlink>
          </w:p>
        </w:tc>
      </w:tr>
      <w:tr>
        <w:trPr>
          <w:trHeight w:val="20"/>
        </w:trPr>
        <w:tc>
          <w:tcPr>
            <w:tcW w:w="1380" w:type="dxa"/>
            <w:vAlign w:val="bottom"/>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r>
      <w:tr>
        <w:trPr>
          <w:trHeight w:val="372"/>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90"/>
              </w:rPr>
              <w:t>31.2*</w:t>
            </w:r>
          </w:p>
        </w:tc>
        <w:tc>
          <w:tcPr>
            <w:tcW w:w="9600" w:type="dxa"/>
            <w:vAlign w:val="bottom"/>
            <w:gridSpan w:val="12"/>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Section 302—Certification of John W. Pietrowicz.</w:t>
              </w:r>
            </w:hyperlink>
          </w:p>
        </w:tc>
      </w:tr>
      <w:tr>
        <w:trPr>
          <w:trHeight w:val="20"/>
        </w:trPr>
        <w:tc>
          <w:tcPr>
            <w:tcW w:w="138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r>
      <w:tr>
        <w:trPr>
          <w:trHeight w:val="372"/>
        </w:trPr>
        <w:tc>
          <w:tcPr>
            <w:tcW w:w="1380" w:type="dxa"/>
            <w:vAlign w:val="bottom"/>
          </w:tcPr>
          <w:p>
            <w:pPr>
              <w:jc w:val="right"/>
              <w:ind w:right="890"/>
              <w:spacing w:after="0"/>
              <w:rPr>
                <w:sz w:val="20"/>
                <w:szCs w:val="20"/>
                <w:color w:val="auto"/>
              </w:rPr>
            </w:pPr>
            <w:r>
              <w:rPr>
                <w:rFonts w:ascii="Arial" w:cs="Arial" w:eastAsia="Arial" w:hAnsi="Arial"/>
                <w:sz w:val="18"/>
                <w:szCs w:val="18"/>
                <w:color w:val="auto"/>
                <w:w w:val="90"/>
              </w:rPr>
              <w:t>32.1*</w:t>
            </w:r>
          </w:p>
        </w:tc>
        <w:tc>
          <w:tcPr>
            <w:tcW w:w="878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112">
              <w:r>
                <w:rPr>
                  <w:rFonts w:ascii="Arial" w:cs="Arial" w:eastAsia="Arial" w:hAnsi="Arial"/>
                  <w:sz w:val="18"/>
                  <w:szCs w:val="18"/>
                  <w:color w:val="0000FF"/>
                  <w:w w:val="90"/>
                </w:rPr>
                <w:t>Certification Pursuant to 18 U.S.C. Section 1350, as Adopted Pursuant to Section 906 of the Sarbanes-Oxley Act of 2002.</w:t>
              </w:r>
            </w:hyperlink>
          </w:p>
        </w:tc>
        <w:tc>
          <w:tcPr>
            <w:tcW w:w="820" w:type="dxa"/>
            <w:vAlign w:val="bottom"/>
            <w:gridSpan w:val="3"/>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ind w:left="1420" w:hanging="1385"/>
        <w:spacing w:after="0" w:line="279" w:lineRule="auto"/>
        <w:tabs>
          <w:tab w:leader="none" w:pos="14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following materials from CME Group Inc.’s Quarterly Report on Form 10-K for the year ended December 31, 2019, formatted in Inline XBRL (Extensible Business Reporting Language): (i) the Consolidated Balance Sheets, (ii) the Consolidated Statements of Income, (iii) the Consolidated Statements of Comprehensive Income, (iv) the Consolidated Statements of Equity, (v) Consolidated Statements of Cash Flows and (vi) Notes to Consolidated Financial Statements, tagged as blocks of text.</w:t>
      </w:r>
    </w:p>
    <w:p>
      <w:pPr>
        <w:spacing w:after="0" w:line="131" w:lineRule="exact"/>
        <w:rPr>
          <w:sz w:val="20"/>
          <w:szCs w:val="20"/>
          <w:color w:val="auto"/>
        </w:rPr>
      </w:pPr>
    </w:p>
    <w:p>
      <w:pPr>
        <w:ind w:left="1420" w:hanging="1385"/>
        <w:spacing w:after="0"/>
        <w:tabs>
          <w:tab w:leader="none" w:pos="1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cover page from CME Group Inc.'s Annual Report on Form 10-K for the year ended December 31, 2019, formatted in Inline XBRL.</w:t>
      </w:r>
    </w:p>
    <w:p>
      <w:pPr>
        <w:spacing w:after="0" w:line="18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_______________</w:t>
      </w:r>
    </w:p>
    <w:p>
      <w:pPr>
        <w:spacing w:after="0" w:line="387" w:lineRule="exact"/>
        <w:rPr>
          <w:sz w:val="20"/>
          <w:szCs w:val="20"/>
          <w:color w:val="auto"/>
        </w:rPr>
      </w:pPr>
    </w:p>
    <w:p>
      <w:pPr>
        <w:ind w:left="1360" w:hanging="1325"/>
        <w:spacing w:after="0"/>
        <w:tabs>
          <w:tab w:leader="none" w:pos="1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has been previously granted by the SEC for portions of this exhibit.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121" w:right="27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19"/>
          </w:cols>
          <w:pgMar w:left="240" w:top="122" w:right="1440"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28th day of February, 2020.</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CME Group Inc.</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By:</w:t>
            </w:r>
          </w:p>
        </w:tc>
        <w:tc>
          <w:tcPr>
            <w:tcW w:w="4280" w:type="dxa"/>
            <w:vAlign w:val="bottom"/>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W. P</w:t>
            </w:r>
            <w:r>
              <w:rPr>
                <w:rFonts w:ascii="Arial" w:cs="Arial" w:eastAsia="Arial" w:hAnsi="Arial"/>
                <w:sz w:val="14"/>
                <w:szCs w:val="14"/>
                <w:color w:val="auto"/>
              </w:rPr>
              <w:t>IETROWICZ</w:t>
            </w:r>
          </w:p>
        </w:tc>
      </w:tr>
      <w:tr>
        <w:trPr>
          <w:trHeight w:val="27"/>
        </w:trPr>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146"/>
        </w:trPr>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80" w:type="dxa"/>
            <w:vAlign w:val="bottom"/>
          </w:tcPr>
          <w:p>
            <w:pPr>
              <w:jc w:val="center"/>
              <w:ind w:right="84"/>
              <w:spacing w:after="0" w:line="147" w:lineRule="exact"/>
              <w:rPr>
                <w:sz w:val="20"/>
                <w:szCs w:val="20"/>
                <w:color w:val="auto"/>
              </w:rPr>
            </w:pPr>
            <w:r>
              <w:rPr>
                <w:rFonts w:ascii="Arial" w:cs="Arial" w:eastAsia="Arial" w:hAnsi="Arial"/>
                <w:sz w:val="14"/>
                <w:szCs w:val="14"/>
                <w:b w:val="1"/>
                <w:bCs w:val="1"/>
                <w:color w:val="auto"/>
                <w:w w:val="94"/>
              </w:rPr>
              <w:t>John W. Pietrowicz</w:t>
            </w:r>
          </w:p>
        </w:tc>
      </w:tr>
      <w:tr>
        <w:trPr>
          <w:trHeight w:val="186"/>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Senior Managing Director and Chief Financial Officer</w:t>
            </w:r>
          </w:p>
        </w:tc>
      </w:tr>
      <w:tr>
        <w:trPr>
          <w:trHeight w:val="749"/>
        </w:trPr>
        <w:tc>
          <w:tcPr>
            <w:tcW w:w="1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center"/>
              <w:ind w:right="2184"/>
              <w:spacing w:after="0"/>
              <w:rPr>
                <w:sz w:val="20"/>
                <w:szCs w:val="20"/>
                <w:color w:val="auto"/>
              </w:rPr>
            </w:pPr>
            <w:r>
              <w:rPr>
                <w:rFonts w:ascii="Arial" w:cs="Arial" w:eastAsia="Arial" w:hAnsi="Arial"/>
                <w:sz w:val="14"/>
                <w:szCs w:val="14"/>
                <w:b w:val="1"/>
                <w:bCs w:val="1"/>
                <w:color w:val="auto"/>
                <w:w w:val="92"/>
              </w:rPr>
              <w:t>Signature</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Title</w:t>
            </w:r>
          </w:p>
        </w:tc>
      </w:tr>
      <w:tr>
        <w:trPr>
          <w:trHeight w:val="364"/>
        </w:trPr>
        <w:tc>
          <w:tcPr>
            <w:tcW w:w="1940" w:type="dxa"/>
            <w:vAlign w:val="bottom"/>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TERRENCE A. DUFFY</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Chairman of the Board, Director and Chief Executive Officer</w:t>
            </w:r>
          </w:p>
        </w:tc>
      </w:tr>
      <w:tr>
        <w:trPr>
          <w:trHeight w:val="27"/>
        </w:trPr>
        <w:tc>
          <w:tcPr>
            <w:tcW w:w="19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5"/>
              </w:rPr>
              <w:t>Terrence A. Duffy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40" w:type="dxa"/>
            <w:vAlign w:val="bottom"/>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40" w:type="dxa"/>
            <w:vAlign w:val="bottom"/>
            <w:gridSpan w:val="2"/>
          </w:tcPr>
          <w:p>
            <w:pPr>
              <w:jc w:val="center"/>
              <w:ind w:right="1484"/>
              <w:spacing w:after="0"/>
              <w:rPr>
                <w:sz w:val="20"/>
                <w:szCs w:val="20"/>
                <w:color w:val="auto"/>
              </w:rPr>
            </w:pPr>
            <w:r>
              <w:rPr>
                <w:rFonts w:ascii="Arial" w:cs="Arial" w:eastAsia="Arial" w:hAnsi="Arial"/>
                <w:sz w:val="18"/>
                <w:szCs w:val="18"/>
                <w:color w:val="auto"/>
                <w:w w:val="94"/>
              </w:rPr>
              <w:t>JOHN W. PIETROWICZ</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Senior Managing Director and Chief Financial Officer</w:t>
            </w:r>
          </w:p>
        </w:tc>
      </w:tr>
      <w:tr>
        <w:trPr>
          <w:trHeight w:val="27"/>
        </w:trPr>
        <w:tc>
          <w:tcPr>
            <w:tcW w:w="19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4"/>
              </w:rPr>
              <w:t>John W. Pietrowicz</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40" w:type="dxa"/>
            <w:vAlign w:val="bottom"/>
          </w:tcPr>
          <w:p>
            <w:pPr>
              <w:spacing w:after="0"/>
              <w:rPr>
                <w:sz w:val="24"/>
                <w:szCs w:val="24"/>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300" w:type="dxa"/>
            <w:vAlign w:val="bottom"/>
          </w:tcPr>
          <w:p>
            <w:pPr>
              <w:jc w:val="center"/>
              <w:ind w:right="1824"/>
              <w:spacing w:after="0"/>
              <w:rPr>
                <w:sz w:val="20"/>
                <w:szCs w:val="20"/>
                <w:color w:val="auto"/>
              </w:rPr>
            </w:pPr>
            <w:r>
              <w:rPr>
                <w:rFonts w:ascii="Arial" w:cs="Arial" w:eastAsia="Arial" w:hAnsi="Arial"/>
                <w:sz w:val="18"/>
                <w:szCs w:val="18"/>
                <w:color w:val="auto"/>
                <w:w w:val="98"/>
              </w:rPr>
              <w:t>JACK TOBIN</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Managing Director and Chief Accounting Officer</w:t>
            </w:r>
          </w:p>
        </w:tc>
      </w:tr>
      <w:tr>
        <w:trPr>
          <w:trHeight w:val="27"/>
        </w:trPr>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2"/>
              </w:rPr>
              <w:t>Jack Tobin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3"/>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TIMOTHY S. BITSBERGER</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3"/>
              </w:rPr>
              <w:t>Timothy S. Bitsberger</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3"/>
              </w:rPr>
              <w:t>Charles P. Carey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255"/>
        </w:trPr>
        <w:tc>
          <w:tcPr>
            <w:tcW w:w="5580" w:type="dxa"/>
            <w:vAlign w:val="bottom"/>
            <w:gridSpan w:val="3"/>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DENNIS H. CHOOKASZIAN</w:t>
            </w:r>
          </w:p>
        </w:tc>
        <w:tc>
          <w:tcPr>
            <w:tcW w:w="14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2"/>
                <w:szCs w:val="22"/>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2"/>
              </w:rPr>
              <w:t>Dennis H. Chookaszian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ELIZABETH A. COOK</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4"/>
              </w:rPr>
              <w:t>Elizabeth A. Cook</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40" w:type="dxa"/>
            <w:vAlign w:val="bottom"/>
          </w:tcPr>
          <w:p>
            <w:pPr>
              <w:spacing w:after="0"/>
              <w:rPr>
                <w:sz w:val="24"/>
                <w:szCs w:val="24"/>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ANA DUTRA</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204"/>
              <w:spacing w:after="0"/>
              <w:rPr>
                <w:sz w:val="20"/>
                <w:szCs w:val="20"/>
                <w:color w:val="auto"/>
              </w:rPr>
            </w:pPr>
            <w:r>
              <w:rPr>
                <w:rFonts w:ascii="Arial" w:cs="Arial" w:eastAsia="Arial" w:hAnsi="Arial"/>
                <w:sz w:val="14"/>
                <w:szCs w:val="14"/>
                <w:b w:val="1"/>
                <w:bCs w:val="1"/>
                <w:color w:val="auto"/>
                <w:w w:val="98"/>
              </w:rPr>
              <w:t>Ana Dutra</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40" w:type="dxa"/>
            <w:vAlign w:val="bottom"/>
          </w:tcPr>
          <w:p>
            <w:pPr>
              <w:ind w:left="17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640" w:type="dxa"/>
            <w:vAlign w:val="bottom"/>
            <w:gridSpan w:val="2"/>
          </w:tcPr>
          <w:p>
            <w:pPr>
              <w:jc w:val="center"/>
              <w:ind w:right="1484"/>
              <w:spacing w:after="0"/>
              <w:rPr>
                <w:sz w:val="20"/>
                <w:szCs w:val="20"/>
                <w:color w:val="auto"/>
              </w:rPr>
            </w:pPr>
            <w:r>
              <w:rPr>
                <w:rFonts w:ascii="Arial" w:cs="Arial" w:eastAsia="Arial" w:hAnsi="Arial"/>
                <w:sz w:val="18"/>
                <w:szCs w:val="18"/>
                <w:color w:val="auto"/>
                <w:w w:val="96"/>
              </w:rPr>
              <w:t>MARTIN J. GEPSMAN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5"/>
              </w:rPr>
              <w:t>Martin J. Gepsman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40" w:type="dxa"/>
            <w:vAlign w:val="bottom"/>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40" w:type="dxa"/>
            <w:vAlign w:val="bottom"/>
            <w:gridSpan w:val="2"/>
          </w:tcPr>
          <w:p>
            <w:pPr>
              <w:jc w:val="center"/>
              <w:ind w:right="1764"/>
              <w:spacing w:after="0"/>
              <w:rPr>
                <w:sz w:val="20"/>
                <w:szCs w:val="20"/>
                <w:color w:val="auto"/>
              </w:rPr>
            </w:pPr>
            <w:r>
              <w:rPr>
                <w:rFonts w:ascii="Arial" w:cs="Arial" w:eastAsia="Arial" w:hAnsi="Arial"/>
                <w:sz w:val="18"/>
                <w:szCs w:val="18"/>
                <w:color w:val="auto"/>
                <w:w w:val="94"/>
              </w:rPr>
              <w:t>LARRY G. GERDES</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Lead 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w w:val="98"/>
              </w:rPr>
              <w:t>Larry G. Gerdes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40" w:type="dxa"/>
            <w:vAlign w:val="bottom"/>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40" w:type="dxa"/>
            <w:vAlign w:val="bottom"/>
            <w:gridSpan w:val="2"/>
          </w:tcPr>
          <w:p>
            <w:pPr>
              <w:jc w:val="center"/>
              <w:ind w:right="1544"/>
              <w:spacing w:after="0"/>
              <w:rPr>
                <w:sz w:val="20"/>
                <w:szCs w:val="20"/>
                <w:color w:val="auto"/>
              </w:rPr>
            </w:pPr>
            <w:r>
              <w:rPr>
                <w:rFonts w:ascii="Arial" w:cs="Arial" w:eastAsia="Arial" w:hAnsi="Arial"/>
                <w:sz w:val="18"/>
                <w:szCs w:val="18"/>
                <w:color w:val="auto"/>
              </w:rPr>
              <w:t>DANIEL R. GLICKMAN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640" w:type="dxa"/>
            <w:vAlign w:val="bottom"/>
            <w:gridSpan w:val="2"/>
          </w:tcPr>
          <w:p>
            <w:pPr>
              <w:jc w:val="center"/>
              <w:ind w:right="1864"/>
              <w:spacing w:after="0"/>
              <w:rPr>
                <w:sz w:val="20"/>
                <w:szCs w:val="20"/>
                <w:color w:val="auto"/>
              </w:rPr>
            </w:pPr>
            <w:r>
              <w:rPr>
                <w:rFonts w:ascii="Arial" w:cs="Arial" w:eastAsia="Arial" w:hAnsi="Arial"/>
                <w:sz w:val="14"/>
                <w:szCs w:val="14"/>
                <w:b w:val="1"/>
                <w:bCs w:val="1"/>
                <w:color w:val="auto"/>
                <w:w w:val="96"/>
              </w:rPr>
              <w:t>Daniel R. Glickman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94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Pr>
          <w:p>
            <w:pPr>
              <w:jc w:val="center"/>
              <w:ind w:right="1844"/>
              <w:spacing w:after="0"/>
              <w:rPr>
                <w:sz w:val="20"/>
                <w:szCs w:val="20"/>
                <w:color w:val="auto"/>
              </w:rPr>
            </w:pPr>
            <w:r>
              <w:rPr>
                <w:rFonts w:ascii="Arial" w:cs="Arial" w:eastAsia="Arial" w:hAnsi="Arial"/>
                <w:sz w:val="18"/>
                <w:szCs w:val="18"/>
                <w:color w:val="auto"/>
                <w:w w:val="96"/>
              </w:rPr>
              <w:t>YRA G. HARRIS</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184"/>
              <w:spacing w:after="0"/>
              <w:rPr>
                <w:sz w:val="20"/>
                <w:szCs w:val="20"/>
                <w:color w:val="auto"/>
              </w:rPr>
            </w:pPr>
            <w:r>
              <w:rPr>
                <w:rFonts w:ascii="Arial" w:cs="Arial" w:eastAsia="Arial" w:hAnsi="Arial"/>
                <w:sz w:val="14"/>
                <w:szCs w:val="14"/>
                <w:b w:val="1"/>
                <w:bCs w:val="1"/>
                <w:color w:val="auto"/>
              </w:rPr>
              <w:t>Yra G. Harris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3"/>
          </w:tcPr>
          <w:p>
            <w:pPr>
              <w:jc w:val="center"/>
              <w:spacing w:after="0"/>
              <w:rPr>
                <w:sz w:val="20"/>
                <w:szCs w:val="20"/>
                <w:color w:val="auto"/>
              </w:rPr>
            </w:pPr>
            <w:r>
              <w:rPr>
                <w:rFonts w:ascii="Arial" w:cs="Arial" w:eastAsia="Arial" w:hAnsi="Arial"/>
                <w:sz w:val="18"/>
                <w:szCs w:val="18"/>
                <w:color w:val="auto"/>
                <w:w w:val="94"/>
              </w:rPr>
              <w:t>/S/ GEDON HERTSHTEN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640" w:type="dxa"/>
            <w:vAlign w:val="bottom"/>
            <w:gridSpan w:val="2"/>
          </w:tcPr>
          <w:p>
            <w:pPr>
              <w:jc w:val="center"/>
              <w:ind w:right="1864"/>
              <w:spacing w:after="0"/>
              <w:rPr>
                <w:sz w:val="20"/>
                <w:szCs w:val="20"/>
                <w:color w:val="auto"/>
              </w:rPr>
            </w:pPr>
            <w:r>
              <w:rPr>
                <w:rFonts w:ascii="Arial" w:cs="Arial" w:eastAsia="Arial" w:hAnsi="Arial"/>
                <w:sz w:val="14"/>
                <w:szCs w:val="14"/>
                <w:b w:val="1"/>
                <w:bCs w:val="1"/>
                <w:color w:val="auto"/>
                <w:w w:val="93"/>
              </w:rPr>
              <w:t>Gedon Hertshten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WILLIAM H. HOBERT</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9"/>
              </w:rPr>
              <w:t>Wiliam H. Hobert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90"/>
        </w:trPr>
        <w:tc>
          <w:tcPr>
            <w:tcW w:w="1940" w:type="dxa"/>
            <w:vAlign w:val="bottom"/>
          </w:tcPr>
          <w:p>
            <w:pPr>
              <w:spacing w:after="0"/>
              <w:rPr>
                <w:sz w:val="24"/>
                <w:szCs w:val="24"/>
                <w:color w:val="auto"/>
              </w:rPr>
            </w:pPr>
          </w:p>
        </w:tc>
        <w:tc>
          <w:tcPr>
            <w:tcW w:w="3640" w:type="dxa"/>
            <w:vAlign w:val="bottom"/>
            <w:gridSpan w:val="2"/>
          </w:tcPr>
          <w:p>
            <w:pPr>
              <w:jc w:val="center"/>
              <w:ind w:right="1764"/>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DANIEL G. KAYE</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tcPr>
          <w:p>
            <w:pPr>
              <w:jc w:val="center"/>
              <w:ind w:right="2204"/>
              <w:spacing w:after="0"/>
              <w:rPr>
                <w:sz w:val="20"/>
                <w:szCs w:val="20"/>
                <w:color w:val="auto"/>
              </w:rPr>
            </w:pPr>
            <w:r>
              <w:rPr>
                <w:rFonts w:ascii="Arial" w:cs="Arial" w:eastAsia="Arial" w:hAnsi="Arial"/>
                <w:sz w:val="14"/>
                <w:szCs w:val="14"/>
                <w:b w:val="1"/>
                <w:bCs w:val="1"/>
                <w:color w:val="auto"/>
                <w:w w:val="95"/>
              </w:rPr>
              <w:t>Daniel G. Kaye</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3"/>
          </w:tcPr>
          <w:p>
            <w:pPr>
              <w:jc w:val="center"/>
              <w:ind w:left="10"/>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PHYLLIS M. LOCKETT</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940" w:type="dxa"/>
            <w:vAlign w:val="bottom"/>
          </w:tcPr>
          <w:p>
            <w:pPr>
              <w:spacing w:after="0"/>
              <w:rPr>
                <w:sz w:val="20"/>
                <w:szCs w:val="20"/>
                <w:color w:val="auto"/>
              </w:rPr>
            </w:pPr>
          </w:p>
        </w:tc>
        <w:tc>
          <w:tcPr>
            <w:tcW w:w="364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4"/>
              </w:rPr>
              <w:t>Phyllis M. Lockett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44"/>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95</w:t>
            </w:r>
          </w:p>
        </w:tc>
        <w:tc>
          <w:tcPr>
            <w:tcW w:w="600" w:type="dxa"/>
            <w:vAlign w:val="bottom"/>
          </w:tcPr>
          <w:p>
            <w:pPr>
              <w:spacing w:after="0"/>
              <w:rPr>
                <w:sz w:val="24"/>
                <w:szCs w:val="24"/>
                <w:color w:val="auto"/>
              </w:rPr>
            </w:pPr>
          </w:p>
        </w:tc>
        <w:tc>
          <w:tcPr>
            <w:tcW w:w="42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DEBORAH J. LUCAS</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2"/>
              </w:rPr>
              <w:t>Deborah J. Lucas</w:t>
            </w:r>
          </w:p>
        </w:tc>
        <w:tc>
          <w:tcPr>
            <w:tcW w:w="2280" w:type="dxa"/>
            <w:vAlign w:val="bottom"/>
          </w:tcPr>
          <w:p>
            <w:pPr>
              <w:spacing w:after="0"/>
              <w:rPr>
                <w:sz w:val="20"/>
                <w:szCs w:val="20"/>
                <w:color w:val="auto"/>
              </w:rPr>
            </w:pPr>
          </w:p>
        </w:tc>
      </w:tr>
      <w:tr>
        <w:trPr>
          <w:trHeight w:val="377"/>
        </w:trPr>
        <w:tc>
          <w:tcPr>
            <w:tcW w:w="5580" w:type="dxa"/>
            <w:vAlign w:val="bottom"/>
            <w:gridSpan w:val="2"/>
          </w:tcPr>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RONALD A. PANKAU</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4"/>
              </w:rPr>
              <w:t>Ronald A. Pankau</w:t>
            </w:r>
          </w:p>
        </w:tc>
        <w:tc>
          <w:tcPr>
            <w:tcW w:w="2280" w:type="dxa"/>
            <w:vAlign w:val="bottom"/>
          </w:tcPr>
          <w:p>
            <w:pPr>
              <w:spacing w:after="0"/>
              <w:rPr>
                <w:sz w:val="20"/>
                <w:szCs w:val="20"/>
                <w:color w:val="auto"/>
              </w:rPr>
            </w:pPr>
          </w:p>
        </w:tc>
      </w:tr>
      <w:tr>
        <w:trPr>
          <w:trHeight w:val="37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4"/>
              </w:rPr>
              <w:t>/S/ TERRY L. SAVAGE</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24"/>
              <w:spacing w:after="0"/>
              <w:rPr>
                <w:sz w:val="20"/>
                <w:szCs w:val="20"/>
                <w:color w:val="auto"/>
              </w:rPr>
            </w:pPr>
            <w:r>
              <w:rPr>
                <w:rFonts w:ascii="Arial" w:cs="Arial" w:eastAsia="Arial" w:hAnsi="Arial"/>
                <w:sz w:val="14"/>
                <w:szCs w:val="14"/>
                <w:b w:val="1"/>
                <w:bCs w:val="1"/>
                <w:color w:val="auto"/>
                <w:w w:val="93"/>
              </w:rPr>
              <w:t>Terry L. Savage</w:t>
            </w:r>
          </w:p>
        </w:tc>
        <w:tc>
          <w:tcPr>
            <w:tcW w:w="2280" w:type="dxa"/>
            <w:vAlign w:val="bottom"/>
          </w:tcPr>
          <w:p>
            <w:pPr>
              <w:spacing w:after="0"/>
              <w:rPr>
                <w:sz w:val="20"/>
                <w:szCs w:val="20"/>
                <w:color w:val="auto"/>
              </w:rPr>
            </w:pPr>
          </w:p>
        </w:tc>
      </w:tr>
      <w:tr>
        <w:trPr>
          <w:trHeight w:val="377"/>
        </w:trPr>
        <w:tc>
          <w:tcPr>
            <w:tcW w:w="2000" w:type="dxa"/>
            <w:vAlign w:val="bottom"/>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564"/>
              <w:spacing w:after="0"/>
              <w:rPr>
                <w:sz w:val="20"/>
                <w:szCs w:val="20"/>
                <w:color w:val="auto"/>
              </w:rPr>
            </w:pPr>
            <w:r>
              <w:rPr>
                <w:rFonts w:ascii="Arial" w:cs="Arial" w:eastAsia="Arial" w:hAnsi="Arial"/>
                <w:sz w:val="18"/>
                <w:szCs w:val="18"/>
                <w:color w:val="auto"/>
                <w:w w:val="98"/>
              </w:rPr>
              <w:t>WILLIAM R. SHEPARD</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24"/>
              <w:spacing w:after="0"/>
              <w:rPr>
                <w:sz w:val="20"/>
                <w:szCs w:val="20"/>
                <w:color w:val="auto"/>
              </w:rPr>
            </w:pPr>
            <w:r>
              <w:rPr>
                <w:rFonts w:ascii="Arial" w:cs="Arial" w:eastAsia="Arial" w:hAnsi="Arial"/>
                <w:sz w:val="14"/>
                <w:szCs w:val="14"/>
                <w:b w:val="1"/>
                <w:bCs w:val="1"/>
                <w:color w:val="auto"/>
                <w:w w:val="96"/>
              </w:rPr>
              <w:t>William R. Shepard</w:t>
            </w:r>
          </w:p>
        </w:tc>
        <w:tc>
          <w:tcPr>
            <w:tcW w:w="2280" w:type="dxa"/>
            <w:vAlign w:val="bottom"/>
          </w:tcPr>
          <w:p>
            <w:pPr>
              <w:spacing w:after="0"/>
              <w:rPr>
                <w:sz w:val="20"/>
                <w:szCs w:val="20"/>
                <w:color w:val="auto"/>
              </w:rPr>
            </w:pPr>
          </w:p>
        </w:tc>
      </w:tr>
      <w:tr>
        <w:trPr>
          <w:trHeight w:val="41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HOWARD J. SIEGEL</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2"/>
              </w:rPr>
              <w:t>Howard J. Siegel</w:t>
            </w:r>
          </w:p>
        </w:tc>
        <w:tc>
          <w:tcPr>
            <w:tcW w:w="2280" w:type="dxa"/>
            <w:vAlign w:val="bottom"/>
          </w:tcPr>
          <w:p>
            <w:pPr>
              <w:spacing w:after="0"/>
              <w:rPr>
                <w:sz w:val="20"/>
                <w:szCs w:val="20"/>
                <w:color w:val="auto"/>
              </w:rPr>
            </w:pPr>
          </w:p>
        </w:tc>
      </w:tr>
      <w:tr>
        <w:trPr>
          <w:trHeight w:val="37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MICHAEL A. SPENCER</w:t>
            </w:r>
          </w:p>
        </w:tc>
        <w:tc>
          <w:tcPr>
            <w:tcW w:w="2280" w:type="dxa"/>
            <w:vAlign w:val="bottom"/>
          </w:tcPr>
          <w:p>
            <w:pPr>
              <w:ind w:left="160"/>
              <w:spacing w:after="0"/>
              <w:rPr>
                <w:sz w:val="20"/>
                <w:szCs w:val="20"/>
                <w:color w:val="auto"/>
              </w:rPr>
            </w:pPr>
            <w:r>
              <w:rPr>
                <w:rFonts w:ascii="Arial" w:cs="Arial" w:eastAsia="Arial" w:hAnsi="Arial"/>
                <w:sz w:val="18"/>
                <w:szCs w:val="18"/>
                <w:color w:val="auto"/>
                <w:w w:val="92"/>
              </w:rPr>
              <w:t>Director and Special Advisor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3"/>
              </w:rPr>
              <w:t>Michael A. Spencer</w:t>
            </w:r>
          </w:p>
        </w:tc>
        <w:tc>
          <w:tcPr>
            <w:tcW w:w="2280" w:type="dxa"/>
            <w:vAlign w:val="bottom"/>
          </w:tcPr>
          <w:p>
            <w:pPr>
              <w:spacing w:after="0"/>
              <w:rPr>
                <w:sz w:val="20"/>
                <w:szCs w:val="20"/>
                <w:color w:val="auto"/>
              </w:rPr>
            </w:pPr>
          </w:p>
        </w:tc>
      </w:tr>
      <w:tr>
        <w:trPr>
          <w:trHeight w:val="377"/>
        </w:trPr>
        <w:tc>
          <w:tcPr>
            <w:tcW w:w="2000" w:type="dxa"/>
            <w:vAlign w:val="bottom"/>
          </w:tcPr>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564"/>
              <w:spacing w:after="0"/>
              <w:rPr>
                <w:sz w:val="20"/>
                <w:szCs w:val="20"/>
                <w:color w:val="auto"/>
              </w:rPr>
            </w:pPr>
            <w:r>
              <w:rPr>
                <w:rFonts w:ascii="Arial" w:cs="Arial" w:eastAsia="Arial" w:hAnsi="Arial"/>
                <w:sz w:val="18"/>
                <w:szCs w:val="18"/>
                <w:color w:val="auto"/>
                <w:w w:val="97"/>
              </w:rPr>
              <w:t>DENNIS A. SUSKIND</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1"/>
              </w:rPr>
              <w:t>Dennis A. Suskind</w:t>
            </w:r>
          </w:p>
        </w:tc>
        <w:tc>
          <w:tcPr>
            <w:tcW w:w="2280" w:type="dxa"/>
            <w:vAlign w:val="bottom"/>
          </w:tcPr>
          <w:p>
            <w:pPr>
              <w:spacing w:after="0"/>
              <w:rPr>
                <w:sz w:val="20"/>
                <w:szCs w:val="20"/>
                <w:color w:val="auto"/>
              </w:rPr>
            </w:pPr>
          </w:p>
        </w:tc>
      </w:tr>
      <w:tr>
        <w:trPr>
          <w:trHeight w:val="37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4"/>
                <w:szCs w:val="14"/>
                <w:color w:val="auto"/>
                <w:w w:val="93"/>
              </w:rPr>
              <w:t>S</w:t>
            </w:r>
            <w:r>
              <w:rPr>
                <w:rFonts w:ascii="Arial" w:cs="Arial" w:eastAsia="Arial" w:hAnsi="Arial"/>
                <w:sz w:val="18"/>
                <w:szCs w:val="18"/>
                <w:color w:val="auto"/>
                <w:w w:val="93"/>
              </w:rPr>
              <w:t>/ ROBERT J. TIERNEY JR.</w:t>
            </w:r>
          </w:p>
        </w:tc>
        <w:tc>
          <w:tcPr>
            <w:tcW w:w="228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0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38"/>
        </w:trPr>
        <w:tc>
          <w:tcPr>
            <w:tcW w:w="2000" w:type="dxa"/>
            <w:vAlign w:val="bottom"/>
          </w:tcPr>
          <w:p>
            <w:pPr>
              <w:spacing w:after="0"/>
              <w:rPr>
                <w:sz w:val="20"/>
                <w:szCs w:val="20"/>
                <w:color w:val="auto"/>
              </w:rPr>
            </w:pPr>
          </w:p>
        </w:tc>
        <w:tc>
          <w:tcPr>
            <w:tcW w:w="3580" w:type="dxa"/>
            <w:vAlign w:val="bottom"/>
          </w:tcPr>
          <w:p>
            <w:pPr>
              <w:jc w:val="center"/>
              <w:ind w:right="1904"/>
              <w:spacing w:after="0"/>
              <w:rPr>
                <w:sz w:val="20"/>
                <w:szCs w:val="20"/>
                <w:color w:val="auto"/>
              </w:rPr>
            </w:pPr>
            <w:r>
              <w:rPr>
                <w:rFonts w:ascii="Arial" w:cs="Arial" w:eastAsia="Arial" w:hAnsi="Arial"/>
                <w:sz w:val="14"/>
                <w:szCs w:val="14"/>
                <w:b w:val="1"/>
                <w:bCs w:val="1"/>
                <w:color w:val="auto"/>
                <w:w w:val="94"/>
              </w:rPr>
              <w:t>Robert J. Tierney Jr.</w:t>
            </w:r>
          </w:p>
        </w:tc>
        <w:tc>
          <w:tcPr>
            <w:tcW w:w="22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219"/>
          </w:cols>
          <w:pgMar w:left="240" w:top="121"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b w:val="1"/>
          <w:bCs w:val="1"/>
          <w:color w:val="auto"/>
        </w:rPr>
        <w:t>Exhibit 4.11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213"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i w:val="1"/>
          <w:iCs w:val="1"/>
          <w:color w:val="auto"/>
        </w:rPr>
        <w:t>The following is a description of our capital stock. The following description is a summary and is qualified in its entirety by reference to our certificate of incorporation, as amended (“Certificate of Incorporation), our bylaws, as amended (“Bylaws”) and the relevant provisions of Delaware law.</w:t>
      </w:r>
    </w:p>
    <w:p>
      <w:pPr>
        <w:spacing w:after="0" w:line="200"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As used in this “Description of Capital Stock,” the terms “CME Group,” “we,” “our” and “us” refer to CME Group Inc., a Delaware corporation, and do not, unless otherwise provided, include subsidiaries of CME Group Inc.</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Our authorized capital stock of 1,010,003,138 shares consists of the following:</w:t>
      </w:r>
    </w:p>
    <w:p>
      <w:pPr>
        <w:spacing w:after="0" w:line="256"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1,000,000,000 authorized shares of Class A Common Stock, par value $.01 per share (the “Class A Common Stock”);</w:t>
      </w:r>
    </w:p>
    <w:p>
      <w:pPr>
        <w:spacing w:after="0" w:line="269" w:lineRule="exact"/>
        <w:rPr>
          <w:rFonts w:ascii="Arial" w:cs="Arial" w:eastAsia="Arial" w:hAnsi="Arial"/>
          <w:sz w:val="20"/>
          <w:szCs w:val="20"/>
          <w:color w:val="auto"/>
        </w:rPr>
      </w:pPr>
    </w:p>
    <w:p>
      <w:pPr>
        <w:ind w:left="980" w:hanging="324"/>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625 authorized shares of Class B-1 Common Stock, par value $.01 per share (the “Class B-1 Common Stock”);</w:t>
      </w:r>
    </w:p>
    <w:p>
      <w:pPr>
        <w:spacing w:after="0" w:line="269" w:lineRule="exact"/>
        <w:rPr>
          <w:rFonts w:ascii="Arial" w:cs="Arial" w:eastAsia="Arial" w:hAnsi="Arial"/>
          <w:sz w:val="20"/>
          <w:szCs w:val="20"/>
          <w:color w:val="auto"/>
        </w:rPr>
      </w:pPr>
    </w:p>
    <w:p>
      <w:pPr>
        <w:ind w:left="980" w:hanging="324"/>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813 authorized shares of Class B-2 Common Stock, par value $.01 per share (the “Class B-2 Common Stock”);</w:t>
      </w:r>
    </w:p>
    <w:p>
      <w:pPr>
        <w:spacing w:after="0" w:line="269" w:lineRule="exact"/>
        <w:rPr>
          <w:rFonts w:ascii="Arial" w:cs="Arial" w:eastAsia="Arial" w:hAnsi="Arial"/>
          <w:sz w:val="20"/>
          <w:szCs w:val="20"/>
          <w:color w:val="auto"/>
        </w:rPr>
      </w:pPr>
    </w:p>
    <w:p>
      <w:pPr>
        <w:ind w:left="980" w:hanging="324"/>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1,287 authorized shares of Class B-3 Common Stock, par value $.01 per share (the “Class B-3 Common Stock”);</w:t>
      </w:r>
    </w:p>
    <w:p>
      <w:pPr>
        <w:spacing w:after="0" w:line="269" w:lineRule="exact"/>
        <w:rPr>
          <w:rFonts w:ascii="Arial" w:cs="Arial" w:eastAsia="Arial" w:hAnsi="Arial"/>
          <w:sz w:val="20"/>
          <w:szCs w:val="20"/>
          <w:color w:val="auto"/>
        </w:rPr>
      </w:pPr>
    </w:p>
    <w:p>
      <w:pPr>
        <w:ind w:left="980" w:hanging="324"/>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413 authorized shares of Class B-4 Common Stock, par value $.01 per share (the “Class B-4 Common Stock”); and</w:t>
      </w:r>
    </w:p>
    <w:p>
      <w:pPr>
        <w:spacing w:after="0" w:line="269" w:lineRule="exact"/>
        <w:rPr>
          <w:rFonts w:ascii="Arial" w:cs="Arial" w:eastAsia="Arial" w:hAnsi="Arial"/>
          <w:sz w:val="20"/>
          <w:szCs w:val="20"/>
          <w:color w:val="auto"/>
        </w:rPr>
      </w:pPr>
    </w:p>
    <w:p>
      <w:pPr>
        <w:ind w:left="980" w:hanging="324"/>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10,000,000 authorized shares of Preferred Stock, par value $.01 per share (the “Preferred Stock”).</w:t>
      </w:r>
    </w:p>
    <w:p>
      <w:pPr>
        <w:spacing w:after="0" w:line="243" w:lineRule="exact"/>
        <w:rPr>
          <w:sz w:val="20"/>
          <w:szCs w:val="20"/>
          <w:color w:val="auto"/>
        </w:rPr>
      </w:pPr>
    </w:p>
    <w:p>
      <w:pPr>
        <w:ind w:right="260" w:firstLine="648"/>
        <w:spacing w:after="0" w:line="386" w:lineRule="auto"/>
        <w:rPr>
          <w:sz w:val="20"/>
          <w:szCs w:val="20"/>
          <w:color w:val="auto"/>
        </w:rPr>
      </w:pPr>
      <w:r>
        <w:rPr>
          <w:rFonts w:ascii="Arial" w:cs="Arial" w:eastAsia="Arial" w:hAnsi="Arial"/>
          <w:sz w:val="16"/>
          <w:szCs w:val="16"/>
          <w:color w:val="auto"/>
        </w:rPr>
        <w:t>The term “Class B Common Stock” means, collectively, Class B-1 Common Stock, Class B-2 Common Stock, Class B-3 Common Stock and Class B-4 Common Stock. We refer to the Class A Common Stock and Class B Common Stock collectively as the common stock.</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35"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With the exception of the matters reserved to holders of Class B Common Stock, holders of common stock vote together on all matters for which a vote of common shareholders is required. In these votes, each holder of shares of Class A Common Stock or Class B Common Stock has one vote per share. Matters reserved to the holders of Class B Common Stock, votes applicable to each class of Class B Common Stock in these matters and certain voting restrictions on holders of Class B Common Stock are described below under “Additional Provisions of Class B Common Stock.”</w:t>
      </w:r>
    </w:p>
    <w:p>
      <w:pPr>
        <w:sectPr>
          <w:pgSz w:w="11900" w:h="16838" w:orient="portrait"/>
          <w:cols w:equalWidth="0" w:num="1">
            <w:col w:w="11420"/>
          </w:cols>
          <w:pgMar w:left="240" w:top="805" w:right="239" w:bottom="1440" w:gutter="0" w:footer="0" w:header="0"/>
        </w:sectPr>
      </w:pPr>
    </w:p>
    <w:bookmarkStart w:id="98" w:name="page99"/>
    <w:bookmarkEnd w:id="98"/>
    <w:p>
      <w:pPr>
        <w:ind w:right="140" w:firstLine="648"/>
        <w:spacing w:after="0" w:line="278" w:lineRule="auto"/>
        <w:rPr>
          <w:sz w:val="20"/>
          <w:szCs w:val="20"/>
          <w:color w:val="auto"/>
        </w:rPr>
      </w:pPr>
      <w:r>
        <w:rPr>
          <w:rFonts w:ascii="Arial" w:cs="Arial" w:eastAsia="Arial" w:hAnsi="Arial"/>
          <w:sz w:val="18"/>
          <w:szCs w:val="18"/>
          <w:color w:val="auto"/>
        </w:rPr>
        <w:t>Holders of common stock are entitled to receive, and to share equally on a per share basis in, such dividends and other distributions, if any, as may be declared by our board of directors (“Board”), subject to the rights of holders of Preferred Stock. Holders of our common stock have no conversion, preemptive or subscription rights. In the event of any liquidation, dissolution or winding up of CME Group, holders of common stock are entitled to receive any amounts available for distribution to holders of common stock after the payment of, or provision for, obligations of CME Group and any preferential amounts payable to holders of any outstanding shares of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Provisions of Class B Common Stock</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Class B Common Stock comprises four classes with the following characteristics: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340" w:type="dxa"/>
            <w:vAlign w:val="bottom"/>
          </w:tcPr>
          <w:p>
            <w:pPr>
              <w:spacing w:after="0"/>
              <w:rPr>
                <w:sz w:val="18"/>
                <w:szCs w:val="18"/>
                <w:color w:val="auto"/>
              </w:rPr>
            </w:pPr>
          </w:p>
        </w:tc>
        <w:tc>
          <w:tcPr>
            <w:tcW w:w="158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Authorized</w:t>
            </w:r>
          </w:p>
        </w:tc>
        <w:tc>
          <w:tcPr>
            <w:tcW w:w="37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Directors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Votes Per Share</w:t>
            </w:r>
          </w:p>
        </w:tc>
      </w:tr>
      <w:tr>
        <w:trPr>
          <w:trHeight w:val="216"/>
        </w:trPr>
        <w:tc>
          <w:tcPr>
            <w:tcW w:w="234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Number</w:t>
            </w:r>
          </w:p>
        </w:tc>
        <w:tc>
          <w:tcPr>
            <w:tcW w:w="37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3"/>
              </w:rPr>
              <w:t>Class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1"/>
              </w:rPr>
              <w:t>on</w:t>
            </w:r>
          </w:p>
        </w:tc>
      </w:tr>
      <w:tr>
        <w:trPr>
          <w:trHeight w:val="234"/>
        </w:trPr>
        <w:tc>
          <w:tcPr>
            <w:tcW w:w="2340" w:type="dxa"/>
            <w:vAlign w:val="bottom"/>
          </w:tcPr>
          <w:p>
            <w:pPr>
              <w:ind w:left="960"/>
              <w:spacing w:after="0"/>
              <w:rPr>
                <w:sz w:val="20"/>
                <w:szCs w:val="20"/>
                <w:color w:val="auto"/>
              </w:rPr>
            </w:pPr>
            <w:r>
              <w:rPr>
                <w:rFonts w:ascii="Arial" w:cs="Arial" w:eastAsia="Arial" w:hAnsi="Arial"/>
                <w:sz w:val="18"/>
                <w:szCs w:val="18"/>
                <w:b w:val="1"/>
                <w:bCs w:val="1"/>
                <w:color w:val="auto"/>
              </w:rPr>
              <w:t>Class</w:t>
            </w:r>
          </w:p>
        </w:tc>
        <w:tc>
          <w:tcPr>
            <w:tcW w:w="1580" w:type="dxa"/>
            <w:vAlign w:val="bottom"/>
          </w:tcPr>
          <w:p>
            <w:pPr>
              <w:jc w:val="center"/>
              <w:ind w:left="110"/>
              <w:spacing w:after="0"/>
              <w:rPr>
                <w:sz w:val="20"/>
                <w:szCs w:val="20"/>
                <w:color w:val="auto"/>
              </w:rPr>
            </w:pPr>
            <w:r>
              <w:rPr>
                <w:rFonts w:ascii="Arial" w:cs="Arial" w:eastAsia="Arial" w:hAnsi="Arial"/>
                <w:sz w:val="18"/>
                <w:szCs w:val="18"/>
                <w:b w:val="1"/>
                <w:bCs w:val="1"/>
                <w:color w:val="auto"/>
                <w:w w:val="85"/>
              </w:rPr>
              <w:t>of Shares</w:t>
            </w:r>
          </w:p>
        </w:tc>
        <w:tc>
          <w:tcPr>
            <w:tcW w:w="3780" w:type="dxa"/>
            <w:vAlign w:val="bottom"/>
          </w:tcPr>
          <w:p>
            <w:pPr>
              <w:ind w:left="680"/>
              <w:spacing w:after="0"/>
              <w:rPr>
                <w:sz w:val="20"/>
                <w:szCs w:val="20"/>
                <w:color w:val="auto"/>
              </w:rPr>
            </w:pPr>
            <w:r>
              <w:rPr>
                <w:rFonts w:ascii="Arial" w:cs="Arial" w:eastAsia="Arial" w:hAnsi="Arial"/>
                <w:sz w:val="18"/>
                <w:szCs w:val="18"/>
                <w:b w:val="1"/>
                <w:bCs w:val="1"/>
                <w:color w:val="auto"/>
              </w:rPr>
              <w:t>Associated Exchange Membership</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Can Elect</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1"/>
              </w:rPr>
              <w:t>“Core Rights”</w:t>
            </w:r>
          </w:p>
        </w:tc>
      </w:tr>
      <w:tr>
        <w:trPr>
          <w:trHeight w:val="27"/>
        </w:trPr>
        <w:tc>
          <w:tcPr>
            <w:tcW w:w="2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8"/>
                <w:szCs w:val="18"/>
                <w:color w:val="auto"/>
              </w:rPr>
              <w:t>Class B-1 Common Stock</w:t>
            </w:r>
          </w:p>
        </w:tc>
        <w:tc>
          <w:tcPr>
            <w:tcW w:w="1580" w:type="dxa"/>
            <w:vAlign w:val="bottom"/>
          </w:tcPr>
          <w:p>
            <w:pPr>
              <w:jc w:val="center"/>
              <w:ind w:left="110"/>
              <w:spacing w:after="0"/>
              <w:rPr>
                <w:sz w:val="20"/>
                <w:szCs w:val="20"/>
                <w:color w:val="auto"/>
              </w:rPr>
            </w:pPr>
            <w:r>
              <w:rPr>
                <w:rFonts w:ascii="Arial" w:cs="Arial" w:eastAsia="Arial" w:hAnsi="Arial"/>
                <w:sz w:val="18"/>
                <w:szCs w:val="18"/>
                <w:color w:val="auto"/>
                <w:w w:val="86"/>
              </w:rPr>
              <w:t>625</w:t>
            </w:r>
          </w:p>
        </w:tc>
        <w:tc>
          <w:tcPr>
            <w:tcW w:w="3780" w:type="dxa"/>
            <w:vAlign w:val="bottom"/>
          </w:tcPr>
          <w:p>
            <w:pPr>
              <w:ind w:left="260"/>
              <w:spacing w:after="0"/>
              <w:rPr>
                <w:sz w:val="20"/>
                <w:szCs w:val="20"/>
                <w:color w:val="auto"/>
              </w:rPr>
            </w:pPr>
            <w:r>
              <w:rPr>
                <w:rFonts w:ascii="Arial" w:cs="Arial" w:eastAsia="Arial" w:hAnsi="Arial"/>
                <w:sz w:val="18"/>
                <w:szCs w:val="18"/>
                <w:color w:val="auto"/>
              </w:rPr>
              <w:t>CME Division</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70"/>
        </w:trPr>
        <w:tc>
          <w:tcPr>
            <w:tcW w:w="2340" w:type="dxa"/>
            <w:vAlign w:val="bottom"/>
          </w:tcPr>
          <w:p>
            <w:pPr>
              <w:ind w:left="40"/>
              <w:spacing w:after="0"/>
              <w:rPr>
                <w:sz w:val="20"/>
                <w:szCs w:val="20"/>
                <w:color w:val="auto"/>
              </w:rPr>
            </w:pPr>
            <w:r>
              <w:rPr>
                <w:rFonts w:ascii="Arial" w:cs="Arial" w:eastAsia="Arial" w:hAnsi="Arial"/>
                <w:sz w:val="18"/>
                <w:szCs w:val="18"/>
                <w:color w:val="auto"/>
              </w:rPr>
              <w:t>Class B-2 Common Stock</w:t>
            </w:r>
          </w:p>
        </w:tc>
        <w:tc>
          <w:tcPr>
            <w:tcW w:w="1580" w:type="dxa"/>
            <w:vAlign w:val="bottom"/>
          </w:tcPr>
          <w:p>
            <w:pPr>
              <w:jc w:val="center"/>
              <w:ind w:left="110"/>
              <w:spacing w:after="0"/>
              <w:rPr>
                <w:sz w:val="20"/>
                <w:szCs w:val="20"/>
                <w:color w:val="auto"/>
              </w:rPr>
            </w:pPr>
            <w:r>
              <w:rPr>
                <w:rFonts w:ascii="Arial" w:cs="Arial" w:eastAsia="Arial" w:hAnsi="Arial"/>
                <w:sz w:val="18"/>
                <w:szCs w:val="18"/>
                <w:color w:val="auto"/>
                <w:w w:val="86"/>
              </w:rPr>
              <w:t>813</w:t>
            </w:r>
          </w:p>
        </w:tc>
        <w:tc>
          <w:tcPr>
            <w:tcW w:w="3780" w:type="dxa"/>
            <w:vAlign w:val="bottom"/>
          </w:tcPr>
          <w:p>
            <w:pPr>
              <w:ind w:left="260"/>
              <w:spacing w:after="0"/>
              <w:rPr>
                <w:sz w:val="20"/>
                <w:szCs w:val="20"/>
                <w:color w:val="auto"/>
              </w:rPr>
            </w:pPr>
            <w:r>
              <w:rPr>
                <w:rFonts w:ascii="Arial" w:cs="Arial" w:eastAsia="Arial" w:hAnsi="Arial"/>
                <w:sz w:val="18"/>
                <w:szCs w:val="18"/>
                <w:color w:val="auto"/>
              </w:rPr>
              <w:t>International Monetary Market Division</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70"/>
        </w:trPr>
        <w:tc>
          <w:tcPr>
            <w:tcW w:w="2340" w:type="dxa"/>
            <w:vAlign w:val="bottom"/>
          </w:tcPr>
          <w:p>
            <w:pPr>
              <w:ind w:left="40"/>
              <w:spacing w:after="0"/>
              <w:rPr>
                <w:sz w:val="20"/>
                <w:szCs w:val="20"/>
                <w:color w:val="auto"/>
              </w:rPr>
            </w:pPr>
            <w:r>
              <w:rPr>
                <w:rFonts w:ascii="Arial" w:cs="Arial" w:eastAsia="Arial" w:hAnsi="Arial"/>
                <w:sz w:val="18"/>
                <w:szCs w:val="18"/>
                <w:color w:val="auto"/>
              </w:rPr>
              <w:t>Class B-3 Common Stock</w:t>
            </w:r>
          </w:p>
        </w:tc>
        <w:tc>
          <w:tcPr>
            <w:tcW w:w="1580" w:type="dxa"/>
            <w:vAlign w:val="bottom"/>
          </w:tcPr>
          <w:p>
            <w:pPr>
              <w:jc w:val="center"/>
              <w:ind w:left="110"/>
              <w:spacing w:after="0"/>
              <w:rPr>
                <w:sz w:val="20"/>
                <w:szCs w:val="20"/>
                <w:color w:val="auto"/>
              </w:rPr>
            </w:pPr>
            <w:r>
              <w:rPr>
                <w:rFonts w:ascii="Arial" w:cs="Arial" w:eastAsia="Arial" w:hAnsi="Arial"/>
                <w:sz w:val="18"/>
                <w:szCs w:val="18"/>
                <w:color w:val="auto"/>
                <w:w w:val="93"/>
              </w:rPr>
              <w:t>1,287</w:t>
            </w:r>
          </w:p>
        </w:tc>
        <w:tc>
          <w:tcPr>
            <w:tcW w:w="3780" w:type="dxa"/>
            <w:vAlign w:val="bottom"/>
          </w:tcPr>
          <w:p>
            <w:pPr>
              <w:ind w:left="260"/>
              <w:spacing w:after="0"/>
              <w:rPr>
                <w:sz w:val="20"/>
                <w:szCs w:val="20"/>
                <w:color w:val="auto"/>
              </w:rPr>
            </w:pPr>
            <w:r>
              <w:rPr>
                <w:rFonts w:ascii="Arial" w:cs="Arial" w:eastAsia="Arial" w:hAnsi="Arial"/>
                <w:sz w:val="18"/>
                <w:szCs w:val="18"/>
                <w:color w:val="auto"/>
              </w:rPr>
              <w:t>Index and Option Market Division</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70"/>
        </w:trPr>
        <w:tc>
          <w:tcPr>
            <w:tcW w:w="2340" w:type="dxa"/>
            <w:vAlign w:val="bottom"/>
          </w:tcPr>
          <w:p>
            <w:pPr>
              <w:ind w:left="40"/>
              <w:spacing w:after="0"/>
              <w:rPr>
                <w:sz w:val="20"/>
                <w:szCs w:val="20"/>
                <w:color w:val="auto"/>
              </w:rPr>
            </w:pPr>
            <w:r>
              <w:rPr>
                <w:rFonts w:ascii="Arial" w:cs="Arial" w:eastAsia="Arial" w:hAnsi="Arial"/>
                <w:sz w:val="18"/>
                <w:szCs w:val="18"/>
                <w:color w:val="auto"/>
              </w:rPr>
              <w:t>Class B-4 Common Stock</w:t>
            </w:r>
          </w:p>
        </w:tc>
        <w:tc>
          <w:tcPr>
            <w:tcW w:w="1580" w:type="dxa"/>
            <w:vAlign w:val="bottom"/>
          </w:tcPr>
          <w:p>
            <w:pPr>
              <w:jc w:val="center"/>
              <w:ind w:left="110"/>
              <w:spacing w:after="0"/>
              <w:rPr>
                <w:sz w:val="20"/>
                <w:szCs w:val="20"/>
                <w:color w:val="auto"/>
              </w:rPr>
            </w:pPr>
            <w:r>
              <w:rPr>
                <w:rFonts w:ascii="Arial" w:cs="Arial" w:eastAsia="Arial" w:hAnsi="Arial"/>
                <w:sz w:val="18"/>
                <w:szCs w:val="18"/>
                <w:color w:val="auto"/>
                <w:w w:val="86"/>
              </w:rPr>
              <w:t>413</w:t>
            </w:r>
          </w:p>
        </w:tc>
        <w:tc>
          <w:tcPr>
            <w:tcW w:w="3780" w:type="dxa"/>
            <w:vAlign w:val="bottom"/>
          </w:tcPr>
          <w:p>
            <w:pPr>
              <w:ind w:left="260"/>
              <w:spacing w:after="0"/>
              <w:rPr>
                <w:sz w:val="20"/>
                <w:szCs w:val="20"/>
                <w:color w:val="auto"/>
              </w:rPr>
            </w:pPr>
            <w:r>
              <w:rPr>
                <w:rFonts w:ascii="Arial" w:cs="Arial" w:eastAsia="Arial" w:hAnsi="Arial"/>
                <w:sz w:val="18"/>
                <w:szCs w:val="18"/>
                <w:color w:val="auto"/>
              </w:rPr>
              <w:t>Growth and Emerging Markets Division</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1/6</w:t>
            </w:r>
          </w:p>
        </w:tc>
      </w:tr>
    </w:tbl>
    <w:p>
      <w:pPr>
        <w:spacing w:after="0" w:line="24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i w:val="1"/>
          <w:iCs w:val="1"/>
          <w:color w:val="auto"/>
        </w:rPr>
        <w:t xml:space="preserve">Associated Exchange Membership. </w:t>
      </w:r>
      <w:r>
        <w:rPr>
          <w:rFonts w:ascii="Arial" w:cs="Arial" w:eastAsia="Arial" w:hAnsi="Arial"/>
          <w:sz w:val="18"/>
          <w:szCs w:val="18"/>
          <w:color w:val="auto"/>
        </w:rPr>
        <w:t>Each class of Class B Common Stock is associated with a membership in a specific division for trading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Chicago Mercantile Exchange Inc. (“CME”). A CME trading right is a separate asset that is not part of or evidenced by the associated share of Class B Common Stock. The Class B Common Stock is intended only to ensure that the holders of Class B Common Stock retain rights with respect to the election of six members to the Board and approval rights with respect to the Core Rights described below.</w:t>
      </w:r>
    </w:p>
    <w:p>
      <w:pPr>
        <w:spacing w:after="0" w:line="175"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b w:val="1"/>
          <w:bCs w:val="1"/>
          <w:i w:val="1"/>
          <w:iCs w:val="1"/>
          <w:color w:val="auto"/>
        </w:rPr>
        <w:t xml:space="preserve">Voting on Core Rights. </w:t>
      </w:r>
      <w:r>
        <w:rPr>
          <w:rFonts w:ascii="Arial" w:cs="Arial" w:eastAsia="Arial" w:hAnsi="Arial"/>
          <w:sz w:val="20"/>
          <w:szCs w:val="20"/>
          <w:color w:val="auto"/>
        </w:rPr>
        <w:t>Holders of shares of our Class B Common Stock have the right to approve changes to specified rights relating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the trading privileges at CME associated with those shares. These “Core Rights” consist of:</w:t>
      </w:r>
    </w:p>
    <w:p>
      <w:pPr>
        <w:spacing w:after="0" w:line="217"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divisional product allocation rules applicable to each membership class as set forth in the rules of CME;</w:t>
      </w:r>
    </w:p>
    <w:p>
      <w:pPr>
        <w:spacing w:after="0" w:line="269" w:lineRule="exact"/>
        <w:rPr>
          <w:rFonts w:ascii="Arial" w:cs="Arial" w:eastAsia="Arial" w:hAnsi="Arial"/>
          <w:sz w:val="20"/>
          <w:szCs w:val="20"/>
          <w:color w:val="auto"/>
        </w:rPr>
      </w:pPr>
    </w:p>
    <w:p>
      <w:pPr>
        <w:ind w:left="980" w:hanging="324"/>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trading floor access rights and privileges granted to members of CME;</w:t>
      </w:r>
    </w:p>
    <w:p>
      <w:pPr>
        <w:spacing w:after="0" w:line="269" w:lineRule="exact"/>
        <w:rPr>
          <w:rFonts w:ascii="Arial" w:cs="Arial" w:eastAsia="Arial" w:hAnsi="Arial"/>
          <w:sz w:val="20"/>
          <w:szCs w:val="20"/>
          <w:color w:val="auto"/>
        </w:rPr>
      </w:pPr>
    </w:p>
    <w:p>
      <w:pPr>
        <w:ind w:left="980" w:hanging="324"/>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number of authorized and issued shares of any class of Class B Common Stock; and</w:t>
      </w:r>
    </w:p>
    <w:p>
      <w:pPr>
        <w:spacing w:after="0" w:line="269" w:lineRule="exact"/>
        <w:rPr>
          <w:rFonts w:ascii="Arial" w:cs="Arial" w:eastAsia="Arial" w:hAnsi="Arial"/>
          <w:sz w:val="20"/>
          <w:szCs w:val="20"/>
          <w:color w:val="auto"/>
        </w:rPr>
      </w:pPr>
    </w:p>
    <w:p>
      <w:pPr>
        <w:ind w:left="980" w:hanging="324"/>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eligibility requirements for any person to exercise any of the trading rights or privileges of members in CME.</w:t>
      </w:r>
    </w:p>
    <w:p>
      <w:pPr>
        <w:spacing w:after="0" w:line="243" w:lineRule="exact"/>
        <w:rPr>
          <w:sz w:val="20"/>
          <w:szCs w:val="20"/>
          <w:color w:val="auto"/>
        </w:rPr>
      </w:pPr>
    </w:p>
    <w:p>
      <w:pPr>
        <w:ind w:right="340" w:firstLine="648"/>
        <w:spacing w:after="0" w:line="250" w:lineRule="auto"/>
        <w:rPr>
          <w:sz w:val="20"/>
          <w:szCs w:val="20"/>
          <w:color w:val="auto"/>
        </w:rPr>
      </w:pPr>
      <w:r>
        <w:rPr>
          <w:rFonts w:ascii="Arial" w:cs="Arial" w:eastAsia="Arial" w:hAnsi="Arial"/>
          <w:sz w:val="20"/>
          <w:szCs w:val="20"/>
          <w:color w:val="auto"/>
        </w:rPr>
        <w:t>Votes on changes to Core Rights are weighted by class. Each class of Class B Common Stock has the following number of votes on matters relating to Core Rights: Class B-1 Common Stock, six votes per share; Class B-2 Common Stock, two votes per share; Class B-3 Common Stock, one vote per share; and</w:t>
      </w:r>
    </w:p>
    <w:p>
      <w:pPr>
        <w:sectPr>
          <w:pgSz w:w="11900" w:h="16838" w:orient="portrait"/>
          <w:cols w:equalWidth="0" w:num="1">
            <w:col w:w="11420"/>
          </w:cols>
          <w:pgMar w:left="240" w:top="1284" w:right="239" w:bottom="1440" w:gutter="0" w:footer="0" w:header="0"/>
        </w:sectPr>
      </w:pPr>
    </w:p>
    <w:bookmarkStart w:id="99" w:name="page100"/>
    <w:bookmarkEnd w:id="99"/>
    <w:p>
      <w:pPr>
        <w:ind w:right="200"/>
        <w:spacing w:after="0" w:line="278" w:lineRule="auto"/>
        <w:rPr>
          <w:sz w:val="20"/>
          <w:szCs w:val="20"/>
          <w:color w:val="auto"/>
        </w:rPr>
      </w:pPr>
      <w:r>
        <w:rPr>
          <w:rFonts w:ascii="Arial" w:cs="Arial" w:eastAsia="Arial" w:hAnsi="Arial"/>
          <w:sz w:val="18"/>
          <w:szCs w:val="18"/>
          <w:color w:val="auto"/>
        </w:rPr>
        <w:t>Class B-4 Common Stock, one-sixth of one vote per share. Any change to Core Rights must be approved by a majority of the aggregate votes cast by the holders of the Class B Common Stock present (in person or by proxy) and voting at the meeting of holders of Class B Common Stock called for the purpose of voting on the proposed change, provided that holders of at least a majority of the aggregate number of votes entitled to vote on the matter are present at such meeting. Under Delaware law, changes to the number of authorized shares of a class also require the approval of the holders of a majority of the outstanding shares of that class.</w:t>
      </w:r>
    </w:p>
    <w:p>
      <w:pPr>
        <w:spacing w:after="0" w:line="179"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b w:val="1"/>
          <w:bCs w:val="1"/>
          <w:i w:val="1"/>
          <w:iCs w:val="1"/>
          <w:color w:val="auto"/>
        </w:rPr>
        <w:t xml:space="preserve">Election of Directors. </w:t>
      </w:r>
      <w:r>
        <w:rPr>
          <w:rFonts w:ascii="Arial" w:cs="Arial" w:eastAsia="Arial" w:hAnsi="Arial"/>
          <w:sz w:val="19"/>
          <w:szCs w:val="19"/>
          <w:color w:val="auto"/>
        </w:rPr>
        <w:t>Our Certificate of Incorporation provides that the number of directors that shall constitute the whole Board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fixed exclusively by one or more resolutions adopted by our Board, which number shall be no more than 30. Holders of Class B-1 Common Stock, Class B-2 Common Stock and Class B-3 Common Stock have the right to elect six directors to our Board, of which three (the “Class B-1 Directors”) are elected by the holders of Class B-1 Common Stock, two (the “Class B-2 Directors”) are elected by the holders of Class B-2 Common Stock and one (the “Class B-3 Director”) is elected by the holders of Class B-3 Common Stock. We refer to the Class B-1 Directors, the Class B-2 Directors and the Class B-3 Director collectively as the “Class B Directors.” The directors that are not Class B Directors, which we refer to as equity directors, are elected by the holders of the Class A Common Stock and Class B Common Stock, voting together as a class. Nominees for election as equity directors are nominated for election by our Board upon the recommendation of the Nominating and Governance Committee of our Board. At each annual meeting of shareholders prior to the 2020 annual meeting, the holders of shares of Class B-1 Common Stock, Class B-2 Common Stock and Class B-3 Common Stock have the right to elect nominating committees for their respective class, which are responsible for nominating candidates for election to the Board by their class. As provided in the Bylaws, in connection with the 2021 annual meeting and at each annual meeting thereafter, nominees for each class of Class B Directors will include eligible nominees selected by the Board’s Nominating and Governance Committee and nominees who satisfy the existing requirements for write-in nominees. Our Certificate of Incorporation requires that director candidates for election by a class of Class B Common Stock own, or be recognized as the owner for the purposes of CME of, at least one share of that class. The number of directors that constitutes the current whole Board is 22.</w:t>
      </w:r>
    </w:p>
    <w:p>
      <w:pPr>
        <w:spacing w:after="0" w:line="203"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b w:val="1"/>
          <w:bCs w:val="1"/>
          <w:i w:val="1"/>
          <w:iCs w:val="1"/>
          <w:color w:val="auto"/>
        </w:rPr>
        <w:t xml:space="preserve">Voting Restrictions. </w:t>
      </w:r>
      <w:r>
        <w:rPr>
          <w:rFonts w:ascii="Arial" w:cs="Arial" w:eastAsia="Arial" w:hAnsi="Arial"/>
          <w:sz w:val="20"/>
          <w:szCs w:val="20"/>
          <w:color w:val="auto"/>
        </w:rPr>
        <w:t>Our Certificate of Incorporation provides that, for so long as any person or group of persons acting in concert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beneficially own 15% or more of the outstanding shares of any class of Class B Common Stock, then in any election of directors elected by that class or other exercise of voting rights with respect to Core Rights or with respect to the election or removal of directors, such person or group is only entitled to vote a number of shares of that class of Class B Common Stock that constitutes a percentage of the total number of outstanding shares of that class which is less than or equal to the percentage of Class A Common Stock beneficially owned by such person or group.</w:t>
      </w:r>
    </w:p>
    <w:p>
      <w:pPr>
        <w:spacing w:after="0" w:line="210"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b w:val="1"/>
          <w:bCs w:val="1"/>
          <w:i w:val="1"/>
          <w:iCs w:val="1"/>
          <w:color w:val="auto"/>
        </w:rPr>
        <w:t xml:space="preserve">Transfer Restrictions. </w:t>
      </w:r>
      <w:r>
        <w:rPr>
          <w:rFonts w:ascii="Arial" w:cs="Arial" w:eastAsia="Arial" w:hAnsi="Arial"/>
          <w:sz w:val="20"/>
          <w:szCs w:val="20"/>
          <w:color w:val="auto"/>
        </w:rPr>
        <w:t>Shares of Class B Common Stock are subject to transfer restrictions contained in our Certificate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Incorporation. These transfer restrictions prohibit the sale or transfer of any shares of Class B Common Stock separate from the sale of the associated membership interest in CME. No membership in CME may be sold unless the purchaser also acquires the associated share of Class B Common Stock.</w:t>
      </w:r>
    </w:p>
    <w:p>
      <w:pPr>
        <w:sectPr>
          <w:pgSz w:w="11900" w:h="16838" w:orient="portrait"/>
          <w:cols w:equalWidth="0" w:num="1">
            <w:col w:w="11420"/>
          </w:cols>
          <w:pgMar w:left="240" w:top="1284" w:right="2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Preferred Stock</w:t>
      </w:r>
    </w:p>
    <w:p>
      <w:pPr>
        <w:spacing w:after="0" w:line="235"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We are authorized to issue up to 10 million shares of Preferred Stock. Our Certificate of Incorporation authorizes the issuance of shares of Preferred Stock in one or more series at such times and for such consideration as our Board may determine and authorizes our Board to fix the relative powers, rights, designations, preferences, qualifications, limitations and restrictions of the shares of each wholly unissued series. Our Board may fix the number of shares of each series of Preferred Stock, but not below the number of shares of that series then outstanding, without any further vote or action by our shareholders. Our Board may authorize the issuance of Preferred Stock with voting or conversion rights that could adversely affect the voting power or other rights of the holders of our common stock.</w:t>
      </w:r>
    </w:p>
    <w:p>
      <w:pPr>
        <w:spacing w:after="0" w:line="17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When CME Group issues Preferred Stock, we will provide specific information about the particular series being offered in a prospectus supplement. This information will include some or all of the following:</w:t>
      </w:r>
    </w:p>
    <w:p>
      <w:pPr>
        <w:spacing w:after="0" w:line="217"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title or designation of the series;</w:t>
      </w:r>
    </w:p>
    <w:p>
      <w:pPr>
        <w:spacing w:after="0" w:line="269" w:lineRule="exact"/>
        <w:rPr>
          <w:rFonts w:ascii="Arial" w:cs="Arial" w:eastAsia="Arial" w:hAnsi="Arial"/>
          <w:sz w:val="20"/>
          <w:szCs w:val="20"/>
          <w:color w:val="auto"/>
        </w:rPr>
      </w:pPr>
    </w:p>
    <w:p>
      <w:pPr>
        <w:ind w:left="980" w:right="220" w:hanging="324"/>
        <w:spacing w:after="0" w:line="331" w:lineRule="auto"/>
        <w:tabs>
          <w:tab w:leader="none" w:pos="9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number of shares of the series, which the Board may thereafter (except where otherwise provided in the designations for such series) increase or decrease (but not below the number of shares of such series then outstanding);</w:t>
      </w:r>
    </w:p>
    <w:p>
      <w:pPr>
        <w:spacing w:after="0" w:line="167" w:lineRule="exact"/>
        <w:rPr>
          <w:rFonts w:ascii="Arial" w:cs="Arial" w:eastAsia="Arial" w:hAnsi="Arial"/>
          <w:sz w:val="19"/>
          <w:szCs w:val="19"/>
          <w:color w:val="auto"/>
        </w:rPr>
      </w:pPr>
    </w:p>
    <w:p>
      <w:pPr>
        <w:ind w:left="980" w:hanging="324"/>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whether dividends, if any, will be cumulative or noncumulative and the dividend rate of the series;</w:t>
      </w:r>
    </w:p>
    <w:p>
      <w:pPr>
        <w:spacing w:after="0" w:line="269" w:lineRule="exact"/>
        <w:rPr>
          <w:rFonts w:ascii="Arial" w:cs="Arial" w:eastAsia="Arial" w:hAnsi="Arial"/>
          <w:sz w:val="20"/>
          <w:szCs w:val="20"/>
          <w:color w:val="auto"/>
        </w:rPr>
      </w:pPr>
    </w:p>
    <w:p>
      <w:pPr>
        <w:ind w:left="980" w:hanging="324"/>
        <w:spacing w:after="0" w:line="303"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conditions upon which and the dates at which dividends, if any, will be payable, and the relation that such dividends, if any, will bear to the dividends payable on any other series or classes of stock;</w:t>
      </w:r>
    </w:p>
    <w:p>
      <w:pPr>
        <w:spacing w:after="0" w:line="189" w:lineRule="exact"/>
        <w:rPr>
          <w:rFonts w:ascii="Arial" w:cs="Arial" w:eastAsia="Arial" w:hAnsi="Arial"/>
          <w:sz w:val="20"/>
          <w:szCs w:val="20"/>
          <w:color w:val="auto"/>
        </w:rPr>
      </w:pPr>
    </w:p>
    <w:p>
      <w:pPr>
        <w:ind w:left="980" w:right="220" w:hanging="324"/>
        <w:spacing w:after="0" w:line="303"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redemption rights and price or prices, if any, for shares of the series and at whose option such redemption may occur, and any limitations, restrictions or conditions on such redemption;</w:t>
      </w:r>
    </w:p>
    <w:p>
      <w:pPr>
        <w:spacing w:after="0" w:line="189" w:lineRule="exact"/>
        <w:rPr>
          <w:rFonts w:ascii="Arial" w:cs="Arial" w:eastAsia="Arial" w:hAnsi="Arial"/>
          <w:sz w:val="20"/>
          <w:szCs w:val="20"/>
          <w:color w:val="auto"/>
        </w:rPr>
      </w:pPr>
    </w:p>
    <w:p>
      <w:pPr>
        <w:ind w:left="980" w:hanging="324"/>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terms and amounts of any sinking fund provided for the purchase or redemption of shares of the series;</w:t>
      </w:r>
    </w:p>
    <w:p>
      <w:pPr>
        <w:spacing w:after="0" w:line="269" w:lineRule="exact"/>
        <w:rPr>
          <w:rFonts w:ascii="Arial" w:cs="Arial" w:eastAsia="Arial" w:hAnsi="Arial"/>
          <w:sz w:val="20"/>
          <w:szCs w:val="20"/>
          <w:color w:val="auto"/>
        </w:rPr>
      </w:pPr>
    </w:p>
    <w:p>
      <w:pPr>
        <w:ind w:left="980" w:right="100" w:hanging="324"/>
        <w:spacing w:after="0" w:line="303" w:lineRule="auto"/>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amounts payable on and the preferences, if any, of shares of the series, in the event of any voluntary or involuntary liquidation, dissolution or winding up of the affairs of CME Group;</w:t>
      </w:r>
    </w:p>
    <w:p>
      <w:pPr>
        <w:spacing w:after="0" w:line="189" w:lineRule="exact"/>
        <w:rPr>
          <w:rFonts w:ascii="Arial" w:cs="Arial" w:eastAsia="Arial" w:hAnsi="Arial"/>
          <w:sz w:val="20"/>
          <w:szCs w:val="20"/>
          <w:color w:val="auto"/>
        </w:rPr>
      </w:pPr>
    </w:p>
    <w:p>
      <w:pPr>
        <w:ind w:left="980" w:right="40" w:hanging="324"/>
        <w:spacing w:after="0" w:line="329"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or exchangeable into shares of any other class or series, or any other security of CME Group or any other entity, and, if so, the specification of such other class or series or such other security, the conversion price or prices or exchange rate or rates, any adjustments thereof, the date or dates as of which such shares will be convertible or exchangeable and all other terms and conditions upon which such conversion or exchange may be made;</w:t>
      </w:r>
    </w:p>
    <w:p>
      <w:pPr>
        <w:sectPr>
          <w:pgSz w:w="11900" w:h="16838" w:orient="portrait"/>
          <w:cols w:equalWidth="0" w:num="1">
            <w:col w:w="11420"/>
          </w:cols>
          <w:pgMar w:left="240" w:top="1278" w:right="239" w:bottom="1440" w:gutter="0" w:footer="0" w:header="0"/>
        </w:sectPr>
      </w:pPr>
    </w:p>
    <w:bookmarkStart w:id="101" w:name="page102"/>
    <w:bookmarkEnd w:id="101"/>
    <w:p>
      <w:pPr>
        <w:ind w:left="980" w:hanging="324"/>
        <w:spacing w:after="0"/>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whether the Preferred Stock being offered will be listed on any securities exchange;</w:t>
      </w:r>
    </w:p>
    <w:p>
      <w:pPr>
        <w:spacing w:after="0" w:line="269" w:lineRule="exact"/>
        <w:rPr>
          <w:rFonts w:ascii="Arial" w:cs="Arial" w:eastAsia="Arial" w:hAnsi="Arial"/>
          <w:sz w:val="20"/>
          <w:szCs w:val="20"/>
          <w:color w:val="auto"/>
        </w:rPr>
      </w:pPr>
    </w:p>
    <w:p>
      <w:pPr>
        <w:ind w:left="980" w:hanging="324"/>
        <w:spacing w:after="0"/>
        <w:tabs>
          <w:tab w:leader="none" w:pos="9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necessary, a discussion of certain federal income tax considerations applicable to the Preferred Stock being offered;</w:t>
      </w:r>
    </w:p>
    <w:p>
      <w:pPr>
        <w:spacing w:after="0" w:line="281" w:lineRule="exact"/>
        <w:rPr>
          <w:rFonts w:ascii="Arial" w:cs="Arial" w:eastAsia="Arial" w:hAnsi="Arial"/>
          <w:sz w:val="19"/>
          <w:szCs w:val="19"/>
          <w:color w:val="auto"/>
        </w:rPr>
      </w:pPr>
    </w:p>
    <w:p>
      <w:pPr>
        <w:ind w:left="980" w:hanging="324"/>
        <w:spacing w:after="0"/>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voting rights, in addition to the voting rights provided by law, if any, of the holders of shares of such series; and</w:t>
      </w:r>
    </w:p>
    <w:p>
      <w:pPr>
        <w:spacing w:after="0" w:line="269" w:lineRule="exact"/>
        <w:rPr>
          <w:rFonts w:ascii="Arial" w:cs="Arial" w:eastAsia="Arial" w:hAnsi="Arial"/>
          <w:sz w:val="20"/>
          <w:szCs w:val="20"/>
          <w:color w:val="auto"/>
        </w:rPr>
      </w:pPr>
    </w:p>
    <w:p>
      <w:pPr>
        <w:ind w:left="980" w:right="60" w:hanging="324"/>
        <w:spacing w:after="0" w:line="303" w:lineRule="auto"/>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other relative rights, preferences, limitations and powers not inconsistent with applicable law, our Certificate of Incorporation then in effect or our Bylaws then in effect.</w:t>
      </w:r>
    </w:p>
    <w:p>
      <w:pPr>
        <w:spacing w:after="0" w:line="162"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Upon issuance, the shares of Preferred Stock will be fully paid and non-assessable, which means that its holders will have paid their purchase price in full and we may not require them to pay additional funds.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 of Directors and Executive Officers and Limitation of Liability</w:t>
      </w:r>
    </w:p>
    <w:p>
      <w:pPr>
        <w:spacing w:after="0" w:line="235" w:lineRule="exact"/>
        <w:rPr>
          <w:sz w:val="20"/>
          <w:szCs w:val="20"/>
          <w:color w:val="auto"/>
        </w:rPr>
      </w:pPr>
    </w:p>
    <w:p>
      <w:pPr>
        <w:jc w:val="both"/>
        <w:ind w:right="120" w:firstLine="648"/>
        <w:spacing w:after="0" w:line="269" w:lineRule="auto"/>
        <w:rPr>
          <w:sz w:val="20"/>
          <w:szCs w:val="20"/>
          <w:color w:val="auto"/>
        </w:rPr>
      </w:pPr>
      <w:r>
        <w:rPr>
          <w:rFonts w:ascii="Arial" w:cs="Arial" w:eastAsia="Arial" w:hAnsi="Arial"/>
          <w:sz w:val="19"/>
          <w:szCs w:val="19"/>
          <w:color w:val="auto"/>
        </w:rPr>
        <w:t>Section 145 of the General Corporation Law of the State of Delaware (the “DGCL”) authorizes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w:t>
      </w:r>
    </w:p>
    <w:p>
      <w:pPr>
        <w:spacing w:after="0" w:line="184"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As permitted by Delaware law, our Certificate of Incorporation includes a provision that eliminates the personal liability of our directors for monetary damages for breach of fiduciary duty as a director, except for liability (1) for any breach of the director’s duty of loyalty to us or our shareholders; (2) for acts or omissions not in good faith or that involve intentional misconduct or a knowing violation of law; (3) under Section 174 of the DGCL regarding unlawful dividends and stock purchases; or (4) for any transaction from which the director derived an improper personal benefit.</w:t>
      </w:r>
    </w:p>
    <w:p>
      <w:pPr>
        <w:spacing w:after="0" w:line="208"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As permitted by Delaware law, our Certificate of Incorporation and our Bylaws provide that (1) we shall indemnify our directors and officers and former directors and officers to the fullest extent permitted by law; (2) such indemnification includes the right to advancement of expenses, if we have received an undertaking by the person receiving such advance to repay all amounts advanced if it should be determined that he or she is not entitled to be indemnified by us; and (3) the rights to indemnification conferred in our Certificate of Incorporation and our Bylaws are not exclusive.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Exclusive Forum</w:t>
      </w:r>
    </w:p>
    <w:p>
      <w:pPr>
        <w:spacing w:after="0" w:line="235"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Our Bylaws provide that, unless we consent to the selection of an alternative forum, the Court of Chancery of the State of Delaware shall be the sole and exclusive forum for (i) any derivative action or proceed on behalf of us, (ii) any action asserting a claim of breach of a fiduciary duty owed by any of our directors, officers, shareholders, employees or agents to us or our shareholders, (iii) any action asserting a claim against us or any of our directors, officers, shareholders, employees or agents arising out of or relating to any provision of the DGCL or our Certificate of Incorporation or Bylaws, or (iv) any action asserting a claim against us or any of our directors, officers, shareholders, employees or agents governed by the internal affairs doctrine of the State of Delaware; provided, however, that, in the event that the Court of Chancery of the State of Delaware lacks subject matter jurisdiction over any such action or</w:t>
      </w:r>
    </w:p>
    <w:p>
      <w:pPr>
        <w:sectPr>
          <w:pgSz w:w="11900" w:h="16838" w:orient="portrait"/>
          <w:cols w:equalWidth="0" w:num="1">
            <w:col w:w="11320"/>
          </w:cols>
          <w:pgMar w:left="240" w:top="1311" w:right="339" w:bottom="1440" w:gutter="0" w:footer="0" w:header="0"/>
        </w:sectPr>
      </w:pPr>
    </w:p>
    <w:bookmarkStart w:id="102" w:name="page103"/>
    <w:bookmarkEnd w:id="102"/>
    <w:p>
      <w:pPr>
        <w:ind w:right="140"/>
        <w:spacing w:after="0" w:line="263" w:lineRule="auto"/>
        <w:rPr>
          <w:sz w:val="20"/>
          <w:szCs w:val="20"/>
          <w:color w:val="auto"/>
        </w:rPr>
      </w:pPr>
      <w:r>
        <w:rPr>
          <w:rFonts w:ascii="Arial" w:cs="Arial" w:eastAsia="Arial" w:hAnsi="Arial"/>
          <w:sz w:val="19"/>
          <w:szCs w:val="19"/>
          <w:color w:val="auto"/>
        </w:rPr>
        <w:t>proceeding described in clauses (i) through (iv) of this paragraph,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Certificate of Incorporation and Bylaw Provisions</w:t>
      </w:r>
    </w:p>
    <w:p>
      <w:pPr>
        <w:spacing w:after="0" w:line="235" w:lineRule="exact"/>
        <w:rPr>
          <w:sz w:val="20"/>
          <w:szCs w:val="20"/>
          <w:color w:val="auto"/>
        </w:rPr>
      </w:pPr>
    </w:p>
    <w:p>
      <w:pPr>
        <w:ind w:right="460" w:firstLine="648"/>
        <w:spacing w:after="0" w:line="250" w:lineRule="auto"/>
        <w:rPr>
          <w:sz w:val="20"/>
          <w:szCs w:val="20"/>
          <w:color w:val="auto"/>
        </w:rPr>
      </w:pPr>
      <w:r>
        <w:rPr>
          <w:rFonts w:ascii="Arial" w:cs="Arial" w:eastAsia="Arial" w:hAnsi="Arial"/>
          <w:sz w:val="20"/>
          <w:szCs w:val="20"/>
          <w:color w:val="auto"/>
        </w:rPr>
        <w:t>Our Certificate of Incorporation and Bylaws include a number of anti-takeover provisions that may have the effect of encouraging persons considering unsolicited tender offers or other unilateral takeover proposals to negotiate with our Board rather than pursue non-negotiated takeover attempts. These provisions include:</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b w:val="1"/>
          <w:bCs w:val="1"/>
          <w:i w:val="1"/>
          <w:iCs w:val="1"/>
          <w:color w:val="auto"/>
        </w:rPr>
        <w:t xml:space="preserve">Filling Vacancies on the Board. </w:t>
      </w:r>
      <w:r>
        <w:rPr>
          <w:rFonts w:ascii="Arial" w:cs="Arial" w:eastAsia="Arial" w:hAnsi="Arial"/>
          <w:sz w:val="19"/>
          <w:szCs w:val="19"/>
          <w:color w:val="auto"/>
        </w:rPr>
        <w:t>Our Certificate of Incorporation provides that vacancies on our Board may be filled by a majority of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Board, and any director elected to fill such a vacancy will have the same remaining term as that of his or her predecessor, but any Class B vacancy must be filled from among the candidates who ran in the previous election for that directorship with the candidates being selected to fill the vacancy in the order of the aggregate number of votes received in the previous election. The inability of shareholders to fill vacancies on our Board will make it more difficult to change the composition of our Board.</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i w:val="1"/>
          <w:iCs w:val="1"/>
          <w:color w:val="auto"/>
        </w:rPr>
        <w:t xml:space="preserve">Advance Notice Requirements. </w:t>
      </w:r>
      <w:r>
        <w:rPr>
          <w:rFonts w:ascii="Arial" w:cs="Arial" w:eastAsia="Arial" w:hAnsi="Arial"/>
          <w:sz w:val="19"/>
          <w:szCs w:val="19"/>
          <w:color w:val="auto"/>
        </w:rPr>
        <w:t>Our Bylaws establish advance notice procedures with regard to shareholder proposals relating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nomination of candidates for election as directors or new business to be brought before meetings of shareholders. These procedures provide that notice of shareholder proposals must be timely and given in proper written form to our Secretary prior to the meeting at which the action is to be taken. Generally, to be timely, notice must be delivered to our Secretary at our principal executive offices not fewer than 90 days or more than 120 days prior to the first anniversary of the preceding year’s annual meeting of shareholders. The notice must contain the information required by our Bylaws, including information regarding the proposal and the proponent.</w:t>
      </w:r>
    </w:p>
    <w:p>
      <w:pPr>
        <w:spacing w:after="0" w:line="192" w:lineRule="exact"/>
        <w:rPr>
          <w:sz w:val="20"/>
          <w:szCs w:val="20"/>
          <w:color w:val="auto"/>
        </w:rPr>
      </w:pPr>
    </w:p>
    <w:p>
      <w:pPr>
        <w:ind w:right="460"/>
        <w:spacing w:after="0" w:line="250" w:lineRule="auto"/>
        <w:rPr>
          <w:sz w:val="20"/>
          <w:szCs w:val="20"/>
          <w:color w:val="auto"/>
        </w:rPr>
      </w:pPr>
      <w:r>
        <w:rPr>
          <w:rFonts w:ascii="Arial" w:cs="Arial" w:eastAsia="Arial" w:hAnsi="Arial"/>
          <w:sz w:val="20"/>
          <w:szCs w:val="20"/>
          <w:b w:val="1"/>
          <w:bCs w:val="1"/>
          <w:i w:val="1"/>
          <w:iCs w:val="1"/>
          <w:color w:val="auto"/>
        </w:rPr>
        <w:t xml:space="preserve">Special Meetings of Shareholders. </w:t>
      </w:r>
      <w:r>
        <w:rPr>
          <w:rFonts w:ascii="Arial" w:cs="Arial" w:eastAsia="Arial" w:hAnsi="Arial"/>
          <w:sz w:val="20"/>
          <w:szCs w:val="20"/>
          <w:color w:val="auto"/>
        </w:rPr>
        <w:t>Our Certificate of Incorporation and Bylaws deny shareholders the right to call a special meeting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shareholders. Our Certificate of Incorporation and Bylaws provide that only the chairman of our board or a majority of the Board may call special meetings of the shareholders.</w:t>
      </w:r>
    </w:p>
    <w:p>
      <w:pPr>
        <w:spacing w:after="0" w:line="200"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b w:val="1"/>
          <w:bCs w:val="1"/>
          <w:i w:val="1"/>
          <w:iCs w:val="1"/>
          <w:color w:val="auto"/>
        </w:rPr>
        <w:t xml:space="preserve">No Written Consent of Shareholders. </w:t>
      </w:r>
      <w:r>
        <w:rPr>
          <w:rFonts w:ascii="Arial" w:cs="Arial" w:eastAsia="Arial" w:hAnsi="Arial"/>
          <w:sz w:val="19"/>
          <w:szCs w:val="19"/>
          <w:color w:val="auto"/>
        </w:rPr>
        <w:t>Our Certificate of Incorporation requires all shareholder actions to be taken by a vote of the shareholders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an annual or special meeting and does not permit the shareholders to act by written consent, without a meeting.</w:t>
      </w:r>
    </w:p>
    <w:p>
      <w:pPr>
        <w:spacing w:after="0" w:line="166"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b w:val="1"/>
          <w:bCs w:val="1"/>
          <w:i w:val="1"/>
          <w:iCs w:val="1"/>
          <w:color w:val="auto"/>
        </w:rPr>
        <w:t xml:space="preserve">Amendment of Certificate of Incorporation and Bylaws. </w:t>
      </w:r>
      <w:r>
        <w:rPr>
          <w:rFonts w:ascii="Arial" w:cs="Arial" w:eastAsia="Arial" w:hAnsi="Arial"/>
          <w:sz w:val="20"/>
          <w:szCs w:val="20"/>
          <w:color w:val="auto"/>
        </w:rPr>
        <w:t>Our Certificate of Incorporation generally requires the approval of not less than two-thirds of the voting power of all outstanding shares of common stock entitled to vote to amend any Bylaws by shareholder action or the Certificate of Incorporation provisions, other than those with respect to filling vacancies on the Board, described in this “Other Certificate of Incorporation and Bylaw Provisions” section. Only our Class B shareholders may amend provisions of our Certificate of Incorporation relating to the Core Rights described above.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Delaware Takeover Statute</w:t>
      </w:r>
    </w:p>
    <w:p>
      <w:pPr>
        <w:spacing w:after="0" w:line="235"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We are subject to Section 203 of the DGCL (“Section 203”). Subject to exceptions set forth in Section 203, Section 203 prohibits a Delaware corporation from engaging in any business combination</w:t>
      </w:r>
    </w:p>
    <w:p>
      <w:pPr>
        <w:sectPr>
          <w:pgSz w:w="11900" w:h="16838" w:orient="portrait"/>
          <w:cols w:equalWidth="0" w:num="1">
            <w:col w:w="11420"/>
          </w:cols>
          <w:pgMar w:left="240" w:top="128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with any interested stockholder for a period of three years following the time that such stockholder became an interested stockholder, unless:</w:t>
      </w:r>
    </w:p>
    <w:p>
      <w:pPr>
        <w:spacing w:after="0" w:line="279" w:lineRule="exact"/>
        <w:rPr>
          <w:sz w:val="20"/>
          <w:szCs w:val="20"/>
          <w:color w:val="auto"/>
        </w:rPr>
      </w:pPr>
    </w:p>
    <w:p>
      <w:pPr>
        <w:ind w:left="980" w:right="620" w:hanging="324"/>
        <w:spacing w:after="0" w:line="303"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prior to such time, the board of directors of the corporation approved either the business combination or the transaction that resulted in the stockholder becoming an interested stockholder;</w:t>
      </w:r>
    </w:p>
    <w:p>
      <w:pPr>
        <w:spacing w:after="0" w:line="189" w:lineRule="exact"/>
        <w:rPr>
          <w:rFonts w:ascii="Arial" w:cs="Arial" w:eastAsia="Arial" w:hAnsi="Arial"/>
          <w:sz w:val="20"/>
          <w:szCs w:val="20"/>
          <w:color w:val="auto"/>
        </w:rPr>
      </w:pPr>
    </w:p>
    <w:p>
      <w:pPr>
        <w:ind w:left="980" w:hanging="324"/>
        <w:spacing w:after="0" w:line="286"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(x) by persons who are directors and also officers and (y) by employee stock plans in which employee participants do not have the right to determine confidentially whether shares held subject to the plan will be tendered in a tender or exchange offer; or</w:t>
      </w:r>
    </w:p>
    <w:p>
      <w:pPr>
        <w:spacing w:after="0" w:line="205" w:lineRule="exact"/>
        <w:rPr>
          <w:rFonts w:ascii="Arial" w:cs="Arial" w:eastAsia="Arial" w:hAnsi="Arial"/>
          <w:sz w:val="20"/>
          <w:szCs w:val="20"/>
          <w:color w:val="auto"/>
        </w:rPr>
      </w:pPr>
    </w:p>
    <w:p>
      <w:pPr>
        <w:ind w:left="980" w:right="40" w:hanging="324"/>
        <w:spacing w:after="0" w:line="292" w:lineRule="auto"/>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Section 203 defines a business combination to include generally:</w:t>
      </w:r>
    </w:p>
    <w:p>
      <w:pPr>
        <w:spacing w:after="0" w:line="256"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merger or consolidation involving the corporation and the interested stockholder;</w:t>
      </w:r>
    </w:p>
    <w:p>
      <w:pPr>
        <w:spacing w:after="0" w:line="269" w:lineRule="exact"/>
        <w:rPr>
          <w:rFonts w:ascii="Arial" w:cs="Arial" w:eastAsia="Arial" w:hAnsi="Arial"/>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92" w:lineRule="exact"/>
        <w:rPr>
          <w:rFonts w:ascii="Arial" w:cs="Arial" w:eastAsia="Arial" w:hAnsi="Arial"/>
          <w:sz w:val="18"/>
          <w:szCs w:val="18"/>
          <w:color w:val="auto"/>
        </w:rPr>
      </w:pPr>
    </w:p>
    <w:p>
      <w:pPr>
        <w:ind w:left="980" w:right="80" w:hanging="324"/>
        <w:spacing w:after="0" w:line="300" w:lineRule="auto"/>
        <w:tabs>
          <w:tab w:leader="none" w:pos="9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transaction that results in the issuance or transfer by the corporation of any stock of the corporation to the interested stockholder except (a) pursuant to the exercise, exchange or conversion of securities exercisable for, exchangeable for or convertible into stock of such corporation, which securities were outstanding prior to the time that the interested stockholder became such, (b) pursuant to a merger of a parent and a wholly-owned subsidiary meeting specified criteria, (c) pursuant to a dividend or distribution paid or made, or the exercise, exchange or conversion of securities exercisable for, exchangeable for or convertible into stock of the corporation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the provisions described in the immediately-preceding clauses (c) through (e) shall there be an increase in the interested stockholder’s proportionate share of the stock of any class or series of the corporation or of the voting stock of the corporation;</w:t>
      </w:r>
    </w:p>
    <w:p>
      <w:pPr>
        <w:sectPr>
          <w:pgSz w:w="11900" w:h="16838" w:orient="portrait"/>
          <w:cols w:equalWidth="0" w:num="1">
            <w:col w:w="11380"/>
          </w:cols>
          <w:pgMar w:left="240" w:top="1284" w:right="279" w:bottom="1440" w:gutter="0" w:footer="0" w:header="0"/>
        </w:sectPr>
      </w:pPr>
    </w:p>
    <w:bookmarkStart w:id="104" w:name="page105"/>
    <w:bookmarkEnd w:id="104"/>
    <w:p>
      <w:pPr>
        <w:ind w:left="980" w:right="60" w:hanging="324"/>
        <w:spacing w:after="0" w:line="303" w:lineRule="auto"/>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transaction involving the corporation that has the effect of increasing the proportionate share of the stock of any class or series of the corporation beneficially owned by the interested stockholder; or</w:t>
      </w:r>
    </w:p>
    <w:p>
      <w:pPr>
        <w:spacing w:after="0" w:line="189" w:lineRule="exact"/>
        <w:rPr>
          <w:rFonts w:ascii="Arial" w:cs="Arial" w:eastAsia="Arial" w:hAnsi="Arial"/>
          <w:sz w:val="20"/>
          <w:szCs w:val="20"/>
          <w:color w:val="auto"/>
        </w:rPr>
      </w:pPr>
    </w:p>
    <w:p>
      <w:pPr>
        <w:ind w:left="980" w:right="560" w:hanging="324"/>
        <w:spacing w:after="0" w:line="303" w:lineRule="auto"/>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receipt by the interested shareholder of the benefit of any loans, advances, guarantees, pledges or other financial benefits provided by or through the corporation.</w:t>
      </w:r>
    </w:p>
    <w:p>
      <w:pPr>
        <w:spacing w:after="0" w:line="16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In general, Section 203 defines an interested stockholder as any person that is the owner of 15% or more of the outstanding voting stock of the corporation, or is an affiliate or associate of the corporation and was the owner of 15% or more of the outstanding voting stock of the corporation at any time within the 3-year period immediately prior to the date on which it is sought to be determined whether such person is an interested stockholder, and the affiliates and associates of such person.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Transfer Agent and Registrar for our Class A Common Stock is Computershare Trust Company, N.A.</w:t>
      </w:r>
    </w:p>
    <w:p>
      <w:pPr>
        <w:sectPr>
          <w:pgSz w:w="11900" w:h="16838" w:orient="portrait"/>
          <w:cols w:equalWidth="0" w:num="1">
            <w:col w:w="11380"/>
          </w:cols>
          <w:pgMar w:left="240" w:top="1311" w:right="27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CME Group Subsidiaries</w:t>
            </w:r>
          </w:p>
        </w:tc>
        <w:tc>
          <w:tcPr>
            <w:tcW w:w="4720" w:type="dxa"/>
            <w:vAlign w:val="bottom"/>
            <w:gridSpan w:val="2"/>
          </w:tcPr>
          <w:p>
            <w:pPr>
              <w:spacing w:after="0"/>
              <w:rPr>
                <w:sz w:val="17"/>
                <w:szCs w:val="17"/>
                <w:color w:val="auto"/>
              </w:rPr>
            </w:pPr>
          </w:p>
        </w:tc>
      </w:tr>
      <w:tr>
        <w:trPr>
          <w:trHeight w:val="520"/>
        </w:trPr>
        <w:tc>
          <w:tcPr>
            <w:tcW w:w="474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 of Subsidiary*</w:t>
            </w:r>
          </w:p>
        </w:tc>
        <w:tc>
          <w:tcPr>
            <w:tcW w:w="100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48"/>
        </w:trPr>
        <w:tc>
          <w:tcPr>
            <w:tcW w:w="4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Abide Financial DRSP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Abide Financial Ltd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Abide Financial Repository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Astley &amp; Pearce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Board of Trade of the City of Chicago, Inc.</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BrokerTec Americas LLC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BrokerTec Europe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BrokerTec Holdings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BrokerTec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Capital Shipbrokers LLP</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Shipbroking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C-B-T Corporation</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CFETS-NEX Markets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Chicago Mercantile Exchange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Chicago Mercantile Exchange Korea Inc.</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Republic of Korea</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w w:val="98"/>
              </w:rPr>
              <w:t>Chicago Mercantile Exchange Luxembourg Holdings S.à.r.l.</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Chicago Mercantile Exchange Luxembourg S.à.r.l.</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Luxembourg</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Amsterdam B.V.</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Benchmark Europe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Clearing Europe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Consulting (Beijing) Co. Ltd.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Digital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Digital Vault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Europe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Finance Holdings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Global Marketplace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Group Asia Holdings Pte. Ltd.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Group Australia Pty Ltd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New South Wales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Group Benchmark Administration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Group Hong Kong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Group Index Services LLC</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Group International Market Data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Group Japan Kabushiki Kaisha</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Group Marketing Canada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British Columbia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Group Singapore Operations Pte. Ltd.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Group Strategic Investments LLC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India Holdings LLC</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w w:val="96"/>
              </w:rPr>
              <w:t>CME India Technology and Support Services Private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Investment Firm B.V.</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London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Marketing Europe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Operations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4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CME Platforms Inc.</w:t>
            </w:r>
          </w:p>
        </w:tc>
        <w:tc>
          <w:tcPr>
            <w:tcW w:w="1000" w:type="dxa"/>
            <w:vAlign w:val="bottom"/>
            <w:shd w:val="clear" w:color="auto" w:fill="CCEEFF"/>
          </w:tcPr>
          <w:p>
            <w:pPr>
              <w:spacing w:after="0"/>
              <w:rPr>
                <w:sz w:val="21"/>
                <w:szCs w:val="21"/>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34"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ind w:left="40"/>
              <w:spacing w:after="0"/>
              <w:rPr>
                <w:sz w:val="20"/>
                <w:szCs w:val="20"/>
                <w:color w:val="auto"/>
              </w:rPr>
            </w:pPr>
            <w:r>
              <w:rPr>
                <w:rFonts w:ascii="Arial" w:cs="Arial" w:eastAsia="Arial" w:hAnsi="Arial"/>
                <w:sz w:val="18"/>
                <w:szCs w:val="18"/>
                <w:color w:val="auto"/>
              </w:rPr>
              <w:t>CME Shareholder Servicing LLC</w:t>
            </w:r>
          </w:p>
        </w:tc>
        <w:tc>
          <w:tcPr>
            <w:tcW w:w="6580" w:type="dxa"/>
            <w:vAlign w:val="bottom"/>
          </w:tcPr>
          <w:p>
            <w:pPr>
              <w:ind w:left="900"/>
              <w:spacing w:after="0"/>
              <w:rPr>
                <w:sz w:val="20"/>
                <w:szCs w:val="20"/>
                <w:color w:val="auto"/>
              </w:rPr>
            </w:pPr>
            <w:r>
              <w:rPr>
                <w:rFonts w:ascii="Arial" w:cs="Arial" w:eastAsia="Arial" w:hAnsi="Arial"/>
                <w:sz w:val="18"/>
                <w:szCs w:val="18"/>
                <w:color w:val="auto"/>
              </w:rPr>
              <w:t>Illinois</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Swaps Marketplace Ltd.*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 Technology and Support Services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Trade Repository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 Ventures LLC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CMEF Luxembourg S.à.r.l.</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Luxembourg</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CMEG Brazil 1 Participações Ltda.</w:t>
            </w:r>
          </w:p>
        </w:tc>
        <w:tc>
          <w:tcPr>
            <w:tcW w:w="6580" w:type="dxa"/>
            <w:vAlign w:val="bottom"/>
          </w:tcPr>
          <w:p>
            <w:pPr>
              <w:ind w:left="900"/>
              <w:spacing w:after="0"/>
              <w:rPr>
                <w:sz w:val="20"/>
                <w:szCs w:val="20"/>
                <w:color w:val="auto"/>
              </w:rPr>
            </w:pPr>
            <w:r>
              <w:rPr>
                <w:rFonts w:ascii="Arial" w:cs="Arial" w:eastAsia="Arial" w:hAnsi="Arial"/>
                <w:sz w:val="18"/>
                <w:szCs w:val="18"/>
                <w:color w:val="auto"/>
              </w:rPr>
              <w:t>Brazil</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CMEG Brazil Investments 1 LLC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CMEG Brazil Investments 2 LLC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CMEG Finance Holdings LLC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CMEG Foundation Services Inc.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CMEG México, S. de R.L. de C.V.</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Mexico</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CMEG NYMEX Holdings Inc.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CMEG Strategic Sdn. Bhd.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Malaysia</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CMESCC Inc.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COMEX Clearing Association, Inc.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New York</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Commodity Exchange, Inc.</w:t>
            </w:r>
          </w:p>
        </w:tc>
        <w:tc>
          <w:tcPr>
            <w:tcW w:w="6580" w:type="dxa"/>
            <w:vAlign w:val="bottom"/>
          </w:tcPr>
          <w:p>
            <w:pPr>
              <w:ind w:left="900"/>
              <w:spacing w:after="0"/>
              <w:rPr>
                <w:sz w:val="20"/>
                <w:szCs w:val="20"/>
                <w:color w:val="auto"/>
              </w:rPr>
            </w:pPr>
            <w:r>
              <w:rPr>
                <w:rFonts w:ascii="Arial" w:cs="Arial" w:eastAsia="Arial" w:hAnsi="Arial"/>
                <w:sz w:val="18"/>
                <w:szCs w:val="18"/>
                <w:color w:val="auto"/>
              </w:rPr>
              <w:t>New York</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ConfirmHub, LLC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EBO Investments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Malta</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(Shanghai) Information Technology Co., Ltd.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China</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EBS Dealing Resources International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Dealing Resources Japan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Japan</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EBS Dealing Resources, Inc.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Financial Technologies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Israel</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EBS Group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Holdco Inc.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EBS Investments</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No. 2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EBS No. 4, LLC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EBS Service Company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Switzerland</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Elysian Systems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e-MID SIM S.p.A.*</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Italy</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Euclid Investment Holdings Inc</w:t>
            </w:r>
          </w:p>
        </w:tc>
        <w:tc>
          <w:tcPr>
            <w:tcW w:w="65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Euclid Opportunities SA</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Luxembourg</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Garban Broking Services Limited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Garban Harlow Resources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Globex Markets Ltd.*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Godsell Astley &amp; Pearce (Foreign Exchange)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Godsell Astley &amp; Pearce (Holdings) Ltd</w:t>
            </w:r>
          </w:p>
        </w:tc>
        <w:tc>
          <w:tcPr>
            <w:tcW w:w="65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Harlow Ueda Savage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Intercapital (Germany) GmbH</w:t>
            </w:r>
          </w:p>
        </w:tc>
        <w:tc>
          <w:tcPr>
            <w:tcW w:w="6580" w:type="dxa"/>
            <w:vAlign w:val="bottom"/>
          </w:tcPr>
          <w:p>
            <w:pPr>
              <w:ind w:left="900"/>
              <w:spacing w:after="0"/>
              <w:rPr>
                <w:sz w:val="20"/>
                <w:szCs w:val="20"/>
                <w:color w:val="auto"/>
              </w:rPr>
            </w:pPr>
            <w:r>
              <w:rPr>
                <w:rFonts w:ascii="Arial" w:cs="Arial" w:eastAsia="Arial" w:hAnsi="Arial"/>
                <w:sz w:val="18"/>
                <w:szCs w:val="18"/>
                <w:color w:val="auto"/>
              </w:rPr>
              <w:t>Germany</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Intercapital (Hong Kong) Limited</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Hong Kong</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Intercapital Argentina S.A.</w:t>
            </w:r>
          </w:p>
        </w:tc>
        <w:tc>
          <w:tcPr>
            <w:tcW w:w="6580" w:type="dxa"/>
            <w:vAlign w:val="bottom"/>
          </w:tcPr>
          <w:p>
            <w:pPr>
              <w:ind w:left="900"/>
              <w:spacing w:after="0"/>
              <w:rPr>
                <w:sz w:val="20"/>
                <w:szCs w:val="20"/>
                <w:color w:val="auto"/>
              </w:rPr>
            </w:pPr>
            <w:r>
              <w:rPr>
                <w:rFonts w:ascii="Arial" w:cs="Arial" w:eastAsia="Arial" w:hAnsi="Arial"/>
                <w:sz w:val="18"/>
                <w:szCs w:val="18"/>
                <w:color w:val="auto"/>
              </w:rPr>
              <w:t>Argentina</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Intercapital Capital Markets LLC</w:t>
            </w:r>
          </w:p>
        </w:tc>
        <w:tc>
          <w:tcPr>
            <w:tcW w:w="65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Delaware</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Intercapital Lat Am Services S.A.</w:t>
            </w:r>
          </w:p>
        </w:tc>
        <w:tc>
          <w:tcPr>
            <w:tcW w:w="6580" w:type="dxa"/>
            <w:vAlign w:val="bottom"/>
          </w:tcPr>
          <w:p>
            <w:pPr>
              <w:ind w:left="900"/>
              <w:spacing w:after="0"/>
              <w:rPr>
                <w:sz w:val="20"/>
                <w:szCs w:val="20"/>
                <w:color w:val="auto"/>
              </w:rPr>
            </w:pPr>
            <w:r>
              <w:rPr>
                <w:rFonts w:ascii="Arial" w:cs="Arial" w:eastAsia="Arial" w:hAnsi="Arial"/>
                <w:sz w:val="18"/>
                <w:szCs w:val="18"/>
                <w:color w:val="auto"/>
              </w:rPr>
              <w:t>Argentina</w:t>
            </w:r>
          </w:p>
        </w:tc>
      </w:tr>
      <w:tr>
        <w:trPr>
          <w:trHeight w:val="27"/>
        </w:trPr>
        <w:tc>
          <w:tcPr>
            <w:tcW w:w="484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43"/>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Intercapital Limited</w:t>
            </w:r>
          </w:p>
        </w:tc>
        <w:tc>
          <w:tcPr>
            <w:tcW w:w="65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United Kingdom</w:t>
            </w:r>
          </w:p>
        </w:tc>
      </w:tr>
      <w:tr>
        <w:trPr>
          <w:trHeight w:val="27"/>
        </w:trPr>
        <w:tc>
          <w:tcPr>
            <w:tcW w:w="4840" w:type="dxa"/>
            <w:vAlign w:val="bottom"/>
            <w:shd w:val="clear" w:color="auto" w:fill="CCEEFF"/>
          </w:tcPr>
          <w:p>
            <w:pPr>
              <w:spacing w:after="0"/>
              <w:rPr>
                <w:sz w:val="2"/>
                <w:szCs w:val="2"/>
                <w:color w:val="auto"/>
              </w:rPr>
            </w:pPr>
          </w:p>
        </w:tc>
        <w:tc>
          <w:tcPr>
            <w:tcW w:w="65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0" w:right="2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ind w:left="40"/>
              <w:spacing w:after="0"/>
              <w:rPr>
                <w:sz w:val="20"/>
                <w:szCs w:val="20"/>
                <w:color w:val="auto"/>
              </w:rPr>
            </w:pPr>
            <w:r>
              <w:rPr>
                <w:rFonts w:ascii="Arial" w:cs="Arial" w:eastAsia="Arial" w:hAnsi="Arial"/>
                <w:sz w:val="18"/>
                <w:szCs w:val="18"/>
                <w:color w:val="auto"/>
              </w:rPr>
              <w:t>Intercapital No. 1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Intercapital No. 1 Pte. Ltd.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Singapore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Intercapital No. 2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Intercapital No. 2 Pte. Ltd.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Singapore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Intercapital No. 3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Intercapital Securities Inc</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New York</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Midhurst Chartering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Molten Markets Inc.</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Delaware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Municipal Brokers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 Mercantile Exchange, Inc.</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Delaware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Abide Trade Repository AB</w:t>
            </w:r>
          </w:p>
        </w:tc>
        <w:tc>
          <w:tcPr>
            <w:tcW w:w="7100" w:type="dxa"/>
            <w:vAlign w:val="bottom"/>
          </w:tcPr>
          <w:p>
            <w:pPr>
              <w:ind w:left="1420"/>
              <w:spacing w:after="0"/>
              <w:rPr>
                <w:sz w:val="20"/>
                <w:szCs w:val="20"/>
                <w:color w:val="auto"/>
              </w:rPr>
            </w:pPr>
            <w:r>
              <w:rPr>
                <w:rFonts w:ascii="Arial" w:cs="Arial" w:eastAsia="Arial" w:hAnsi="Arial"/>
                <w:sz w:val="18"/>
                <w:szCs w:val="18"/>
                <w:color w:val="auto"/>
              </w:rPr>
              <w:t>Sweden</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Exchange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Finance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Group Holdings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Group Investments, Inc.</w:t>
            </w:r>
          </w:p>
        </w:tc>
        <w:tc>
          <w:tcPr>
            <w:tcW w:w="710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Group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International Investments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International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Markets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Optimisation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SEF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Services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 Services North America LLC</w:t>
            </w:r>
          </w:p>
        </w:tc>
        <w:tc>
          <w:tcPr>
            <w:tcW w:w="710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 Services Pte. Ltd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Singapore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Nexstep HK 2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Hong Kong</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Nexstep HK 3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Hong Kong</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Pivot, Inc.</w:t>
            </w:r>
          </w:p>
        </w:tc>
        <w:tc>
          <w:tcPr>
            <w:tcW w:w="710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Reset Holdings Private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Singapore</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Reset Private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Singapore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Swapstream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Traiana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United Kingdom</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Traiana Technologies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Israel</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Traiana, Inc.</w:t>
            </w:r>
          </w:p>
        </w:tc>
        <w:tc>
          <w:tcPr>
            <w:tcW w:w="710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TriOptima AB</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Sweden</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TriOptima Asia Pacific Pte. Limited</w:t>
            </w:r>
          </w:p>
        </w:tc>
        <w:tc>
          <w:tcPr>
            <w:tcW w:w="7100" w:type="dxa"/>
            <w:vAlign w:val="bottom"/>
          </w:tcPr>
          <w:p>
            <w:pPr>
              <w:ind w:left="1420"/>
              <w:spacing w:after="0"/>
              <w:rPr>
                <w:sz w:val="20"/>
                <w:szCs w:val="20"/>
                <w:color w:val="auto"/>
              </w:rPr>
            </w:pPr>
            <w:r>
              <w:rPr>
                <w:rFonts w:ascii="Arial" w:cs="Arial" w:eastAsia="Arial" w:hAnsi="Arial"/>
                <w:sz w:val="18"/>
                <w:szCs w:val="18"/>
                <w:color w:val="auto"/>
              </w:rPr>
              <w:t>Singapore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TriOptima Japan K.K.</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Japan</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TriOptima North America LLC</w:t>
            </w:r>
          </w:p>
        </w:tc>
        <w:tc>
          <w:tcPr>
            <w:tcW w:w="7100" w:type="dxa"/>
            <w:vAlign w:val="bottom"/>
          </w:tcPr>
          <w:p>
            <w:pPr>
              <w:ind w:left="1420"/>
              <w:spacing w:after="0"/>
              <w:rPr>
                <w:sz w:val="20"/>
                <w:szCs w:val="20"/>
                <w:color w:val="auto"/>
              </w:rPr>
            </w:pPr>
            <w:r>
              <w:rPr>
                <w:rFonts w:ascii="Arial" w:cs="Arial" w:eastAsia="Arial" w:hAnsi="Arial"/>
                <w:sz w:val="18"/>
                <w:szCs w:val="18"/>
                <w:color w:val="auto"/>
              </w:rPr>
              <w:t>Delaware</w:t>
            </w:r>
          </w:p>
        </w:tc>
      </w:tr>
      <w:tr>
        <w:trPr>
          <w:trHeight w:val="27"/>
        </w:trPr>
        <w:tc>
          <w:tcPr>
            <w:tcW w:w="432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TriOptima UK Limited</w:t>
            </w:r>
          </w:p>
        </w:tc>
        <w:tc>
          <w:tcPr>
            <w:tcW w:w="710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United Kingdom</w:t>
            </w:r>
          </w:p>
        </w:tc>
      </w:tr>
      <w:tr>
        <w:trPr>
          <w:trHeight w:val="324"/>
        </w:trPr>
        <w:tc>
          <w:tcPr>
            <w:tcW w:w="432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243"/>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 liquidation.</w:t>
            </w:r>
          </w:p>
        </w:tc>
        <w:tc>
          <w:tcPr>
            <w:tcW w:w="7100" w:type="dxa"/>
            <w:vAlign w:val="bottom"/>
            <w:shd w:val="clear" w:color="auto" w:fill="CCEEFF"/>
          </w:tcPr>
          <w:p>
            <w:pPr>
              <w:spacing w:after="0"/>
              <w:rPr>
                <w:sz w:val="21"/>
                <w:szCs w:val="21"/>
                <w:color w:val="auto"/>
              </w:rPr>
            </w:pPr>
          </w:p>
        </w:tc>
      </w:tr>
      <w:tr>
        <w:trPr>
          <w:trHeight w:val="27"/>
        </w:trPr>
        <w:tc>
          <w:tcPr>
            <w:tcW w:w="4320" w:type="dxa"/>
            <w:vAlign w:val="bottom"/>
            <w:shd w:val="clear" w:color="auto" w:fill="CCEEFF"/>
          </w:tcPr>
          <w:p>
            <w:pPr>
              <w:spacing w:after="0"/>
              <w:rPr>
                <w:sz w:val="2"/>
                <w:szCs w:val="2"/>
                <w:color w:val="auto"/>
              </w:rPr>
            </w:pPr>
          </w:p>
        </w:tc>
        <w:tc>
          <w:tcPr>
            <w:tcW w:w="71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23.1</w:t>
      </w:r>
    </w:p>
    <w:p>
      <w:pPr>
        <w:spacing w:after="0" w:line="220" w:lineRule="exact"/>
        <w:rPr>
          <w:sz w:val="20"/>
          <w:szCs w:val="20"/>
          <w:color w:val="auto"/>
        </w:rPr>
      </w:pPr>
    </w:p>
    <w:p>
      <w:pPr>
        <w:ind w:right="2940" w:firstLine="2947"/>
        <w:spacing w:after="0" w:line="463"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left="440" w:right="20"/>
        <w:spacing w:after="0" w:line="263" w:lineRule="auto"/>
        <w:tabs>
          <w:tab w:leader="none" w:pos="765"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Registration Statement (Form S-8 No. 333-105236) pertaining to the CME Group Inc. Amended and Restated Omnibus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65"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Registration Statement (Form S-8 No. 333-159932) pertaining to the CME Group Inc. Amended and Restated Omnibus Stock Plan and the 2005 Director Stock Plan,</w:t>
      </w:r>
    </w:p>
    <w:p>
      <w:pPr>
        <w:spacing w:after="0" w:line="66" w:lineRule="exact"/>
        <w:rPr>
          <w:rFonts w:ascii="Arial" w:cs="Arial" w:eastAsia="Arial" w:hAnsi="Arial"/>
          <w:sz w:val="22"/>
          <w:szCs w:val="22"/>
          <w:color w:val="auto"/>
        </w:rPr>
      </w:pPr>
    </w:p>
    <w:p>
      <w:pPr>
        <w:ind w:left="440"/>
        <w:spacing w:after="0" w:line="287" w:lineRule="auto"/>
        <w:tabs>
          <w:tab w:leader="none" w:pos="769" w:val="left"/>
        </w:tabs>
        <w:numPr>
          <w:ilvl w:val="0"/>
          <w:numId w:val="57"/>
        </w:numPr>
        <w:rPr>
          <w:rFonts w:ascii="Arial" w:cs="Arial" w:eastAsia="Arial" w:hAnsi="Arial"/>
          <w:sz w:val="21"/>
          <w:szCs w:val="21"/>
          <w:color w:val="auto"/>
        </w:rPr>
      </w:pPr>
      <w:r>
        <w:rPr>
          <w:rFonts w:ascii="Arial" w:cs="Arial" w:eastAsia="Arial" w:hAnsi="Arial"/>
          <w:sz w:val="21"/>
          <w:szCs w:val="21"/>
          <w:color w:val="auto"/>
        </w:rPr>
        <w:t>Registration Statement ((Form S-8 and Post-Effective Amendment No. 1 No. 333-104804); Form S-8 No. 333-115656) pertaining to the Agreement between Chicago Mercantile Exchange Holdings Inc. and James J. McNulty,</w:t>
      </w:r>
    </w:p>
    <w:p>
      <w:pPr>
        <w:spacing w:after="0" w:line="43" w:lineRule="exact"/>
        <w:rPr>
          <w:rFonts w:ascii="Arial" w:cs="Arial" w:eastAsia="Arial" w:hAnsi="Arial"/>
          <w:sz w:val="21"/>
          <w:szCs w:val="21"/>
          <w:color w:val="auto"/>
        </w:rPr>
      </w:pPr>
    </w:p>
    <w:p>
      <w:pPr>
        <w:ind w:left="440"/>
        <w:spacing w:after="0" w:line="341" w:lineRule="auto"/>
        <w:tabs>
          <w:tab w:leader="none" w:pos="748" w:val="left"/>
        </w:tabs>
        <w:numPr>
          <w:ilvl w:val="0"/>
          <w:numId w:val="57"/>
        </w:numPr>
        <w:rPr>
          <w:rFonts w:ascii="Arial" w:cs="Arial" w:eastAsia="Arial" w:hAnsi="Arial"/>
          <w:sz w:val="19"/>
          <w:szCs w:val="19"/>
          <w:color w:val="auto"/>
        </w:rPr>
      </w:pPr>
      <w:r>
        <w:rPr>
          <w:rFonts w:ascii="Arial" w:cs="Arial" w:eastAsia="Arial" w:hAnsi="Arial"/>
          <w:sz w:val="19"/>
          <w:szCs w:val="19"/>
          <w:color w:val="auto"/>
        </w:rPr>
        <w:t>Registration Statement (Form S-8 No. 333-124497) pertaining to the Employee Stock Purchase Plan and the 2005 Director Stock Plan Plan and Registration Statement (Form S-8 333-182741) pertaining to the Employee Stock Purchase Plan,</w:t>
      </w:r>
    </w:p>
    <w:p>
      <w:pPr>
        <w:ind w:left="440"/>
        <w:spacing w:after="0" w:line="263" w:lineRule="auto"/>
        <w:tabs>
          <w:tab w:leader="none" w:pos="806"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Registration Statement (Form S-8 No. 333-144543) pertaining to CBOT Holdings, Inc.’s 2005 Long-Term Equity Incentive Plan,</w:t>
      </w:r>
    </w:p>
    <w:p>
      <w:pPr>
        <w:spacing w:after="0" w:line="66" w:lineRule="exact"/>
        <w:rPr>
          <w:rFonts w:ascii="Arial" w:cs="Arial" w:eastAsia="Arial" w:hAnsi="Arial"/>
          <w:sz w:val="22"/>
          <w:szCs w:val="22"/>
          <w:color w:val="auto"/>
        </w:rPr>
      </w:pPr>
    </w:p>
    <w:p>
      <w:pPr>
        <w:jc w:val="both"/>
        <w:ind w:left="440"/>
        <w:spacing w:after="0" w:line="253" w:lineRule="auto"/>
        <w:tabs>
          <w:tab w:leader="none" w:pos="782"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Registration Statement (Form S-8 No. 333-153462) and Post-Effective Amendments No. 1 and No. 2 to Registration Statement on Form S-4 (Form S-8 No. 333-151577) pertaining to the NYMEX Holdings, Inc.’s 2006 Omnibus Long-Term Incentive Plan,</w:t>
      </w:r>
    </w:p>
    <w:p>
      <w:pPr>
        <w:spacing w:after="0" w:line="77" w:lineRule="exact"/>
        <w:rPr>
          <w:rFonts w:ascii="Arial" w:cs="Arial" w:eastAsia="Arial" w:hAnsi="Arial"/>
          <w:sz w:val="22"/>
          <w:szCs w:val="22"/>
          <w:color w:val="auto"/>
        </w:rPr>
      </w:pPr>
    </w:p>
    <w:p>
      <w:pPr>
        <w:ind w:left="740" w:hanging="300"/>
        <w:spacing w:after="0"/>
        <w:tabs>
          <w:tab w:leader="none" w:pos="7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Registration Statement (Form S-8 No. 333-182741) pertaining to the Employee Stock Purchase Plan,</w:t>
      </w:r>
    </w:p>
    <w:p>
      <w:pPr>
        <w:spacing w:after="0" w:line="111" w:lineRule="exact"/>
        <w:rPr>
          <w:rFonts w:ascii="Arial" w:cs="Arial" w:eastAsia="Arial" w:hAnsi="Arial"/>
          <w:sz w:val="22"/>
          <w:szCs w:val="22"/>
          <w:color w:val="auto"/>
        </w:rPr>
      </w:pPr>
    </w:p>
    <w:p>
      <w:pPr>
        <w:ind w:left="440" w:right="20"/>
        <w:spacing w:after="0" w:line="263" w:lineRule="auto"/>
        <w:tabs>
          <w:tab w:leader="none" w:pos="765"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Registration Statement (Form S-3ASR No. 333-163473)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spacing w:after="0" w:line="263" w:lineRule="auto"/>
        <w:tabs>
          <w:tab w:leader="none" w:pos="766"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Registration Statement (Form S-3ASR No. 333-185311)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right="20"/>
        <w:spacing w:after="0" w:line="263" w:lineRule="auto"/>
        <w:tabs>
          <w:tab w:leader="none" w:pos="866"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Registration Statement (Form S-3ASR No. 333-208334)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spacing w:after="0" w:line="263" w:lineRule="auto"/>
        <w:tabs>
          <w:tab w:leader="none" w:pos="859"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Registration Statement (Form S-3ASR No. 333-232982) Shelf Registration Statement for the offering of debt securities, Class A Common Stock, Preferred Stock and Warrants.</w:t>
      </w:r>
    </w:p>
    <w:p>
      <w:pPr>
        <w:spacing w:after="0" w:line="200" w:lineRule="exact"/>
        <w:rPr>
          <w:sz w:val="20"/>
          <w:szCs w:val="20"/>
          <w:color w:val="auto"/>
        </w:rPr>
      </w:pP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February 28, 2020, with respect to the consolidated financial statements and schedule of CME Group Inc., and the effectiveness of internal control over financial reporting of CME Group Inc., included in this Annual Report (Form 10-K) of CME Group Inc.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28, 2020</w:t>
      </w:r>
    </w:p>
    <w:p>
      <w:pPr>
        <w:sectPr>
          <w:pgSz w:w="11900" w:h="16838" w:orient="portrait"/>
          <w:cols w:equalWidth="0" w:num="1">
            <w:col w:w="11420"/>
          </w:cols>
          <w:pgMar w:left="240" w:top="409"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620" w:hanging="180"/>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Terrence A. Duffy</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53"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620" w:hanging="180"/>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Pietrowicz</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53"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2019 as filed with the Securities and Exchange Commission on the date hereof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52" w:lineRule="exact"/>
        <w:rPr>
          <w:sz w:val="20"/>
          <w:szCs w:val="20"/>
          <w:color w:val="auto"/>
        </w:rPr>
      </w:pPr>
    </w:p>
    <w:p>
      <w:pPr>
        <w:ind w:left="1140" w:hanging="254"/>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Terrence A. Duffy</w:t>
      </w:r>
    </w:p>
    <w:p>
      <w:pPr>
        <w:spacing w:after="0" w:line="86" w:lineRule="exact"/>
        <w:rPr>
          <w:sz w:val="20"/>
          <w:szCs w:val="20"/>
          <w:color w:val="auto"/>
        </w:rPr>
      </w:pPr>
    </w:p>
    <w:p>
      <w:pPr>
        <w:sectPr>
          <w:pgSz w:w="11900" w:h="16838" w:orient="portrait"/>
          <w:cols w:equalWidth="0" w:num="2">
            <w:col w:w="520" w:space="320"/>
            <w:col w:w="10580"/>
          </w:cols>
          <w:pgMar w:left="240" w:top="553"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ectPr>
          <w:pgSz w:w="11900" w:h="16838" w:orient="portrait"/>
          <w:cols w:equalWidth="0" w:num="2">
            <w:col w:w="420" w:space="420"/>
            <w:col w:w="10580"/>
          </w:cols>
          <w:pgMar w:left="240" w:top="553"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February 28, 2020</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John W. Pietrowicz</w:t>
      </w:r>
    </w:p>
    <w:p>
      <w:pPr>
        <w:spacing w:after="0" w:line="86" w:lineRule="exact"/>
        <w:rPr>
          <w:sz w:val="20"/>
          <w:szCs w:val="20"/>
          <w:color w:val="auto"/>
        </w:rPr>
      </w:pPr>
    </w:p>
    <w:p>
      <w:pPr>
        <w:sectPr>
          <w:pgSz w:w="11900" w:h="16838" w:orient="portrait"/>
          <w:cols w:equalWidth="0" w:num="2">
            <w:col w:w="520" w:space="320"/>
            <w:col w:w="10580"/>
          </w:cols>
          <w:pgMar w:left="240" w:top="553"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420" w:space="420"/>
            <w:col w:w="10580"/>
          </w:cols>
          <w:pgMar w:left="240" w:top="553"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2020</w:t>
      </w:r>
    </w:p>
    <w:p>
      <w:pPr>
        <w:spacing w:after="0" w:line="252"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5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3"/>
    </w:lvl>
  </w:abstractNum>
  <w:abstractNum w:abstractNumId="42">
    <w:nsid w:val="4F4EF005"/>
    <w:multiLevelType w:val="hybridMultilevel"/>
    <w:lvl w:ilvl="0">
      <w:lvlJc w:val="left"/>
      <w:lvlText w:val="%1."/>
      <w:numFmt w:val="decimal"/>
      <w:start w:val="3"/>
    </w:lvl>
  </w:abstractNum>
  <w:abstractNum w:abstractNumId="43">
    <w:nsid w:val="23F9C13C"/>
    <w:multiLevelType w:val="hybridMultilevel"/>
    <w:lvl w:ilvl="0">
      <w:lvlJc w:val="left"/>
      <w:lvlText w:val="%1."/>
      <w:numFmt w:val="decimal"/>
      <w:start w:val="4"/>
    </w:lvl>
  </w:abstractNum>
  <w:abstractNum w:abstractNumId="44">
    <w:nsid w:val="649BB77C"/>
    <w:multiLevelType w:val="hybridMultilevel"/>
    <w:lvl w:ilvl="0">
      <w:lvlJc w:val="left"/>
      <w:lvlText w:val="%1."/>
      <w:numFmt w:val="decimal"/>
      <w:start w:val="10"/>
    </w:lvl>
  </w:abstractNum>
  <w:abstractNum w:abstractNumId="45">
    <w:nsid w:val="275AC794"/>
    <w:multiLevelType w:val="hybridMultilevel"/>
    <w:lvl w:ilvl="0">
      <w:lvlJc w:val="left"/>
      <w:lvlText w:val="%1"/>
      <w:numFmt w:val="decimal"/>
      <w:start w:val="101"/>
    </w:lvl>
  </w:abstractNum>
  <w:abstractNum w:abstractNumId="46">
    <w:nsid w:val="39386575"/>
    <w:multiLevelType w:val="hybridMultilevel"/>
    <w:lvl w:ilvl="0">
      <w:lvlJc w:val="left"/>
      <w:lvlText w:val="%1"/>
      <w:numFmt w:val="decimal"/>
      <w:start w:val="104"/>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decimal"/>
      <w:start w:val="5"/>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lowerLetter"/>
      <w:start w:val="1"/>
    </w:lvl>
  </w:abstractNum>
  <w:abstractNum w:abstractNumId="63">
    <w:nsid w:val="2F305DEF"/>
    <w:multiLevelType w:val="hybridMultilevel"/>
    <w:lvl w:ilvl="0">
      <w:lvlJc w:val="left"/>
      <w:lvlText w:val="%1."/>
      <w:numFmt w:val="decimal"/>
      <w:start w:val="5"/>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66" Type="http://schemas.openxmlformats.org/officeDocument/2006/relationships/image" Target="media/image25.png"/><Relationship Id="rId67" Type="http://schemas.openxmlformats.org/officeDocument/2006/relationships/image" Target="media/image26.png"/><Relationship Id="rId70" Type="http://schemas.openxmlformats.org/officeDocument/2006/relationships/image" Target="media/image27.png"/><Relationship Id="rId71" Type="http://schemas.openxmlformats.org/officeDocument/2006/relationships/image" Target="media/image28.png"/><Relationship Id="rId72" Type="http://schemas.openxmlformats.org/officeDocument/2006/relationships/image" Target="media/image29.png"/><Relationship Id="rId73" Type="http://schemas.openxmlformats.org/officeDocument/2006/relationships/image" Target="media/image30.png"/><Relationship Id="rId32" Type="http://schemas.openxmlformats.org/officeDocument/2006/relationships/hyperlink" Target="http://www.sec.gov/Archives/edgar/data/1156375/000119312512251430/d359429dex31.htm" TargetMode="External"/><Relationship Id="rId33" Type="http://schemas.openxmlformats.org/officeDocument/2006/relationships/hyperlink" Target="http://www.sec.gov/Archives/edgar/data/1156375/000119312520028129/d883148dex31.htm" TargetMode="External"/><Relationship Id="rId34" Type="http://schemas.openxmlformats.org/officeDocument/2006/relationships/hyperlink" Target="http://www.sec.gov/Archives/edgar/data/1156375/000115637515000014/cme-2014123110kex41.htm" TargetMode="External"/><Relationship Id="rId35" Type="http://schemas.openxmlformats.org/officeDocument/2006/relationships/hyperlink" Target="http://www.sec.gov/Archives/edgar/data/1156375/000115637515000014/cme-2014123110kex42.htm" TargetMode="External"/><Relationship Id="rId36" Type="http://schemas.openxmlformats.org/officeDocument/2006/relationships/hyperlink" Target="http://www.sec.gov/Archives/edgar/data/1156375/000115637515000014/cme-2014123110kex43.htm" TargetMode="External"/><Relationship Id="rId37" Type="http://schemas.openxmlformats.org/officeDocument/2006/relationships/hyperlink" Target="http://www.sec.gov/Archives/edgar/data/1156375/000115637515000014/cme-2014123110kex44.htm" TargetMode="External"/><Relationship Id="rId38" Type="http://schemas.openxmlformats.org/officeDocument/2006/relationships/hyperlink" Target="http://www.sec.gov/Archives/edgar/data/1156375/000119312508176550/dex41.htm" TargetMode="External"/><Relationship Id="rId39" Type="http://schemas.openxmlformats.org/officeDocument/2006/relationships/hyperlink" Target="http://www.sec.gov/Archives/edgar/data/1156375/000119312512386203/d405801dex42.htm" TargetMode="External"/><Relationship Id="rId40" Type="http://schemas.openxmlformats.org/officeDocument/2006/relationships/hyperlink" Target="http://www.sec.gov/Archives/edgar/data/1156375/000119312513360978/d594525dex42.htm" TargetMode="External"/><Relationship Id="rId41" Type="http://schemas.openxmlformats.org/officeDocument/2006/relationships/hyperlink" Target="http://www.sec.gov/Archives/edgar/data/1156375/000119312515082491/d887316dex42.htm" TargetMode="External"/><Relationship Id="rId42" Type="http://schemas.openxmlformats.org/officeDocument/2006/relationships/hyperlink" Target="http://www.sec.gov/Archives/edgar/data/1156375/000119312518199544/d771010dex42.htm" TargetMode="External"/><Relationship Id="rId43" Type="http://schemas.openxmlformats.org/officeDocument/2006/relationships/hyperlink" Target="http://www.sec.gov/Archives/edgar/data/1156375/000119312518199544/d771010dex43.htm" TargetMode="External"/><Relationship Id="rId44" Type="http://schemas.openxmlformats.org/officeDocument/2006/relationships/hyperlink" Target="http://www.sec.gov/Archives/edgar/data/1156375/000119312517186768/d594804dex102.htm" TargetMode="External"/><Relationship Id="rId45" Type="http://schemas.openxmlformats.org/officeDocument/2006/relationships/hyperlink" Target="http://www.sec.gov/Archives/edgar/data/1156375/000115637518000026/cme-2017123110kex102.htm" TargetMode="External"/><Relationship Id="rId46" Type="http://schemas.openxmlformats.org/officeDocument/2006/relationships/hyperlink" Target="http://www.sec.gov/Archives/edgar/data/1156375/000115637518000026/cme-2017123110kex103.htm" TargetMode="External"/><Relationship Id="rId47" Type="http://schemas.openxmlformats.org/officeDocument/2006/relationships/hyperlink" Target="http://www.sec.gov/Archives/edgar/data/1156375/000119312514214151/d733968dex101.htm" TargetMode="External"/><Relationship Id="rId48" Type="http://schemas.openxmlformats.org/officeDocument/2006/relationships/hyperlink" Target="http://www.sec.gov/Archives/edgar/data/1156375/000115637518000026/cme-2017123110kex105.htm" TargetMode="External"/><Relationship Id="rId49" Type="http://schemas.openxmlformats.org/officeDocument/2006/relationships/hyperlink" Target="http://www.sec.gov/Archives/edgar/data/1156375/000119312512251430/d359429dex102.htm" TargetMode="External"/><Relationship Id="rId50" Type="http://schemas.openxmlformats.org/officeDocument/2006/relationships/hyperlink" Target="http://www.sec.gov/Archives/edgar/data/1156375/000115637513000007/cme-2012123110kex107.htm" TargetMode="External"/><Relationship Id="rId51" Type="http://schemas.openxmlformats.org/officeDocument/2006/relationships/hyperlink" Target="http://www.sec.gov/Archives/edgar/data/1156375/000115637517000080/cme-201763010qex101.htm" TargetMode="External"/><Relationship Id="rId52" Type="http://schemas.openxmlformats.org/officeDocument/2006/relationships/hyperlink" Target="http://www.sec.gov/Archives/edgar/data/1156375/000119312509042361/dex109.htm" TargetMode="External"/><Relationship Id="rId53" Type="http://schemas.openxmlformats.org/officeDocument/2006/relationships/hyperlink" Target="http://www.sec.gov/Archives/edgar/data/1156375/000119312508040449/dex109.htm" TargetMode="External"/><Relationship Id="rId54" Type="http://schemas.openxmlformats.org/officeDocument/2006/relationships/hyperlink" Target="http://www.sec.gov/Archives/edgar/data/1103945/000095013100001428/0000950131-00-001428.txt" TargetMode="External"/><Relationship Id="rId55" Type="http://schemas.openxmlformats.org/officeDocument/2006/relationships/hyperlink" Target="http://www.sec.gov/Archives/edgar/data/1105018/000095012301002844/y46628ex10-11.txt" TargetMode="External"/><Relationship Id="rId56" Type="http://schemas.openxmlformats.org/officeDocument/2006/relationships/hyperlink" Target="http://www.sec.gov/Archives/edgar/data/1156375/000115637515000108/cme-201593010qex101.htm" TargetMode="External"/><Relationship Id="rId57" Type="http://schemas.openxmlformats.org/officeDocument/2006/relationships/hyperlink" Target="http://www.sec.gov/Archives/edgar/data/1156375/000119312517186768/d594804dex101.htm" TargetMode="External"/><Relationship Id="rId58" Type="http://schemas.openxmlformats.org/officeDocument/2006/relationships/hyperlink" Target="http://www.sec.gov/Archives/edgar/data/1156375/000115637514000012/cme-2013123110kex1017.htm" TargetMode="External"/><Relationship Id="rId59" Type="http://schemas.openxmlformats.org/officeDocument/2006/relationships/hyperlink" Target="http://www.sec.gov/Archives/edgar/data/1156375/000115637515000014/cme-2014123110kex1016.htm" TargetMode="External"/><Relationship Id="rId60" Type="http://schemas.openxmlformats.org/officeDocument/2006/relationships/hyperlink" Target="http://www.sec.gov/Archives/edgar/data/1156375/000115637514000012/cme-2013123110kex1018.htm" TargetMode="External"/><Relationship Id="rId61" Type="http://schemas.openxmlformats.org/officeDocument/2006/relationships/hyperlink" Target="http://www.sec.gov/Archives/edgar/data/1156375/000115637515000014/cme-2014123110kex1017.htm" TargetMode="External"/><Relationship Id="rId62" Type="http://schemas.openxmlformats.org/officeDocument/2006/relationships/hyperlink" Target="http://www.sec.gov/Archives/edgar/data/1156375/000119312519316912/d851626dex101.htm" TargetMode="External"/><Relationship Id="rId63" Type="http://schemas.openxmlformats.org/officeDocument/2006/relationships/hyperlink" Target="http://www.sec.gov/Archives/edgar/data/1156375/000119312518322722/d644644dex101.htm" TargetMode="External"/><Relationship Id="rId64" Type="http://schemas.openxmlformats.org/officeDocument/2006/relationships/hyperlink" Target="http://www.sec.gov/Archives/edgar/data/1156375/000115637512000093/cme-201263010qex106.htm" TargetMode="External"/><Relationship Id="rId65" Type="http://schemas.openxmlformats.org/officeDocument/2006/relationships/hyperlink" Target="http://www.sec.gov/Archives/edgar/data/1156375/000115637517000114/a20171121seniorcreditfacil.htm" TargetMode="External"/><Relationship Id="rId68" Type="http://schemas.openxmlformats.org/officeDocument/2006/relationships/hyperlink" Target="http://www.sec.gov/Archives/edgar/data/1156375/000119312518320479/d581440dex101.htm" TargetMode="External"/><Relationship Id="rId69" Type="http://schemas.openxmlformats.org/officeDocument/2006/relationships/hyperlink" Target="http://www.sec.gov/Archives/edgar/data/1156375/000119312519138410/d73240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2020-02-28T13:04:46Z</dcterms:created>
  <dcterms:modified xsi:type="dcterms:W3CDTF">2020-02-28T13:04:46Z</dcterms:modified>
</cp:coreProperties>
</file>