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74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September 30, 2014</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October 13, 2014 was as follows: 336,838,277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19"/>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Statements</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September 30, 2014 and December 31, 2013</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Income for the Quarters and Nine Months Ended September 30, 2014 and 2013</w:t>
              </w:r>
            </w:hyperlink>
          </w:p>
        </w:tc>
        <w:tc>
          <w:tcPr>
            <w:tcW w:w="2920" w:type="dxa"/>
            <w:vAlign w:val="bottom"/>
            <w:gridSpan w:val="2"/>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Comprehensive Income for the Quarters and Nine Months Ended September 30, 2014 and 2013</w:t>
              </w:r>
            </w:hyperlink>
          </w:p>
        </w:tc>
        <w:tc>
          <w:tcPr>
            <w:tcW w:w="5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8020" w:type="dxa"/>
            <w:vAlign w:val="bottom"/>
            <w:tcBorders>
              <w:top w:val="single" w:sz="8" w:color="0000EE"/>
            </w:tcBorders>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Equity for the Nine Months Ended September 30, 2014 and 2013</w:t>
              </w:r>
            </w:hyperlink>
          </w:p>
        </w:tc>
        <w:tc>
          <w:tcPr>
            <w:tcW w:w="188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Consolidated Statements of Cash Flows for the Nine Months Ended September 30, 2014 and 2013</w:t>
              </w:r>
            </w:hyperlink>
          </w:p>
        </w:tc>
        <w:tc>
          <w:tcPr>
            <w:tcW w:w="3520" w:type="dxa"/>
            <w:vAlign w:val="bottom"/>
            <w:gridSpan w:val="3"/>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Notes to Unaudited Consolidated Financial Statements</w:t>
              </w:r>
            </w:hyperlink>
          </w:p>
        </w:tc>
        <w:tc>
          <w:tcPr>
            <w:tcW w:w="56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9"/>
          </w:tcPr>
          <w:p>
            <w:pPr>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7">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3"/>
          </w:tcPr>
          <w:p>
            <w:pPr>
              <w:spacing w:after="0"/>
              <w:rPr>
                <w:sz w:val="24"/>
                <w:szCs w:val="24"/>
                <w:color w:val="auto"/>
              </w:rPr>
            </w:pPr>
          </w:p>
        </w:tc>
        <w:tc>
          <w:tcPr>
            <w:tcW w:w="376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7">
              <w:r>
                <w:rPr>
                  <w:rFonts w:ascii="Arial" w:cs="Arial" w:eastAsia="Arial" w:hAnsi="Arial"/>
                  <w:sz w:val="16"/>
                  <w:szCs w:val="16"/>
                  <w:b w:val="1"/>
                  <w:bCs w:val="1"/>
                  <w:color w:val="0000EE"/>
                  <w:w w:val="88"/>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58"/>
        </w:trPr>
        <w:tc>
          <w:tcPr>
            <w:tcW w:w="10820" w:type="dxa"/>
            <w:vAlign w:val="bottom"/>
            <w:gridSpan w:val="20"/>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 OTHER INFORMATION</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7">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340" w:type="dxa"/>
            <w:vAlign w:val="bottom"/>
            <w:gridSpan w:val="13"/>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7">
              <w:r>
                <w:rPr>
                  <w:rFonts w:ascii="Arial" w:cs="Arial" w:eastAsia="Arial" w:hAnsi="Arial"/>
                  <w:sz w:val="16"/>
                  <w:szCs w:val="16"/>
                  <w:b w:val="1"/>
                  <w:bCs w:val="1"/>
                  <w:color w:val="0000EE"/>
                  <w:w w:val="89"/>
                </w:rPr>
                <w:t>Risk Factors</w:t>
              </w:r>
            </w:hyperlink>
          </w:p>
        </w:tc>
        <w:tc>
          <w:tcPr>
            <w:tcW w:w="9020" w:type="dxa"/>
            <w:vAlign w:val="bottom"/>
            <w:gridSpan w:val="16"/>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19"/>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Mine Safety Disclosures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Exhibits</w:t>
              </w:r>
            </w:hyperlink>
          </w:p>
        </w:tc>
        <w:tc>
          <w:tcPr>
            <w:tcW w:w="826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340" w:type="dxa"/>
            <w:vAlign w:val="bottom"/>
            <w:gridSpan w:val="17"/>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780" w:type="dxa"/>
            <w:vAlign w:val="bottom"/>
            <w:gridSpan w:val="18"/>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Unless otherwise indicated, references to CME Group Inc. (CME Group)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information about CME Group and its products can be found at 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credit default swaps, CME Clearing Europe Limited and CME Europe Limited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jc w:val="both"/>
        <w:ind w:left="660" w:right="1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2014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40" w:type="dxa"/>
            <w:vAlign w:val="bottom"/>
          </w:tcPr>
          <w:p>
            <w:pPr>
              <w:spacing w:after="0"/>
              <w:rPr>
                <w:sz w:val="24"/>
                <w:szCs w:val="24"/>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$1.0 and $1.2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$37.0 and $40.0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209.7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24,405.6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$745.1 and $678.4</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2,741.2</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$74.7 and $74.0 in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63,970.3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1,169.8</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32,627.9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23,311.0</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7,308.4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7,249.7</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42,433.2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33,117.3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Preferred stock, $0.01 par value, 10,000 shares authorized at September 30, 2014 and December 31,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2013; none issued</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9"/>
              </w:rPr>
              <w:t>Class A common stock, $0.01 par value, 1,000,000 shares authorized at September 30, 2014 and</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2"/>
              </w:rPr>
              <w:t>December 31, 2013; 334,985 and 333,852 shares issued and outstanding as of September 30, 2014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December 31, 2013, respectively</w:t>
            </w: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September 30,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2014 and December 31, 2013</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17,561.3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17,504.9</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63,970.3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1,903.3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1,883.6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2,249.3</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392.3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77.4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56.7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1,313.8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1,297.6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1,294.0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783.7</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10"/>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334,424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332,763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334,144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332,355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336,172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334,674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335,820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2"/>
              </w:rPr>
              <w:t>334,055</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of gain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128.8</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Amortization of effective portion of net (gain) loss on cash flow hedges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751.6</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stock of $1.41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effect and gain related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purchase of non-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w w:val="99"/>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5"/>
        </w:trPr>
        <w:tc>
          <w:tcPr>
            <w:tcW w:w="22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8"/>
              </w:rPr>
              <w:t>Balance at September 30,</w:t>
            </w:r>
          </w:p>
        </w:tc>
        <w:tc>
          <w:tcPr>
            <w:tcW w:w="9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334,985</w:t>
            </w:r>
          </w:p>
        </w:tc>
        <w:tc>
          <w:tcPr>
            <w:tcW w:w="120" w:type="dxa"/>
            <w:vAlign w:val="bottom"/>
          </w:tcPr>
          <w:p>
            <w:pPr>
              <w:spacing w:after="0"/>
              <w:rPr>
                <w:sz w:val="17"/>
                <w:szCs w:val="17"/>
                <w:color w:val="auto"/>
              </w:rPr>
            </w:pPr>
          </w:p>
        </w:tc>
        <w:tc>
          <w:tcPr>
            <w:tcW w:w="8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17,564.6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3,842.0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21,537.1</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21,537.1</w:t>
            </w:r>
          </w:p>
        </w:tc>
        <w:tc>
          <w:tcPr>
            <w:tcW w:w="0" w:type="dxa"/>
            <w:vAlign w:val="bottom"/>
          </w:tcPr>
          <w:p>
            <w:pPr>
              <w:spacing w:after="0"/>
              <w:rPr>
                <w:sz w:val="1"/>
                <w:szCs w:val="1"/>
                <w:color w:val="auto"/>
              </w:rPr>
            </w:pPr>
          </w:p>
        </w:tc>
      </w:tr>
      <w:tr>
        <w:trPr>
          <w:trHeight w:val="246"/>
        </w:trPr>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783.5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$1.35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Tax effect and gain related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 purchase of non-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5"/>
        </w:trPr>
        <w:tc>
          <w:tcPr>
            <w:tcW w:w="21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Balance at September 30,</w:t>
            </w:r>
          </w:p>
        </w:tc>
        <w:tc>
          <w:tcPr>
            <w:tcW w:w="9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333,438</w:t>
            </w:r>
          </w:p>
        </w:tc>
        <w:tc>
          <w:tcPr>
            <w:tcW w:w="120" w:type="dxa"/>
            <w:vAlign w:val="bottom"/>
          </w:tcPr>
          <w:p>
            <w:pPr>
              <w:spacing w:after="0"/>
              <w:rPr>
                <w:sz w:val="17"/>
                <w:szCs w:val="17"/>
                <w:color w:val="auto"/>
              </w:rPr>
            </w:pPr>
          </w:p>
        </w:tc>
        <w:tc>
          <w:tcPr>
            <w:tcW w:w="92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17,468.6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4,326.5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21,972.3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21,977.9</w:t>
            </w:r>
          </w:p>
        </w:tc>
        <w:tc>
          <w:tcPr>
            <w:tcW w:w="0" w:type="dxa"/>
            <w:vAlign w:val="bottom"/>
          </w:tcPr>
          <w:p>
            <w:pPr>
              <w:spacing w:after="0"/>
              <w:rPr>
                <w:sz w:val="1"/>
                <w:szCs w:val="1"/>
                <w:color w:val="auto"/>
              </w:rPr>
            </w:pPr>
          </w:p>
        </w:tc>
      </w:tr>
      <w:tr>
        <w:trPr>
          <w:trHeight w:val="246"/>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785.0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net (gains)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748.7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1,604.7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534.6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r>
      <w:tr>
        <w:trPr>
          <w:trHeight w:val="270"/>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their respective subsidiaries (collectively, the exchange).</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2014 and December 31, 2013 and the results of operations and cash flows for the periods indicated. Quarterly results are not necessarily indicative of results for any subsequent period. Certain reclassifications have been made to the prior years' financial statements to conform to the presentation in the current year.</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2013, filed with the Securities and Exchange Commission (SEC) on February 28,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Performance Bonds and Guaranty Fund Contributions. </w:t>
      </w:r>
      <w:r>
        <w:rPr>
          <w:rFonts w:ascii="Arial" w:cs="Arial" w:eastAsia="Arial" w:hAnsi="Arial"/>
          <w:sz w:val="18"/>
          <w:szCs w:val="18"/>
          <w:color w:val="auto"/>
        </w:rPr>
        <w:t>At September 30, 2014, performance bonds and guaranty fund contributions assets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include cash and U.S. Treasury securities with maturity dates of 60 days or less. U.S. Treasury securities are purchased by CME, at its discretion, using cash collateral. The benefits, including interest earned, and risks of ownership accrue to CME. Interest earned is included in investment income on the consolidated statements of income. At September 30, 2014, the amortized cost and fair value of the U.S. Treasury securities were both $5.5 billion. The U.S. Treasury securities matured in October 2014.</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CMECE (CME Clearing Europe Limited) mark-to-market open positions for all products at least once a day</w:t>
      </w:r>
      <w:r>
        <w:rPr>
          <w:rFonts w:ascii="Arial" w:cs="Arial" w:eastAsia="Arial" w:hAnsi="Arial"/>
          <w:sz w:val="16"/>
          <w:szCs w:val="16"/>
          <w:i w:val="1"/>
          <w:iCs w:val="1"/>
          <w:color w:val="auto"/>
        </w:rPr>
        <w:t xml:space="preserve"> </w:t>
      </w:r>
      <w:r>
        <w:rPr>
          <w:rFonts w:ascii="Arial" w:cs="Arial" w:eastAsia="Arial" w:hAnsi="Arial"/>
          <w:sz w:val="16"/>
          <w:szCs w:val="16"/>
          <w:color w:val="auto"/>
        </w:rPr>
        <w:t>(twice a day for futures and options contracts). Based on values derived from the mark-to-market process, CME and CMECE require payment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 over-the-counter credit default swap and interest rate swap contracts, the maximum exposure related to CME's guarantee would be one full day of changes in fair value of all open positions, before considering CME's ability to access defaulting clearing firms' collateral. During the first nine months of 2014, CME and CMECE transferred an average of approximately $2.7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the guarantee liability is immaterial and therefore has not recorded any liability at September 30, 2014.</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2014 and December 31, 2013:</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2,203.9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2,275.6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2,212.3</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18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Total amortization expense for intangible assets was $25.3 million and $25.6 million for the quarters ended September 30, 2014 and 2013, respectively. Total amortization expense for intangible assets was $75.7 million and $77.4 million for the nine months ended September 30, 2014 and 2013, respectively. As of September 30, 2014, the future estimated amortization expense related to amortizable intangible assets is expected to be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2014</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2015</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99.5</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2017</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95.5</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2019</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1,706.9</w:t>
            </w:r>
          </w:p>
        </w:tc>
      </w:tr>
      <w:tr>
        <w:trPr>
          <w:trHeight w:val="567"/>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12</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September 30, 2014 and December 31,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57"/>
        </w:trPr>
        <w:tc>
          <w:tcPr>
            <w:tcW w:w="802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September 30, 2014 and December 31, 2013:</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rates notes due September 2043, stated rate of 5.30% </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2,107.7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CME Group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September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612.5</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fixed rate notes due 2018, which are classified as level 3 under the fair value hierarchy, was derived using a standard valuation model with market-based observable inputs including U.S. Treasury yields and interest rate spreads. The fair values of the fixed rate notes due 2022 and 2043, which are classified as level 2 under the fair value hierarchy, were estimated using quoted market prices. For more information about the fair value hierarchy, see note 8. At September 30, 2014, the fair values of the fixed rate notes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 stated rate of 4.40%</w:t>
            </w:r>
          </w:p>
        </w:tc>
        <w:tc>
          <w:tcPr>
            <w:tcW w:w="2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655.7</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748.4</w:t>
            </w:r>
          </w:p>
        </w:tc>
      </w:tr>
      <w:tr>
        <w:trPr>
          <w:trHeight w:val="27"/>
        </w:trPr>
        <w:tc>
          <w:tcPr>
            <w:tcW w:w="7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869.2</w:t>
            </w:r>
          </w:p>
        </w:tc>
      </w:tr>
      <w:tr>
        <w:trPr>
          <w:trHeight w:val="27"/>
        </w:trPr>
        <w:tc>
          <w:tcPr>
            <w:tcW w:w="77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and October 2013, the USPTO issued actions resulting in the rejection of all TRG’s claims completing the reexamination process. In January 2014, TRG appealed the decision of the USPTO. Based on its investigation to date and advice from legal counsel, the company believes this suit is without merit and intends to defend itself vigorously against these charges.</w:t>
      </w:r>
    </w:p>
    <w:p>
      <w:pPr>
        <w:spacing w:after="0" w:line="1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foregoing legal matters involve alleged infringements of intellectual property which, due to their nature, involve potential liability that is uncertain, difficult to quantify and involves a wide range of potential outcomes. The company believes that the matters are without merit, and the company intends to defend itself vigorously against the claims. We expect the re-examinations by the USPTO in the Fifth Market and Garber matters, including any appeals thereof, to result in a determination of the validity of the patents at issue which we expect will have an impact on the merits of the matters. Given the uncertainty of factors which may potentially impact the resolution of these matters, at this time the company is unable to estimate the reasonably possible loss or range of reasonably possible loss in the unlikely event it were found to be liable at trial in these matters.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2013, the CFTC filed suit against NYMEX and two former employees alleging disclosure of confidential customer information in violation of the Commodity Exchange Act. NYMEX’s motion to dismiss was denied on September 30, 2014. Based on its investigation to date and advice from legal counsel, the company believes that it has strong factual and legal defenses to the claim.</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September 30, 2014 and December 31, 2013, the company had accrued $4.3 million and $11.3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2015.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U.S. Treasury securities or irrevocable, standby letters of credit. At September 30, 2014, CME was contingently liable to SGX on letters of credit totaling $410.0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September 30, 2014.</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Family Farmer and Rancher Protection Fund. </w:t>
      </w:r>
      <w:r>
        <w:rPr>
          <w:rFonts w:ascii="Arial" w:cs="Arial" w:eastAsia="Arial" w:hAnsi="Arial"/>
          <w:sz w:val="18"/>
          <w:szCs w:val="18"/>
          <w:color w:val="auto"/>
        </w:rPr>
        <w:t>In 2012, the company established the Family Farmer and Rancher Protection Fund (the Fund). The Fund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payment amount of $100.0 million. Since its establishment, the Fund has made payments of approximately $2.0 million, which leaves $98.0 million available for future claims. If payments to participants were to exceed the amount remaining in the fund at the time of insolvency, payments would be pro-rated. Clearing members and customers must register in advance with the company and provide certain documentation in order to substantiate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their eligibility. The company believes that its guarantee liability is immaterial and therefore has not recorded any liability at September 30, 2014.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2014</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Level 1 assets generally include U.S. Treasury securities and investments in publicly traded stocks and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are measured at fair value based on a price matrix using prices of similar securities with similar inputs such as maturity dates, interest rates and credit ratings.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are included in level 3 because management uses significant unobservable inputs, including a discount rate of 20% and payout probabilities ranging from 0% to 90%. Significant increases or decreases in any of those inputs in isolation would result in a significantly different fair value.</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Financial assets and liabilities recorded in the consolidated balance sheet as of September 30, 2014 were classified in their entirety based on the lowest level of input that was significant to each asset or liability's fair value measurement. The following presents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September 30, 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53.2</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51"/>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 bonds and guaranty fund contributions: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35"/>
        </w:trPr>
        <w:tc>
          <w:tcPr>
            <w:tcW w:w="5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70"/>
        </w:trPr>
        <w:tc>
          <w:tcPr>
            <w:tcW w:w="516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5,500.0</w:t>
            </w: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6,061.5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6,061.9</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5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21.1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00" w:hanging="244"/>
        <w:spacing w:after="0" w:line="277"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September 30, 2014 include cash collateral that has been invested in U.S. Treasury securities.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or level 3 during the first nine months of 2014. The following is a reconciliation of level 3 liabilities valued at fair value on a recurring basis. There were no level 3 assets valued at fair value on a recurring basis during the first nine months of 2014.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2013</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September 30, 2014</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level 3 assets or level 3 liabilities valued at fair value on a nonrecurring basis during the first nine months of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8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1680" w:type="dxa"/>
            <w:vAlign w:val="bottom"/>
            <w:gridSpan w:val="3"/>
          </w:tcPr>
          <w:p>
            <w:pPr>
              <w:jc w:val="center"/>
              <w:ind w:left="679"/>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4"/>
                <w:szCs w:val="24"/>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Stock options</w:t>
            </w:r>
          </w:p>
        </w:tc>
        <w:tc>
          <w:tcPr>
            <w:tcW w:w="11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BFE4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auto"/>
            </w:tcBorders>
            <w:shd w:val="clear" w:color="auto" w:fill="BFE4FF"/>
          </w:tcPr>
          <w:p>
            <w:pPr>
              <w:spacing w:after="0"/>
              <w:rPr>
                <w:sz w:val="22"/>
                <w:szCs w:val="22"/>
                <w:color w:val="auto"/>
              </w:rPr>
            </w:pPr>
          </w:p>
        </w:tc>
        <w:tc>
          <w:tcPr>
            <w:tcW w:w="740" w:type="dxa"/>
            <w:vAlign w:val="bottom"/>
            <w:tcBorders>
              <w:bottom w:val="single" w:sz="8" w:color="auto"/>
            </w:tcBorders>
            <w:shd w:val="clear" w:color="auto" w:fill="BFE4FF"/>
          </w:tcPr>
          <w:p>
            <w:pPr>
              <w:jc w:val="right"/>
              <w:ind w:right="34"/>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auto"/>
            </w:tcBorders>
            <w:shd w:val="clear" w:color="auto" w:fill="BFE4FF"/>
          </w:tcPr>
          <w:p>
            <w:pPr>
              <w:spacing w:after="0"/>
              <w:rPr>
                <w:sz w:val="22"/>
                <w:szCs w:val="22"/>
                <w:color w:val="auto"/>
              </w:rPr>
            </w:pPr>
          </w:p>
        </w:tc>
        <w:tc>
          <w:tcPr>
            <w:tcW w:w="72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820.6</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334,424</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w w:val="89"/>
              </w:rPr>
              <w:t>332,763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334,144</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w w:val="92"/>
              </w:rPr>
              <w:t>332,355</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BFE4FF"/>
            </w:tcBorders>
            <w:shd w:val="clear" w:color="auto" w:fill="BFE4FF"/>
          </w:tcPr>
          <w:p>
            <w:pPr>
              <w:spacing w:after="0"/>
              <w:rPr>
                <w:sz w:val="22"/>
                <w:szCs w:val="22"/>
                <w:color w:val="auto"/>
              </w:rPr>
            </w:pPr>
          </w:p>
        </w:tc>
        <w:tc>
          <w:tcPr>
            <w:tcW w:w="9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336,172</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7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w w:val="89"/>
              </w:rPr>
              <w:t>334,674</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335,820</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7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w w:val="92"/>
              </w:rPr>
              <w:t>334,055</w:t>
            </w:r>
          </w:p>
        </w:tc>
        <w:tc>
          <w:tcPr>
            <w:tcW w:w="0" w:type="dxa"/>
            <w:vAlign w:val="bottom"/>
          </w:tcPr>
          <w:p>
            <w:pPr>
              <w:spacing w:after="0"/>
              <w:rPr>
                <w:sz w:val="1"/>
                <w:szCs w:val="1"/>
                <w:color w:val="auto"/>
              </w:rPr>
            </w:pPr>
          </w:p>
        </w:tc>
      </w:tr>
      <w:tr>
        <w:trPr>
          <w:trHeight w:val="20"/>
        </w:trPr>
        <w:tc>
          <w:tcPr>
            <w:tcW w:w="654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34"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2013.</w:t>
      </w:r>
    </w:p>
    <w:p>
      <w:pPr>
        <w:spacing w:after="0" w:line="124" w:lineRule="exact"/>
        <w:rPr>
          <w:sz w:val="20"/>
          <w:szCs w:val="20"/>
          <w:color w:val="auto"/>
        </w:rPr>
      </w:pPr>
    </w:p>
    <w:p>
      <w:pPr>
        <w:jc w:val="both"/>
        <w:ind w:right="400"/>
        <w:spacing w:after="0" w:line="297"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120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3"/>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762.4</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2,271.4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3"/>
              </w:rPr>
              <w:t>2,249.3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974.5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935.5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104</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290.0</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820.6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783.7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common share attributable</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BFE4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BFE4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BFE4FF"/>
            </w:tcBorders>
            <w:shd w:val="clear" w:color="auto" w:fill="BFE4FF"/>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BFE4FF"/>
            </w:tcBorders>
            <w:shd w:val="clear" w:color="auto" w:fill="BFE4FF"/>
          </w:tcPr>
          <w:p>
            <w:pPr>
              <w:jc w:val="right"/>
              <w:ind w:right="133"/>
              <w:spacing w:after="0"/>
              <w:rPr>
                <w:sz w:val="20"/>
                <w:szCs w:val="20"/>
                <w:color w:val="auto"/>
              </w:rPr>
            </w:pPr>
            <w:r>
              <w:rPr>
                <w:rFonts w:ascii="Arial" w:cs="Arial" w:eastAsia="Arial" w:hAnsi="Arial"/>
                <w:sz w:val="18"/>
                <w:szCs w:val="18"/>
                <w:color w:val="auto"/>
              </w:rPr>
              <w:t>4</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898.6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567"/>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ind w:left="480"/>
              <w:spacing w:after="0"/>
              <w:rPr>
                <w:sz w:val="20"/>
                <w:szCs w:val="20"/>
                <w:color w:val="auto"/>
              </w:rPr>
            </w:pPr>
            <w:r>
              <w:rPr>
                <w:rFonts w:ascii="Arial" w:cs="Arial" w:eastAsia="Arial" w:hAnsi="Arial"/>
                <w:sz w:val="14"/>
                <w:szCs w:val="14"/>
                <w:b w:val="1"/>
                <w:bCs w:val="1"/>
                <w:color w:val="auto"/>
              </w:rPr>
              <w:t>Quarter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120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641.8</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7 %</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1,883.6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238.9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(38)</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762.4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2,271.4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2,249.3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houses as well as cleared-only contracts. Volume is measured in round turns, which is considered a completed transaction that involves a purchase and an offsetting sale of a contract. Average rate per contract is determined by dividing total clearing and transaction fees by total contract volume. Volume and average rate per contract disclosures exclude our CME interest rate swap, CME credit default swap, CMECE and CME Europe contracts.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863.4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769.1</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2,492.6</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2,436.3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626.3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586.2</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1,861.6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9"/>
              </w:rPr>
              <w:t>1,861.8</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0.725</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0.764</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7"/>
        </w:trPr>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the third quarter and first nine months of 2014 when compared with the same periods in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changes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Decreases due to changes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(decrease)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the change in each is only an approximation.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Clearing and transaction fees as presented on the consolidated statements of income include revenues for our cleared-only CME interest rate swap and CME credit default swap contracts. In the third quarter and first nine months of 2014 when compared with the same periods in 2013, clearing and transaction fees generated from these contracts increased by $3.9 million and $20.1 million, respectively. The increases in revenues were largely attributable to increases in CME interest rate swap contract volumes resulting from the over-the-counter clearing mandate required to be implemented starting in mid-2013 by the Dodd-Frank Wall Street Reform and Consumer Protection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6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4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2013</w:t>
            </w:r>
          </w:p>
        </w:tc>
        <w:tc>
          <w:tcPr>
            <w:tcW w:w="14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2013</w:t>
            </w: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5,839</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23 %</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6,117</w:t>
            </w: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2,409</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2,700</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947</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(21)</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5</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1,609</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1,711</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4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12,018</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12</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12,959</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10,199</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14</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11,404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11,203</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w:t>
            </w: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646</w:t>
            </w:r>
          </w:p>
        </w:tc>
        <w:tc>
          <w:tcPr>
            <w:tcW w:w="1480" w:type="dxa"/>
            <w:vAlign w:val="bottom"/>
            <w:tcBorders>
              <w:bottom w:val="single" w:sz="8" w:color="CCEEFF"/>
            </w:tcBorders>
          </w:tcPr>
          <w:p>
            <w:pPr>
              <w:jc w:val="right"/>
              <w:ind w:right="251"/>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688</w:t>
            </w:r>
          </w:p>
        </w:tc>
        <w:tc>
          <w:tcPr>
            <w:tcW w:w="12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w:t>
            </w: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13,493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12,018</w:t>
            </w:r>
          </w:p>
        </w:tc>
        <w:tc>
          <w:tcPr>
            <w:tcW w:w="14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13,259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12,959</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900" w:right="460" w:hanging="244"/>
        <w:spacing w:after="0" w:line="277" w:lineRule="auto"/>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Privately negotiated venue average daily volume includes both traditional block trades as well as what was historically categorized as CME ClearPort.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8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2013</w:t>
            </w: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1,619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1,188</w:t>
            </w:r>
          </w:p>
        </w:tc>
        <w:tc>
          <w:tcPr>
            <w:tcW w:w="1420" w:type="dxa"/>
            <w:vAlign w:val="bottom"/>
          </w:tcPr>
          <w:p>
            <w:pPr>
              <w:ind w:left="940"/>
              <w:spacing w:after="0"/>
              <w:rPr>
                <w:sz w:val="20"/>
                <w:szCs w:val="20"/>
                <w:color w:val="auto"/>
              </w:rPr>
            </w:pPr>
            <w:r>
              <w:rPr>
                <w:rFonts w:ascii="Arial" w:cs="Arial" w:eastAsia="Arial" w:hAnsi="Arial"/>
                <w:sz w:val="18"/>
                <w:szCs w:val="18"/>
                <w:color w:val="auto"/>
              </w:rPr>
              <w:t>36%</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1,502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1,202</w:t>
            </w: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1,082</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4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26</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1,046</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919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761</w:t>
            </w:r>
          </w:p>
        </w:tc>
        <w:tc>
          <w:tcPr>
            <w:tcW w:w="1420" w:type="dxa"/>
            <w:vAlign w:val="bottom"/>
          </w:tcPr>
          <w:p>
            <w:pPr>
              <w:ind w:left="940"/>
              <w:spacing w:after="0"/>
              <w:rPr>
                <w:sz w:val="20"/>
                <w:szCs w:val="20"/>
                <w:color w:val="auto"/>
              </w:rPr>
            </w:pPr>
            <w:r>
              <w:rPr>
                <w:rFonts w:ascii="Arial" w:cs="Arial" w:eastAsia="Arial" w:hAnsi="Arial"/>
                <w:sz w:val="18"/>
                <w:szCs w:val="18"/>
                <w:color w:val="auto"/>
              </w:rPr>
              <w:t>21</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841</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42</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1,671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1,498</w:t>
            </w:r>
          </w:p>
        </w:tc>
        <w:tc>
          <w:tcPr>
            <w:tcW w:w="1420" w:type="dxa"/>
            <w:vAlign w:val="bottom"/>
          </w:tcPr>
          <w:p>
            <w:pPr>
              <w:ind w:left="940"/>
              <w:spacing w:after="0"/>
              <w:rPr>
                <w:sz w:val="20"/>
                <w:szCs w:val="20"/>
                <w:color w:val="auto"/>
              </w:rPr>
            </w:pPr>
            <w:r>
              <w:rPr>
                <w:rFonts w:ascii="Arial" w:cs="Arial" w:eastAsia="Arial" w:hAnsi="Arial"/>
                <w:sz w:val="18"/>
                <w:szCs w:val="18"/>
                <w:color w:val="auto"/>
              </w:rPr>
              <w:t>12</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1,683</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1,704</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914</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c>
          <w:tcPr>
            <w:tcW w:w="14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19</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888</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55"/>
              <w:spacing w:after="0"/>
              <w:rPr>
                <w:sz w:val="20"/>
                <w:szCs w:val="20"/>
                <w:color w:val="auto"/>
              </w:rPr>
            </w:pPr>
            <w:r>
              <w:rPr>
                <w:rFonts w:ascii="Arial" w:cs="Arial" w:eastAsia="Arial" w:hAnsi="Arial"/>
                <w:sz w:val="18"/>
                <w:szCs w:val="18"/>
                <w:color w:val="auto"/>
              </w:rPr>
              <w:t>437</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1420" w:type="dxa"/>
            <w:vAlign w:val="bottom"/>
          </w:tcPr>
          <w:p>
            <w:pPr>
              <w:ind w:left="940"/>
              <w:spacing w:after="0"/>
              <w:rPr>
                <w:sz w:val="20"/>
                <w:szCs w:val="20"/>
                <w:color w:val="auto"/>
              </w:rPr>
            </w:pPr>
            <w:r>
              <w:rPr>
                <w:rFonts w:ascii="Arial" w:cs="Arial" w:eastAsia="Arial" w:hAnsi="Arial"/>
                <w:sz w:val="18"/>
                <w:szCs w:val="18"/>
                <w:color w:val="auto"/>
              </w:rPr>
              <w:t>13</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418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(15)</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308</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4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41</w:t>
            </w:r>
          </w:p>
        </w:tc>
        <w:tc>
          <w:tcPr>
            <w:tcW w:w="16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281</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r>
      <w:tr>
        <w:trPr>
          <w:trHeight w:val="27"/>
        </w:trPr>
        <w:tc>
          <w:tcPr>
            <w:tcW w:w="3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Overall interest rate volumes increased in the third quarter and first nine months of 2014 when compared with the same periods in 2013. We believe volumes for U.S. Treasury contracts and Eurodollar futures and options contracts increased in the third quarter of 2014 as a result of increased volatility driven by changing expectations regarding near-term Federal Reserve actions.</w:t>
      </w:r>
    </w:p>
    <w:p>
      <w:pPr>
        <w:spacing w:after="0" w:line="1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U.S. Treasury contract volumes remained flat in the first nine months of 2014 when compared with the same period in 2013 despite the increase in volumes during the third quarter of 2014. We believe volumes were higher in the first half of 2013 due to short periods of high volatility created by the Federal Reserve's activities with respect to their quantitative easing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6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2013</w:t>
            </w:r>
          </w:p>
        </w:tc>
        <w:tc>
          <w:tcPr>
            <w:tcW w:w="14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2013</w:t>
            </w: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2,035</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1,931</w:t>
            </w:r>
          </w:p>
        </w:tc>
        <w:tc>
          <w:tcPr>
            <w:tcW w:w="14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2,057</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278</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222</w:t>
            </w:r>
          </w:p>
        </w:tc>
        <w:tc>
          <w:tcPr>
            <w:tcW w:w="1440" w:type="dxa"/>
            <w:vAlign w:val="bottom"/>
          </w:tcPr>
          <w:p>
            <w:pPr>
              <w:jc w:val="right"/>
              <w:ind w:right="216"/>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301</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236</w:t>
            </w: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Overall equity volumes increased in the third quarter of 2014 when compared with the same period in 2013. We believe this resulted primarily due to geopolitical events that led to a short period of relatively high volatility in late July 2014 as well as a more gradual increase in broad market volatility in September 2014.</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Equity volumes decreased slightly in the first nine months of 2014 when compared with the same period in 2013 despite the increase in the third quarter of 2014. The decrease was primarily due to a decrease in E-mini S&amp;P 500 contract volumes resulting from lower volatility in early 2014. Equity market volatility was very low in the first half of 2014 compared with the short periods of high volatility in the first half of 2013. We believe the infrequency of significant events, as well as the cautionary stance of the Federal Reserve with respect to interest rates, contributed to gradual, upward movement in the equity market over the first nine months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231</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219</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5"/>
              </w:rPr>
              <w:t>(24)%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144</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144</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201</w:t>
            </w:r>
          </w:p>
        </w:tc>
        <w:tc>
          <w:tcPr>
            <w:tcW w:w="1360" w:type="dxa"/>
            <w:vAlign w:val="bottom"/>
          </w:tcPr>
          <w:p>
            <w:pPr>
              <w:ind w:left="880"/>
              <w:spacing w:after="0"/>
              <w:rPr>
                <w:sz w:val="20"/>
                <w:szCs w:val="20"/>
                <w:color w:val="auto"/>
              </w:rPr>
            </w:pPr>
            <w:r>
              <w:rPr>
                <w:rFonts w:ascii="Arial" w:cs="Arial" w:eastAsia="Arial" w:hAnsi="Arial"/>
                <w:sz w:val="18"/>
                <w:szCs w:val="18"/>
                <w:color w:val="auto"/>
              </w:rPr>
              <w:t>(28)</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120</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113</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(13)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105</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(2)</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91</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360" w:type="dxa"/>
            <w:vAlign w:val="bottom"/>
          </w:tcPr>
          <w:p>
            <w:pPr>
              <w:ind w:left="880"/>
              <w:spacing w:after="0"/>
              <w:rPr>
                <w:sz w:val="20"/>
                <w:szCs w:val="20"/>
                <w:color w:val="auto"/>
              </w:rPr>
            </w:pPr>
            <w:r>
              <w:rPr>
                <w:rFonts w:ascii="Arial" w:cs="Arial" w:eastAsia="Arial" w:hAnsi="Arial"/>
                <w:sz w:val="18"/>
                <w:szCs w:val="18"/>
                <w:color w:val="auto"/>
              </w:rPr>
              <w:t>(24)</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64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overall decreases in foreign exchange contract volumes in the first nine months of 2014 when compared with the same period in 2013 were attributable to decreases in exchange rate volatility across all major currencies. We believe subdued expectations regarding interest rate changes across European countries and Japan led to decreases in exchange rate volatility throughout these regions. Additionally, allegations regarding possible collusion by certain foreign exchange market participants in other marketplaces had a continued negative impact on overall global foreign exchange product trading during the first nine months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321</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356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249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242</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243</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135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8</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154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92</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3</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98</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overall agricultural commodity contract volume increased in the third quarter of 2014 when compared with the same period in 2013. We believe that geopolitical concerns in Russia and Ukraine contributed to higher wheat contract volumes in the first nine months of 2014. Hedgers seeking protection against falling prices may have also contributed to the increase in volumes in the third quarter of 2014 when compared to the same period in 2013.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Arial" w:cs="Arial" w:eastAsia="Arial" w:hAnsi="Arial"/>
                <w:sz w:val="14"/>
                <w:szCs w:val="14"/>
                <w:b w:val="1"/>
                <w:bCs w:val="1"/>
                <w:color w:val="auto"/>
                <w:w w:val="94"/>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811</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840</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754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ind w:left="740"/>
              <w:spacing w:after="0"/>
              <w:rPr>
                <w:sz w:val="20"/>
                <w:szCs w:val="20"/>
                <w:color w:val="auto"/>
              </w:rPr>
            </w:pPr>
            <w:r>
              <w:rPr>
                <w:rFonts w:ascii="Arial" w:cs="Arial" w:eastAsia="Arial" w:hAnsi="Arial"/>
                <w:sz w:val="18"/>
                <w:szCs w:val="18"/>
                <w:color w:val="auto"/>
              </w:rPr>
              <w:t>383</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420</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(9)</w:t>
            </w:r>
          </w:p>
        </w:tc>
        <w:tc>
          <w:tcPr>
            <w:tcW w:w="1640" w:type="dxa"/>
            <w:vAlign w:val="bottom"/>
          </w:tcPr>
          <w:p>
            <w:pPr>
              <w:ind w:left="740"/>
              <w:spacing w:after="0"/>
              <w:rPr>
                <w:sz w:val="20"/>
                <w:szCs w:val="20"/>
                <w:color w:val="auto"/>
              </w:rPr>
            </w:pPr>
            <w:r>
              <w:rPr>
                <w:rFonts w:ascii="Arial" w:cs="Arial" w:eastAsia="Arial" w:hAnsi="Arial"/>
                <w:sz w:val="18"/>
                <w:szCs w:val="18"/>
                <w:color w:val="auto"/>
              </w:rPr>
              <w:t>449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524</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294</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289</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Overall energy contract volumes decreased in the third quarter and first nine months of 2014 when compared with the same periods of 2013. We believe the declines in crude oil and natural gas contract volumes were attributable to low overall price levels due to increasing U.S. energy production. Refined products contract volumes decreased in the first nine months of 2014 when compared with the same periods in 2013 due to decreases in demand in the underlying physical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177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w:t>
            </w:r>
          </w:p>
        </w:tc>
        <w:tc>
          <w:tcPr>
            <w:tcW w:w="14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(18)%</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187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5"/>
              </w:rPr>
              <w:t>(24)%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Silver</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56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460" w:type="dxa"/>
            <w:vAlign w:val="bottom"/>
          </w:tcPr>
          <w:p>
            <w:pPr>
              <w:ind w:left="880"/>
              <w:spacing w:after="0"/>
              <w:rPr>
                <w:sz w:val="20"/>
                <w:szCs w:val="20"/>
                <w:color w:val="auto"/>
              </w:rPr>
            </w:pPr>
            <w:r>
              <w:rPr>
                <w:rFonts w:ascii="Arial" w:cs="Arial" w:eastAsia="Arial" w:hAnsi="Arial"/>
                <w:sz w:val="18"/>
                <w:szCs w:val="18"/>
                <w:color w:val="auto"/>
              </w:rPr>
              <w:t>(12)</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63</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360" w:type="dxa"/>
            <w:vAlign w:val="bottom"/>
          </w:tcPr>
          <w:p>
            <w:pPr>
              <w:ind w:left="88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(12)</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Overall metal contract volumes decreased in the third quarter and first nine months of 2014 when compared with the same periods of 2013 due to lower metals price volatility. In early 2013, short periods of high volatility were caused by improved macroeconomic data. In addition, demand for gold continued to slow due to lower economic growth rates in India and China, which are both large consumers of gold. Prices remained stable due to a strengthening U.S. dollar and the expectation of an increase in U.S. interest rates.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average rate per contract decreased in the third quarter and first nine months of 2014 when compared with the same periods in 2013 due to shifts in the relative mix of product volume. Interest rate product volume, when measured as a percentage of total volume, increased by 5 percentage points in the third quarter and first nine months of 2014, while nearly all other product lines decreased. Interest rate contracts have a lower average rate per contract compared with other product lines.</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 addition, increases in incentives and discounts on our energy contracts as well as increases in tier discounts on Eurodollar products also resulted in decreases in the average rate per contracts in the third quarter and first nine months of 2014 when compared with the same periods in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12% of our clearing and transaction fees in the first nine months of 2014.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increases in market data and information services revenues in the third quarter and first nine months of 2014 were attributable to a $15 fee increase for basic real-time market data services at the beginning of 2014. The increases were partially offset by continuing declines in market data subscriber counts attributable to cost-cutting initiatives at customer firms.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43% of our market data and information services revenue in the first nine months of 2014.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decrease in other revenues in the first nine months of 2014 was partly attributable to $8.7 million of fees earned under our technology agreement with BM&amp;FBOVESPA S.A. and $5.1 million of insurance proceeds related to Hurricane Sandy, both of which were recognized in the first quarter of 2013. Additionally, we sold the NYMEX building in the fourth quarter of 2013, which resulted in decreases in other revenues of $1.0 million and $5.4 million in the third quarter and first nine months of 2014, respectively, due to lost rental income. Lastly, trading revenues generated by GFX Corporation declined by $2.8 million and $3.8 million in the third quarter and first nine months of 2014, respectively, when compared to the same periods in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2013</w:t>
            </w: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85.4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131</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314.1</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935.5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351"/>
              <w:spacing w:after="0"/>
              <w:rPr>
                <w:sz w:val="20"/>
                <w:szCs w:val="20"/>
                <w:color w:val="auto"/>
              </w:rPr>
            </w:pPr>
            <w:r>
              <w:rPr>
                <w:rFonts w:ascii="Arial" w:cs="Arial" w:eastAsia="Arial" w:hAnsi="Arial"/>
                <w:sz w:val="18"/>
                <w:szCs w:val="18"/>
                <w:color w:val="auto"/>
              </w:rPr>
              <w:t>22</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expenses increased by $17.9 million and $39.0 million in the third quarter and first nine months of 2014 when compared with the same periods in 2013. The following table shows the estimated impacts of key factors resulting in changes in 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Business enhancements and platform development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acquisition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Non-qualified deferred compensation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accruals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Security breach</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MF Global bankruptcy claim</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in the third quarter and first nine months of 2014 when compared with the same periods in 2013 due to increases as follows:</w:t>
      </w:r>
    </w:p>
    <w:p>
      <w:pPr>
        <w:spacing w:after="0" w:line="248" w:lineRule="exact"/>
        <w:rPr>
          <w:sz w:val="20"/>
          <w:szCs w:val="20"/>
          <w:color w:val="auto"/>
        </w:rPr>
      </w:pPr>
    </w:p>
    <w:p>
      <w:pPr>
        <w:ind w:left="660" w:right="1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benefits expenses increased as a result of increases in average headcount related to efforts to expand our product offerings and geographic reach as well as to meet additional regulatory requirements. In October 2014, the company reduced its global workforce by approximately 150 positions as part of a recently announced reorganization. Severance and other costs related to the reorganization are expected to impact primarily the fourth quarter of 2014.</w:t>
      </w:r>
    </w:p>
    <w:p>
      <w:pPr>
        <w:spacing w:after="0" w:line="18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fees and depreciation and amortization expense rose due to the development and continued enhancement of our product offerings and our electronic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recognized professional fees and other expenses related to our proposed transaction with GFI Group Inc.</w:t>
      </w:r>
    </w:p>
    <w:p>
      <w:pPr>
        <w:spacing w:after="0" w:line="225"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third quarter of 2014, we recognized a net loss of $12.8 million due to an unfavorable change in exchange rates on foreign cash balances, compared with a net gain of $12.0 million in the third quarter of 2013. In the first nine months of 2014, we recognized a net loss of $4.2 million due to an unfavorable change in exchange rates on foreign cash balances, compared with a net gain of $1.6 million in the first nine months of 2013. Gains and losses from exchange rate fluctuations result when subsidiaries with a U.S. dollar functional currency hold cash as well as certain other monetary assets and liabilities denominated in foreign currencies. We expect to continue to incur gains and losses from exchange rate fluctuations as long as this is the case.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Increases in overall operating expenses in the third quarter and first nine months of 2014 when compared with the same periods in 2013 were partially offset by decreases as follows:</w:t>
      </w:r>
    </w:p>
    <w:p>
      <w:pPr>
        <w:spacing w:after="0" w:line="170" w:lineRule="exact"/>
        <w:rPr>
          <w:sz w:val="20"/>
          <w:szCs w:val="20"/>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Bonus expense decreased due to performance relative to our 2014 cash earnings target when compared with 2013 performance relative to our 2013 cash earnings target.</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our non-qualified deferred compensation liability, the impact of which does not affect net income because of an equal and offsetting change in investment income, contributed to a decrease in operating expenses.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reduction in litigation accruals due to a favorable court ruling and a denial for a rehearing in the first quarter of 2014 also contributed to a decrease in operating expenses in the first nine months of 2014.</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legal and other consulting services related to a security breach in 2013 partially offset the increase in overall expenses in the third quarter and first nine months of 2014.</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second quarter of 2014, we recognized the settlement of our claim in the MF Global bankruptcy filing as a reduction to other expenses.</w:t>
      </w:r>
    </w:p>
    <w:p>
      <w:pPr>
        <w:sectPr>
          <w:pgSz w:w="11900" w:h="16838" w:orient="portrait"/>
          <w:cols w:equalWidth="0" w:num="1">
            <w:col w:w="11420"/>
          </w:cols>
          <w:pgMar w:left="240" w:top="125"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w:t>
            </w:r>
          </w:p>
        </w:tc>
        <w:tc>
          <w:tcPr>
            <w:tcW w:w="134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(112.8)</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(20)</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Equity in net gains (losses) of unconsolidated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w:t>
            </w:r>
          </w:p>
        </w:tc>
        <w:tc>
          <w:tcPr>
            <w:tcW w:w="13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104</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overall decreases in investment income in the third quarter and first nine months of 2014 when compared with the same periods in 2013 were largely due to decreases in dividend income and reduced gains on marketable securities related to our non-qualified deferred compensation plan. Gains and losses from securities in the non-qualified deferred compensation plan are offset by an equal amount of compensation and benefits expense. These decreases were partially offset by increases in earnings from cash performance bond and guaranty fund contributions that are reinvested. The increase in cash performance bond and guaranty fund contributions was due to an increase in open interest as well as a shift in clearing firm collateral preferences towards cash.</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the key impacts in the overall decreases in interest expense and other borrowing costs in the third quarter and first nine months of 2014 when compared with the same periods in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60" w:type="dxa"/>
            <w:vAlign w:val="bottom"/>
            <w:gridSpan w:val="2"/>
          </w:tcPr>
          <w:p>
            <w:pPr>
              <w:jc w:val="right"/>
              <w:ind w:right="574"/>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22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28"/>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w:t>
            </w:r>
          </w:p>
        </w:tc>
        <w:tc>
          <w:tcPr>
            <w:tcW w:w="1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   2,112.5</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2,537.5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(425.0)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2,236.6</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2,754.2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(517.6)</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1120" w:type="dxa"/>
            <w:vAlign w:val="bottom"/>
          </w:tcPr>
          <w:p>
            <w:pPr>
              <w:jc w:val="right"/>
              <w:spacing w:after="0"/>
              <w:rPr>
                <w:sz w:val="20"/>
                <w:szCs w:val="20"/>
                <w:color w:val="auto"/>
              </w:rPr>
            </w:pPr>
            <w:r>
              <w:rPr>
                <w:rFonts w:ascii="Arial" w:cs="Arial" w:eastAsia="Arial" w:hAnsi="Arial"/>
                <w:sz w:val="18"/>
                <w:szCs w:val="18"/>
                <w:color w:val="auto"/>
              </w:rPr>
              <w:t>4.15%</w:t>
            </w: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(0.46)%</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1160" w:type="dxa"/>
            <w:vAlign w:val="bottom"/>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7"/>
        </w:trPr>
        <w:tc>
          <w:tcPr>
            <w:tcW w:w="4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4.36</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4.81</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4.42</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4.91</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(0.49)</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w:t>
      </w:r>
    </w:p>
    <w:p>
      <w:pPr>
        <w:spacing w:after="0" w:line="170" w:lineRule="exact"/>
        <w:rPr>
          <w:sz w:val="20"/>
          <w:szCs w:val="20"/>
          <w:color w:val="auto"/>
        </w:rPr>
      </w:pPr>
    </w:p>
    <w:p>
      <w:pPr>
        <w:ind w:left="60" w:right="40"/>
        <w:spacing w:after="0" w:line="257" w:lineRule="auto"/>
        <w:rPr>
          <w:sz w:val="20"/>
          <w:szCs w:val="20"/>
          <w:color w:val="auto"/>
        </w:rPr>
      </w:pPr>
      <w:r>
        <w:rPr>
          <w:rFonts w:ascii="Arial" w:cs="Arial" w:eastAsia="Arial" w:hAnsi="Arial"/>
          <w:sz w:val="18"/>
          <w:szCs w:val="18"/>
          <w:color w:val="auto"/>
        </w:rPr>
        <w:t>In the first quarter of 2014, we repaid the 5.75% fixed rate notes due February 2014. In the third quarter of 2013, we repaid $750.0 million of 5.4% fixed rate notes due August 2013 and issued $750.0 million of 5.3% fixed rate notes due September 2043. We entered into an interest rate swap agreement that resulted in an effective interest rate of 4.73% on the 5.3% fixed rate notes due September 2043. These factors contributed to decreases in weighted average borrowings outstanding, weighted average effective yield and average cost of borrowings in the third quarter and first nine months of 2014 when compared with the same periods in 2013.</w:t>
      </w:r>
    </w:p>
    <w:p>
      <w:pPr>
        <w:spacing w:after="0" w:line="188"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Higher income generated from our S&amp;P/DJI business venture contributed to an increase in equity in net gains (losses) of unconsolidated subsidiaries in the first nine months of 2014 when compared with the same period in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2013</w:t>
            </w:r>
          </w:p>
        </w:tc>
      </w:tr>
      <w:tr>
        <w:trPr>
          <w:trHeight w:val="250"/>
        </w:trPr>
        <w:tc>
          <w:tcPr>
            <w:tcW w:w="9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Quarter Ended September 30</w:t>
            </w:r>
          </w:p>
        </w:tc>
        <w:tc>
          <w:tcPr>
            <w:tcW w:w="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32.4%</w:t>
            </w:r>
          </w:p>
        </w:tc>
        <w:tc>
          <w:tcPr>
            <w:tcW w:w="1320" w:type="dxa"/>
            <w:vAlign w:val="bottom"/>
            <w:tcBorders>
              <w:bottom w:val="single" w:sz="8" w:color="BFE4FF"/>
            </w:tcBorders>
            <w:shd w:val="clear" w:color="auto" w:fill="BFE4FF"/>
          </w:tcPr>
          <w:p>
            <w:pPr>
              <w:ind w:left="700"/>
              <w:spacing w:after="0"/>
              <w:rPr>
                <w:sz w:val="20"/>
                <w:szCs w:val="20"/>
                <w:color w:val="auto"/>
              </w:rPr>
            </w:pPr>
            <w:r>
              <w:rPr>
                <w:rFonts w:ascii="Arial" w:cs="Arial" w:eastAsia="Arial" w:hAnsi="Arial"/>
                <w:sz w:val="18"/>
                <w:szCs w:val="18"/>
                <w:color w:val="auto"/>
              </w:rPr>
              <w:t>40.8%</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Nine Months Ended September 30</w:t>
            </w:r>
          </w:p>
        </w:tc>
        <w:tc>
          <w:tcPr>
            <w:tcW w:w="860" w:type="dxa"/>
            <w:vAlign w:val="bottom"/>
          </w:tcPr>
          <w:p>
            <w:pPr>
              <w:ind w:left="20"/>
              <w:spacing w:after="0"/>
              <w:rPr>
                <w:sz w:val="20"/>
                <w:szCs w:val="20"/>
                <w:color w:val="auto"/>
              </w:rPr>
            </w:pPr>
            <w:r>
              <w:rPr>
                <w:rFonts w:ascii="Arial" w:cs="Arial" w:eastAsia="Arial" w:hAnsi="Arial"/>
                <w:sz w:val="18"/>
                <w:szCs w:val="18"/>
                <w:color w:val="auto"/>
              </w:rPr>
              <w:t>36.8</w:t>
            </w:r>
          </w:p>
        </w:tc>
        <w:tc>
          <w:tcPr>
            <w:tcW w:w="1320" w:type="dxa"/>
            <w:vAlign w:val="bottom"/>
          </w:tcPr>
          <w:p>
            <w:pPr>
              <w:ind w:left="700"/>
              <w:spacing w:after="0"/>
              <w:rPr>
                <w:sz w:val="20"/>
                <w:szCs w:val="20"/>
                <w:color w:val="auto"/>
              </w:rPr>
            </w:pPr>
            <w:r>
              <w:rPr>
                <w:rFonts w:ascii="Arial" w:cs="Arial" w:eastAsia="Arial" w:hAnsi="Arial"/>
                <w:sz w:val="18"/>
                <w:szCs w:val="18"/>
                <w:color w:val="auto"/>
              </w:rPr>
              <w:t>39.3</w:t>
            </w: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overall effective tax rate for the third quarter and the first nine months of 2014 includes a deferred income tax benefit resulting from a change in our state and local apportionment factors as well as a benefit related to a favorable settlement of various state income tax audits. The overall effective tax rate for the third quarter and the first nine months of 2013 included a tax benefit of the domestic production activities being recorded for 2008 through 2013 in the third quarter of 2013 offset by increases in reserves for uncertain tax positions, as well as deferred income tax expense resulting from a change in our state and local apportionment factors.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decreased in the first nine months of 2014 when compared with the same period of 2013.</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net cash provided by operating activities was largely attributable to higher payments of accrued expenses in the first nine months of 2014 when compared with the same period in 2013. We paid a higher bonus in 2014 when compared with the bonus payment in 2013. Additionally, payments in 2014 for legal and other consulting services, primarily related to remediation efforts for an information security breach that occurred in 2013, contributed to the overall decrease in cash from operating activities.</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Net cash used in investing activities increased in the first nine months of 2014 when compared with the same period of 2013 due to proceeds from the settlement of a derivative related to debt issued in the third quarter of 2013.</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used in financing activities was higher in the first nine months of 2014 when compared with the same period in 2013. The increase in cash used was attributable to an increase in cash dividends of $0.9 billion in the first nine months of 2014 when compared with the same period in 2013. The annual variable dividend from 2013 operations was paid in the first quarter of 2014. The annual variable dividend from 2012 operations was paid in the fourth quarter of 2012 due to uncertainty surrounding dividend income tax treatment beginning in 2013. The increase in cash used was also due to the repayment of the fixed rate notes due February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September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612.5</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341"/>
        </w:trPr>
        <w:tc>
          <w:tcPr>
            <w:tcW w:w="742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maintain a $1.8 billion multi-currency revolving senior credit facility with various financial institutions, which matures in January 2016. The proceeds from this facility can be used for general corporate purposes, which includes providing liquidity for our CME clearing house in certain circumstances at CME Group's discretion and, if necessary, for maturities of commercial paper. As long as we are not in default under this facility, we have the option to increase it up to $2.5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2012,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1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our CME clearing house.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September 30, 2014, guaranty funds available to collateralize the facility totaled $6.7 billion. We have the option to request an increase in the line from $7.0 billion to $10.0 billion. In addition to the 364-day facility, we also have the option to use the $1.8 billion multi-currency revolving senior credit facility to provide liquidity for our clearing houses in the unlikely event of default in certain circumstances. In addition, our 364-day facility contains a requirement that CME remain in compliance with a consolidated tangible net worth test, defined as CME consolidated shareholder's equity less intangible assets (as defined in the agreement) of not less than $800.0 million.</w:t>
      </w:r>
    </w:p>
    <w:p>
      <w:pPr>
        <w:spacing w:after="0" w:line="12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$1.8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2014, we have excess borrowing capacity for general corporate purposes of approximately $1.8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we were in compliance with the various covenant requirements of all our debt facilities.</w:t>
      </w:r>
    </w:p>
    <w:p>
      <w:pPr>
        <w:spacing w:after="0" w:line="19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September 30, 2014, the letters of credit totaled $410.0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September 30,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$1.1 billion at September 30, 2014 and $2.5 billion at December 31, 2013.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Net current deferred tax assets of $34.2 million and $52.3 million were included in other current assets at September 30, 2014 and December 31, 2013, respectively. Total net current deferred tax assets are primarily attributable to stock-based compensation and accrued expenses.</w:t>
      </w:r>
    </w:p>
    <w:p>
      <w:pPr>
        <w:spacing w:after="0" w:line="14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Net long-term deferred tax liabilities were $7.3 billion and $7.2 billion at September 30, 2014 and December 31, 2013, respectively. Net deferred tax liabilities are principally the result of purchase accounting for intangible assets in our various mergers, including CBOT Holdings, Inc. and NYMEX Holdings, Inc.</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Valuation allowances of $58.5 million and $47.5 million have been provided on deferred tax assets at September 30, 2014 and December 31, 2013, respectively. At September 30, 2014 and December 31, 2013, valuation allowances were related to domestic net operating losses, foreign net operating losses as well as built in capital losses for which we do not believe that we currently meet the more-likely-than-not-threshold for recognition.</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U.S. Commodity Futures Trading Commission (CFTC) as a U.S. Derivatives Clearing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3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DCM financial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2014, the Financial Accounting Standards Board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will become effective in the first annual period beginning</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after December 15, 2016. It may be adopted using one of two transition methods, which we are still evaluating along with the impact of the new standard on our consolidated financial statements.</w:t>
      </w:r>
    </w:p>
    <w:p>
      <w:pPr>
        <w:spacing w:after="0" w:line="19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2013. Refer to Item 7A. of CME Group’s Annual Report on Form 10-K for the year ended December 31, 2013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“Legal and Regulatory Matters” in Note 5. Contingencies to the Consolidated Financial Statements for updates to CME Group’s existing legal proceedings disclosure which is incorporated herein by reference. Note 5. Contingencies includes updates to the legal proceedings disclosed in the company’s Annual Report on Form 10-K, filed with the SEC on February 28, 2014.</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2014.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to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71.04</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August 1 to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76.55</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169,069</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79.68</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169,237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79.68</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169,237 shares of Class A common stock surrendered in the third quarter of 2014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12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8480" w:type="dxa"/>
            <w:vAlign w:val="bottom"/>
          </w:tcPr>
          <w:p>
            <w:pPr>
              <w:spacing w:after="0"/>
              <w:rPr>
                <w:sz w:val="24"/>
                <w:szCs w:val="24"/>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w w:val="90"/>
              </w:rPr>
              <w:t>James E. Parisi Retention Agreement, made as of September 29, 2014 (incorporated by reference to Exhibit 10.1 to CME Group’s</w:t>
            </w:r>
          </w:p>
        </w:tc>
      </w:tr>
      <w:tr>
        <w:trPr>
          <w:trHeight w:val="230"/>
        </w:trPr>
        <w:tc>
          <w:tcPr>
            <w:tcW w:w="1280" w:type="dxa"/>
            <w:vAlign w:val="bottom"/>
          </w:tcPr>
          <w:p>
            <w:pPr>
              <w:spacing w:after="0"/>
              <w:rPr>
                <w:sz w:val="20"/>
                <w:szCs w:val="20"/>
                <w:color w:val="auto"/>
              </w:rPr>
            </w:pP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Current Report on Form 8-K, filed with the SEC on October 3, 2014, File No. 001-31553)</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48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48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848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972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108" w:right="65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November 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580"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November 3, 2014</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2014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2014</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2019-12-07T02:21:56Z</dcterms:created>
  <dcterms:modified xsi:type="dcterms:W3CDTF">2019-12-07T02:21:56Z</dcterms:modified>
</cp:coreProperties>
</file>