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40" w:space="28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4"/>
            <w:vMerge w:val="restart"/>
          </w:tcPr>
          <w:p>
            <w:pPr>
              <w:spacing w:after="0"/>
              <w:rPr>
                <w:rFonts w:ascii="Arial" w:cs="Arial" w:eastAsia="Arial" w:hAnsi="Arial"/>
                <w:sz w:val="22"/>
                <w:szCs w:val="22"/>
                <w:color w:val="0000EE"/>
                <w:w w:val="92"/>
              </w:rPr>
            </w:pPr>
            <w:hyperlink r:id="rId12">
              <w:r>
                <w:rPr>
                  <w:rFonts w:ascii="Arial" w:cs="Arial" w:eastAsia="Arial" w:hAnsi="Arial"/>
                  <w:sz w:val="22"/>
                  <w:szCs w:val="22"/>
                  <w:color w:val="0000EE"/>
                  <w:w w:val="92"/>
                </w:rPr>
                <w:t>Wolin Charles M</w:t>
              </w:r>
            </w:hyperlink>
          </w:p>
        </w:tc>
        <w:tc>
          <w:tcPr>
            <w:tcW w:w="10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CBOT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NYSE: BOT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4"/>
            <w:vMerge w:val="continue"/>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7"/>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58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560" w:type="dxa"/>
            <w:vAlign w:val="bottom"/>
          </w:tcPr>
          <w:p>
            <w:pPr>
              <w:spacing w:after="0"/>
              <w:rPr>
                <w:sz w:val="20"/>
                <w:szCs w:val="20"/>
                <w:color w:val="auto"/>
              </w:rPr>
            </w:pPr>
            <w:r>
              <w:rPr>
                <w:rFonts w:ascii="Arial" w:cs="Arial" w:eastAsia="Arial" w:hAnsi="Arial"/>
                <w:sz w:val="14"/>
                <w:szCs w:val="14"/>
                <w:color w:val="auto"/>
              </w:rPr>
              <w:t>(Middle)</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7"/>
            <w:vMerge w:val="continue"/>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C/O CBOT HOLDINGS, INC.</w:t>
            </w: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07/12/2007</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6"/>
            <w:vMerge w:val="restart"/>
          </w:tcPr>
          <w:p>
            <w:pPr>
              <w:spacing w:after="0"/>
              <w:rPr>
                <w:sz w:val="20"/>
                <w:szCs w:val="20"/>
                <w:color w:val="auto"/>
              </w:rPr>
            </w:pPr>
            <w:r>
              <w:rPr>
                <w:rFonts w:ascii="Arial" w:cs="Arial" w:eastAsia="Arial" w:hAnsi="Arial"/>
                <w:sz w:val="18"/>
                <w:szCs w:val="18"/>
                <w:color w:val="0000FF"/>
              </w:rPr>
              <w:t>141 WEST JACKSON BOULEVARD</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CHICAGO</w:t>
            </w:r>
          </w:p>
        </w:tc>
        <w:tc>
          <w:tcPr>
            <w:tcW w:w="280" w:type="dxa"/>
            <w:vAlign w:val="bottom"/>
            <w:gridSpan w:val="2"/>
          </w:tcPr>
          <w:p>
            <w:pPr>
              <w:ind w:left="40"/>
              <w:spacing w:after="0"/>
              <w:rPr>
                <w:sz w:val="20"/>
                <w:szCs w:val="20"/>
                <w:color w:val="auto"/>
              </w:rPr>
            </w:pPr>
            <w:r>
              <w:rPr>
                <w:rFonts w:ascii="Arial" w:cs="Arial" w:eastAsia="Arial" w:hAnsi="Arial"/>
                <w:sz w:val="18"/>
                <w:szCs w:val="18"/>
                <w:color w:val="0000FF"/>
              </w:rPr>
              <w:t>IL</w:t>
            </w: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60604</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560" w:type="dxa"/>
            <w:vAlign w:val="bottom"/>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20"/>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5"/>
          </w:tcPr>
          <w:p>
            <w:pPr>
              <w:ind w:left="2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5"/>
                <w:szCs w:val="15"/>
                <w:color w:val="auto"/>
              </w:rPr>
            </w:pP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5"/>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3"/>
              </w:rPr>
              <w:t>Class A Common Stock, par value $0.001</w:t>
            </w:r>
          </w:p>
        </w:tc>
        <w:tc>
          <w:tcPr>
            <w:tcW w:w="1300" w:type="dxa"/>
            <w:vAlign w:val="bottom"/>
            <w:gridSpan w:val="5"/>
            <w:vMerge w:val="restart"/>
          </w:tcPr>
          <w:p>
            <w:pPr>
              <w:jc w:val="right"/>
              <w:ind w:right="115"/>
              <w:spacing w:after="0"/>
              <w:rPr>
                <w:sz w:val="20"/>
                <w:szCs w:val="20"/>
                <w:color w:val="auto"/>
              </w:rPr>
            </w:pPr>
            <w:r>
              <w:rPr>
                <w:rFonts w:ascii="Arial" w:cs="Arial" w:eastAsia="Arial" w:hAnsi="Arial"/>
                <w:sz w:val="18"/>
                <w:szCs w:val="18"/>
                <w:color w:val="0000FF"/>
              </w:rPr>
              <w:t>07/12/2007</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14"/>
                <w:szCs w:val="14"/>
                <w:color w:val="0000FF"/>
              </w:rPr>
              <w:t>D</w:t>
            </w:r>
          </w:p>
        </w:tc>
        <w:tc>
          <w:tcPr>
            <w:tcW w:w="740" w:type="dxa"/>
            <w:vAlign w:val="bottom"/>
            <w:vMerge w:val="restart"/>
          </w:tcPr>
          <w:p>
            <w:pPr>
              <w:ind w:left="260"/>
              <w:spacing w:after="0"/>
              <w:rPr>
                <w:sz w:val="20"/>
                <w:szCs w:val="20"/>
                <w:color w:val="auto"/>
              </w:rPr>
            </w:pPr>
            <w:r>
              <w:rPr>
                <w:rFonts w:ascii="Arial" w:cs="Arial" w:eastAsia="Arial" w:hAnsi="Arial"/>
                <w:sz w:val="18"/>
                <w:szCs w:val="18"/>
                <w:color w:val="0000FF"/>
                <w:w w:val="83"/>
              </w:rPr>
              <w:t>10,793</w:t>
            </w:r>
          </w:p>
        </w:tc>
        <w:tc>
          <w:tcPr>
            <w:tcW w:w="700" w:type="dxa"/>
            <w:vAlign w:val="bottom"/>
            <w:vMerge w:val="restart"/>
          </w:tcPr>
          <w:p>
            <w:pPr>
              <w:ind w:left="380"/>
              <w:spacing w:after="0"/>
              <w:rPr>
                <w:sz w:val="20"/>
                <w:szCs w:val="20"/>
                <w:color w:val="auto"/>
              </w:rPr>
            </w:pPr>
            <w:r>
              <w:rPr>
                <w:rFonts w:ascii="Arial" w:cs="Arial" w:eastAsia="Arial" w:hAnsi="Arial"/>
                <w:sz w:val="18"/>
                <w:szCs w:val="18"/>
                <w:color w:val="0000FF"/>
              </w:rPr>
              <w:t>D</w:t>
            </w:r>
          </w:p>
        </w:tc>
        <w:tc>
          <w:tcPr>
            <w:tcW w:w="620" w:type="dxa"/>
            <w:vAlign w:val="bottom"/>
            <w:gridSpan w:val="4"/>
            <w:vMerge w:val="restart"/>
          </w:tcPr>
          <w:p>
            <w:pPr>
              <w:jc w:val="right"/>
              <w:ind w:right="90"/>
              <w:spacing w:after="0"/>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480" w:type="dxa"/>
            <w:vAlign w:val="bottom"/>
          </w:tcPr>
          <w:p>
            <w:pPr>
              <w:spacing w:after="0"/>
              <w:rPr>
                <w:sz w:val="22"/>
                <w:szCs w:val="22"/>
                <w:color w:val="auto"/>
              </w:rPr>
            </w:pPr>
          </w:p>
        </w:tc>
        <w:tc>
          <w:tcPr>
            <w:tcW w:w="780" w:type="dxa"/>
            <w:vAlign w:val="bottom"/>
            <w:vMerge w:val="restart"/>
          </w:tcPr>
          <w:p>
            <w:pPr>
              <w:ind w:left="80"/>
              <w:spacing w:after="0"/>
              <w:rPr>
                <w:sz w:val="20"/>
                <w:szCs w:val="20"/>
                <w:color w:val="auto"/>
              </w:rPr>
            </w:pPr>
            <w:r>
              <w:rPr>
                <w:rFonts w:ascii="Arial" w:cs="Arial" w:eastAsia="Arial" w:hAnsi="Arial"/>
                <w:sz w:val="18"/>
                <w:szCs w:val="18"/>
                <w:color w:val="0000FF"/>
              </w:rPr>
              <w:t>0</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8"/>
                <w:szCs w:val="18"/>
                <w:color w:val="0000FF"/>
                <w:w w:val="89"/>
              </w:rPr>
              <w:t>per share</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gridSpan w:val="4"/>
            <w:vMerge w:val="continue"/>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9"/>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gridSpan w:val="15"/>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4"/>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Disposed of pursuant to merger agreement with Chicago Mercantile Exchange Holdings Inc. at an exchange ratio of 0.3750 shares of CME Group common stock for each share of CBOT Holdings common stock.</w:t>
      </w:r>
    </w:p>
    <w:p>
      <w:pPr>
        <w:spacing w:after="0" w:line="17"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Paul J. Draths,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07/16/2007</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41369" TargetMode="External"/><Relationship Id="rId13" Type="http://schemas.openxmlformats.org/officeDocument/2006/relationships/hyperlink" Target="http://www.sec.gov/cgi-bin/browse-edgar?action=getcompany&amp;CIK=00011614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2019-12-17T13:31:52Z</dcterms:created>
  <dcterms:modified xsi:type="dcterms:W3CDTF">2019-12-17T13:31:52Z</dcterms:modified>
</cp:coreProperties>
</file>