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000-33379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700" w:type="dxa"/>
            <w:vAlign w:val="bottom"/>
            <w:gridSpan w:val="2"/>
          </w:tcPr>
          <w:p>
            <w:pPr>
              <w:jc w:val="right"/>
              <w:ind w:right="2249"/>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5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40" w:type="dxa"/>
            <w:vAlign w:val="bottom"/>
          </w:tcPr>
          <w:p>
            <w:pPr>
              <w:spacing w:after="0"/>
              <w:rPr>
                <w:sz w:val="12"/>
                <w:szCs w:val="12"/>
                <w:color w:val="auto"/>
              </w:rPr>
            </w:pPr>
          </w:p>
        </w:tc>
        <w:tc>
          <w:tcPr>
            <w:tcW w:w="5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2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5700" w:type="dxa"/>
            <w:vAlign w:val="bottom"/>
            <w:gridSpan w:val="2"/>
          </w:tcPr>
          <w:p>
            <w:pPr>
              <w:jc w:val="right"/>
              <w:ind w:right="2449"/>
              <w:spacing w:after="0"/>
              <w:rPr>
                <w:sz w:val="20"/>
                <w:szCs w:val="20"/>
                <w:color w:val="auto"/>
              </w:rPr>
            </w:pPr>
            <w:r>
              <w:rPr>
                <w:rFonts w:ascii="Arial" w:cs="Arial" w:eastAsia="Arial" w:hAnsi="Arial"/>
                <w:sz w:val="18"/>
                <w:szCs w:val="18"/>
                <w:b w:val="1"/>
                <w:bCs w:val="1"/>
                <w:color w:val="auto"/>
              </w:rPr>
              <w:t>60606</w:t>
            </w: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(312) 930-1000</w:t>
            </w:r>
          </w:p>
        </w:tc>
      </w:tr>
      <w:tr>
        <w:trPr>
          <w:trHeight w:val="37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40"/>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w:t>
            </w:r>
          </w:p>
        </w:tc>
      </w:t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On Which Registered</w:t>
            </w:r>
          </w:p>
        </w:tc>
      </w:tr>
      <w:tr>
        <w:trPr>
          <w:trHeight w:val="196"/>
        </w:trPr>
        <w:tc>
          <w:tcPr>
            <w:tcW w:w="57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Class A Common Stock, Class A, $0.01 par value</w:t>
            </w:r>
          </w:p>
        </w:tc>
        <w:tc>
          <w:tcPr>
            <w:tcW w:w="240" w:type="dxa"/>
            <w:vAlign w:val="bottom"/>
          </w:tcPr>
          <w:p>
            <w:pPr>
              <w:spacing w:after="0"/>
              <w:rPr>
                <w:sz w:val="17"/>
                <w:szCs w:val="17"/>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New York Stock Exchange</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(including rights to acquire Series A Junior Participating</w:t>
            </w:r>
          </w:p>
        </w:tc>
        <w:tc>
          <w:tcPr>
            <w:tcW w:w="2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Preferred Stock pursuant to our rights plan)</w:t>
            </w:r>
          </w:p>
        </w:tc>
        <w:tc>
          <w:tcPr>
            <w:tcW w:w="24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Securities registered pursuant to Section 12(g) of the Act: Class B common stock, Class B-1, $0.01 par value; Class B common stock, Class B-2, $0.01 par value; Class B common stock, Class B-3, $0.01 par value; and Class B common stock, Class B-4, $0.01 par value (in each case, including rights to acquire Series A Junior Participating Preferred Stock pursuant to our rights plan).</w:t>
      </w:r>
    </w:p>
    <w:p>
      <w:pPr>
        <w:sectPr>
          <w:pgSz w:w="11900" w:h="16838" w:orient="portrait"/>
          <w:cols w:equalWidth="0" w:num="1">
            <w:col w:w="11420"/>
          </w:cols>
          <w:pgMar w:left="240" w:top="230" w:right="239" w:bottom="0" w:gutter="0" w:footer="0" w:header="0"/>
        </w:sectPr>
      </w:pP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8260" w:space="160"/>
            <w:col w:w="260" w:space="80"/>
            <w:col w:w="160" w:space="180"/>
            <w:col w:w="220" w:space="80"/>
            <w:col w:w="202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8400" w:space="160"/>
            <w:col w:w="260" w:space="100"/>
            <w:col w:w="140" w:space="180"/>
            <w:col w:w="220" w:space="100"/>
            <w:col w:w="1860"/>
          </w:cols>
          <w:pgMar w:left="240" w:top="230" w:right="239" w:bottom="0" w:gutter="0" w:footer="0" w:header="0"/>
          <w:type w:val="continuous"/>
        </w:sect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herein,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0" w:gutter="0" w:footer="0" w:header="0"/>
          <w:type w:val="continuous"/>
        </w:sectPr>
      </w:pPr>
    </w:p>
    <w:p>
      <w:pPr>
        <w:spacing w:after="0" w:line="132" w:lineRule="exact"/>
        <w:rPr>
          <w:sz w:val="24"/>
          <w:szCs w:val="24"/>
          <w:color w:val="auto"/>
        </w:rPr>
      </w:pPr>
    </w:p>
    <w:p>
      <w:pPr>
        <w:ind w:left="30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620" w:space="100"/>
            <w:col w:w="160" w:space="160"/>
            <w:col w:w="1180" w:space="80"/>
            <w:col w:w="160" w:space="180"/>
            <w:col w:w="1480" w:space="100"/>
            <w:col w:w="320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980" w:space="160"/>
            <w:col w:w="260" w:space="80"/>
            <w:col w:w="160" w:space="180"/>
            <w:col w:w="220" w:space="80"/>
            <w:col w:w="2300"/>
          </w:cols>
          <w:pgMar w:left="240" w:top="230" w:right="239" w:bottom="0" w:gutter="0" w:footer="0" w:header="0"/>
          <w:type w:val="continuous"/>
        </w:sectPr>
      </w:pPr>
    </w:p>
    <w:p>
      <w:pPr>
        <w:ind w:right="40"/>
        <w:spacing w:after="0" w:line="294"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2007, was approximately $18.6 billion (based on the closing price per share of CME Group Inc. Class A common stock on the New York Stock Exchange on such date). The number of shares outstanding of each of the registrant’s classes of common stock as of February 20, 2008 was as follows: 53,315,685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23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Documents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Form 10-K Reference</w:t>
            </w:r>
          </w:p>
        </w:tc>
      </w:tr>
      <w:tr>
        <w:trPr>
          <w:trHeight w:val="201"/>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w w:val="94"/>
              </w:rPr>
              <w:t>Portions of the Company’s Proxy Statement for the 2008 Annual Meeting of</w:t>
            </w:r>
          </w:p>
        </w:tc>
        <w:tc>
          <w:tcPr>
            <w:tcW w:w="240" w:type="dxa"/>
            <w:vAlign w:val="bottom"/>
          </w:tcPr>
          <w:p>
            <w:pPr>
              <w:spacing w:after="0"/>
              <w:rPr>
                <w:sz w:val="17"/>
                <w:szCs w:val="17"/>
                <w:color w:val="auto"/>
              </w:rPr>
            </w:pPr>
          </w:p>
        </w:tc>
        <w:tc>
          <w:tcPr>
            <w:tcW w:w="5460" w:type="dxa"/>
            <w:vAlign w:val="bottom"/>
          </w:tcPr>
          <w:p>
            <w:pPr>
              <w:jc w:val="center"/>
              <w:spacing w:after="0" w:line="201" w:lineRule="exact"/>
              <w:rPr>
                <w:sz w:val="20"/>
                <w:szCs w:val="20"/>
                <w:color w:val="auto"/>
              </w:rPr>
            </w:pPr>
            <w:r>
              <w:rPr>
                <w:rFonts w:ascii="Arial" w:cs="Arial" w:eastAsia="Arial" w:hAnsi="Arial"/>
                <w:sz w:val="18"/>
                <w:szCs w:val="18"/>
                <w:color w:val="auto"/>
                <w:w w:val="94"/>
              </w:rPr>
              <w:t>Part III</w:t>
            </w:r>
          </w:p>
        </w:tc>
      </w:tr>
      <w:tr>
        <w:trPr>
          <w:trHeight w:val="222"/>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83"/>
        </w:trPr>
        <w:tc>
          <w:tcPr>
            <w:tcW w:w="20" w:type="dxa"/>
            <w:vAlign w:val="bottom"/>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0" w:type="dxa"/>
            <w:vAlign w:val="bottom"/>
            <w:gridSpan w:val="7"/>
          </w:tcPr>
          <w:p>
            <w:pPr>
              <w:jc w:val="center"/>
              <w:ind w:right="4660"/>
              <w:spacing w:after="0"/>
              <w:rPr>
                <w:sz w:val="20"/>
                <w:szCs w:val="20"/>
                <w:color w:val="auto"/>
              </w:rPr>
            </w:pPr>
            <w:r>
              <w:rPr>
                <w:rFonts w:ascii="Arial" w:cs="Arial" w:eastAsia="Arial" w:hAnsi="Arial"/>
                <w:sz w:val="18"/>
                <w:szCs w:val="18"/>
                <w:b w:val="1"/>
                <w:bCs w:val="1"/>
                <w:color w:val="auto"/>
                <w:w w:val="98"/>
              </w:rPr>
              <w:t>CME GROUP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10520" w:type="dxa"/>
            <w:vAlign w:val="bottom"/>
            <w:gridSpan w:val="2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10520" w:type="dxa"/>
            <w:vAlign w:val="bottom"/>
            <w:gridSpan w:val="26"/>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Item 1. Business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60" w:type="dxa"/>
            <w:vAlign w:val="bottom"/>
            <w:tcBorders>
              <w:bottom w:val="single" w:sz="8" w:color="0000EE"/>
            </w:tcBorders>
            <w:gridSpan w:val="9"/>
          </w:tcPr>
          <w:p>
            <w:pPr>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Item 1A. Risk Factors</w:t>
              </w:r>
            </w:hyperlink>
          </w:p>
        </w:tc>
        <w:tc>
          <w:tcPr>
            <w:tcW w:w="94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15"/>
          </w:tcPr>
          <w:p>
            <w:pPr>
              <w:spacing w:after="0"/>
              <w:rPr>
                <w:rFonts w:ascii="Arial" w:cs="Arial" w:eastAsia="Arial" w:hAnsi="Arial"/>
                <w:sz w:val="18"/>
                <w:szCs w:val="18"/>
                <w:b w:val="1"/>
                <w:bCs w:val="1"/>
                <w:color w:val="0000EE"/>
                <w:w w:val="87"/>
              </w:rPr>
            </w:pPr>
            <w:hyperlink w:anchor="page43">
              <w:r>
                <w:rPr>
                  <w:rFonts w:ascii="Arial" w:cs="Arial" w:eastAsia="Arial" w:hAnsi="Arial"/>
                  <w:sz w:val="18"/>
                  <w:szCs w:val="18"/>
                  <w:b w:val="1"/>
                  <w:bCs w:val="1"/>
                  <w:color w:val="0000EE"/>
                  <w:w w:val="87"/>
                </w:rPr>
                <w:t>Item 1B. Unresolved Staff Comments</w:t>
              </w:r>
            </w:hyperlink>
          </w:p>
        </w:tc>
        <w:tc>
          <w:tcPr>
            <w:tcW w:w="83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304"/>
        </w:trPr>
        <w:tc>
          <w:tcPr>
            <w:tcW w:w="136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Item 2. Properties</w:t>
              </w:r>
            </w:hyperlink>
          </w:p>
        </w:tc>
        <w:tc>
          <w:tcPr>
            <w:tcW w:w="978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3.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4. 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304"/>
        </w:trPr>
        <w:tc>
          <w:tcPr>
            <w:tcW w:w="446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66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5. Market for Registrant’s Common Equity, Related Stockholder Matters and Issuer Purchases of Equity</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83"/>
              </w:rPr>
            </w:pPr>
            <w:hyperlink w:anchor="page46">
              <w:r>
                <w:rPr>
                  <w:rFonts w:ascii="Arial" w:cs="Arial" w:eastAsia="Arial" w:hAnsi="Arial"/>
                  <w:sz w:val="18"/>
                  <w:szCs w:val="18"/>
                  <w:b w:val="1"/>
                  <w:bCs w:val="1"/>
                  <w:color w:val="0000EE"/>
                  <w:w w:val="83"/>
                </w:rPr>
                <w:t>Securities</w:t>
              </w:r>
            </w:hyperlink>
          </w:p>
        </w:tc>
        <w:tc>
          <w:tcPr>
            <w:tcW w:w="7520" w:type="dxa"/>
            <w:vAlign w:val="bottom"/>
            <w:tcBorders>
              <w:top w:val="single" w:sz="8" w:color="0000EE"/>
            </w:tcBorders>
            <w:gridSpan w:val="21"/>
          </w:tcPr>
          <w:p>
            <w:pPr>
              <w:spacing w:after="0"/>
              <w:rPr>
                <w:sz w:val="17"/>
                <w:szCs w:val="17"/>
                <w:color w:val="auto"/>
              </w:rPr>
            </w:pPr>
          </w:p>
        </w:tc>
        <w:tc>
          <w:tcPr>
            <w:tcW w:w="28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6. 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7.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304"/>
        </w:trPr>
        <w:tc>
          <w:tcPr>
            <w:tcW w:w="5220" w:type="dxa"/>
            <w:vAlign w:val="bottom"/>
            <w:tcBorders>
              <w:top w:val="single" w:sz="8" w:color="0000EE"/>
              <w:bottom w:val="single" w:sz="8" w:color="0000EE"/>
            </w:tcBorders>
            <w:gridSpan w:val="21"/>
          </w:tcPr>
          <w:p>
            <w:pPr>
              <w:spacing w:after="0"/>
              <w:rPr>
                <w:rFonts w:ascii="Arial" w:cs="Arial" w:eastAsia="Arial" w:hAnsi="Arial"/>
                <w:sz w:val="18"/>
                <w:szCs w:val="18"/>
                <w:b w:val="1"/>
                <w:bCs w:val="1"/>
                <w:color w:val="0000EE"/>
                <w:w w:val="89"/>
              </w:rPr>
            </w:pPr>
            <w:hyperlink w:anchor="page74">
              <w:r>
                <w:rPr>
                  <w:rFonts w:ascii="Arial" w:cs="Arial" w:eastAsia="Arial" w:hAnsi="Arial"/>
                  <w:sz w:val="18"/>
                  <w:szCs w:val="18"/>
                  <w:b w:val="1"/>
                  <w:bCs w:val="1"/>
                  <w:color w:val="0000EE"/>
                  <w:w w:val="89"/>
                </w:rPr>
                <w:t>Item 7A. 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9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Item 8. Financial Statements and Supplementary Data</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Item 9. 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110</w:t>
            </w:r>
          </w:p>
        </w:tc>
        <w:tc>
          <w:tcPr>
            <w:tcW w:w="0" w:type="dxa"/>
            <w:vAlign w:val="bottom"/>
          </w:tcPr>
          <w:p>
            <w:pPr>
              <w:spacing w:after="0"/>
              <w:rPr>
                <w:sz w:val="1"/>
                <w:szCs w:val="1"/>
                <w:color w:val="auto"/>
              </w:rPr>
            </w:pPr>
          </w:p>
        </w:tc>
      </w:tr>
      <w:tr>
        <w:trPr>
          <w:trHeight w:val="304"/>
        </w:trPr>
        <w:tc>
          <w:tcPr>
            <w:tcW w:w="7260" w:type="dxa"/>
            <w:vAlign w:val="bottom"/>
            <w:tcBorders>
              <w:top w:val="single" w:sz="8" w:color="0000EE"/>
            </w:tcBorders>
            <w:gridSpan w:val="24"/>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Item 9A. Controls and Procedures</w:t>
              </w:r>
            </w:hyperlink>
          </w:p>
        </w:tc>
        <w:tc>
          <w:tcPr>
            <w:tcW w:w="38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110</w:t>
            </w:r>
          </w:p>
        </w:tc>
        <w:tc>
          <w:tcPr>
            <w:tcW w:w="0" w:type="dxa"/>
            <w:vAlign w:val="bottom"/>
          </w:tcPr>
          <w:p>
            <w:pPr>
              <w:spacing w:after="0"/>
              <w:rPr>
                <w:sz w:val="1"/>
                <w:szCs w:val="1"/>
                <w:color w:val="auto"/>
              </w:rPr>
            </w:pPr>
          </w:p>
        </w:tc>
      </w:tr>
      <w:tr>
        <w:trPr>
          <w:trHeight w:val="304"/>
        </w:trPr>
        <w:tc>
          <w:tcPr>
            <w:tcW w:w="256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Item 9B. Other Information</w:t>
              </w:r>
            </w:hyperlink>
          </w:p>
        </w:tc>
        <w:tc>
          <w:tcPr>
            <w:tcW w:w="85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111</w:t>
            </w:r>
          </w:p>
        </w:tc>
        <w:tc>
          <w:tcPr>
            <w:tcW w:w="0" w:type="dxa"/>
            <w:vAlign w:val="bottom"/>
          </w:tcPr>
          <w:p>
            <w:pPr>
              <w:spacing w:after="0"/>
              <w:rPr>
                <w:sz w:val="1"/>
                <w:szCs w:val="1"/>
                <w:color w:val="auto"/>
              </w:rPr>
            </w:pPr>
          </w:p>
        </w:tc>
      </w:tr>
      <w:tr>
        <w:trPr>
          <w:trHeight w:val="304"/>
        </w:trPr>
        <w:tc>
          <w:tcPr>
            <w:tcW w:w="7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9"/>
              </w:rPr>
            </w:pPr>
            <w:hyperlink w:anchor="page114">
              <w:r>
                <w:rPr>
                  <w:rFonts w:ascii="Arial" w:cs="Arial" w:eastAsia="Arial" w:hAnsi="Arial"/>
                  <w:sz w:val="18"/>
                  <w:szCs w:val="18"/>
                  <w:b w:val="1"/>
                  <w:bCs w:val="1"/>
                  <w:color w:val="0000EE"/>
                  <w:w w:val="99"/>
                </w:rPr>
                <w:t>PART III.</w:t>
              </w:r>
            </w:hyperlink>
          </w:p>
        </w:tc>
        <w:tc>
          <w:tcPr>
            <w:tcW w:w="1340" w:type="dxa"/>
            <w:vAlign w:val="bottom"/>
            <w:tcBorders>
              <w:top w:val="single" w:sz="8" w:color="0000EE"/>
            </w:tcBorders>
            <w:gridSpan w:val="6"/>
          </w:tcPr>
          <w:p>
            <w:pPr>
              <w:spacing w:after="0"/>
              <w:rPr>
                <w:sz w:val="24"/>
                <w:szCs w:val="24"/>
                <w:color w:val="auto"/>
              </w:rPr>
            </w:pPr>
          </w:p>
        </w:tc>
        <w:tc>
          <w:tcPr>
            <w:tcW w:w="904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40" w:type="dxa"/>
            <w:vAlign w:val="bottom"/>
            <w:tcBorders>
              <w:bottom w:val="single" w:sz="8" w:color="0000EE"/>
            </w:tcBorders>
            <w:gridSpan w:val="20"/>
          </w:tcPr>
          <w:p>
            <w:pPr>
              <w:spacing w:after="0"/>
              <w:rPr>
                <w:rFonts w:ascii="Arial" w:cs="Arial" w:eastAsia="Arial" w:hAnsi="Arial"/>
                <w:sz w:val="18"/>
                <w:szCs w:val="18"/>
                <w:b w:val="1"/>
                <w:bCs w:val="1"/>
                <w:color w:val="0000EE"/>
                <w:w w:val="88"/>
              </w:rPr>
            </w:pPr>
            <w:hyperlink w:anchor="page114">
              <w:r>
                <w:rPr>
                  <w:rFonts w:ascii="Arial" w:cs="Arial" w:eastAsia="Arial" w:hAnsi="Arial"/>
                  <w:sz w:val="18"/>
                  <w:szCs w:val="18"/>
                  <w:b w:val="1"/>
                  <w:bCs w:val="1"/>
                  <w:color w:val="0000EE"/>
                  <w:w w:val="88"/>
                </w:rPr>
                <w:t>Item 10. Directors, Executive Officers and Corporate Governance</w:t>
              </w:r>
            </w:hyperlink>
          </w:p>
        </w:tc>
        <w:tc>
          <w:tcPr>
            <w:tcW w:w="62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112</w:t>
            </w:r>
          </w:p>
        </w:tc>
        <w:tc>
          <w:tcPr>
            <w:tcW w:w="0" w:type="dxa"/>
            <w:vAlign w:val="bottom"/>
          </w:tcPr>
          <w:p>
            <w:pPr>
              <w:spacing w:after="0"/>
              <w:rPr>
                <w:sz w:val="1"/>
                <w:szCs w:val="1"/>
                <w:color w:val="auto"/>
              </w:rPr>
            </w:pPr>
          </w:p>
        </w:tc>
      </w:tr>
      <w:tr>
        <w:trPr>
          <w:trHeight w:val="304"/>
        </w:trPr>
        <w:tc>
          <w:tcPr>
            <w:tcW w:w="2520" w:type="dxa"/>
            <w:vAlign w:val="bottom"/>
            <w:tcBorders>
              <w:bottom w:val="single" w:sz="8" w:color="0000EE"/>
            </w:tcBorders>
            <w:gridSpan w:val="13"/>
          </w:tcPr>
          <w:p>
            <w:pPr>
              <w:spacing w:after="0"/>
              <w:rPr>
                <w:rFonts w:ascii="Arial" w:cs="Arial" w:eastAsia="Arial" w:hAnsi="Arial"/>
                <w:sz w:val="18"/>
                <w:szCs w:val="18"/>
                <w:b w:val="1"/>
                <w:bCs w:val="1"/>
                <w:color w:val="0000EE"/>
                <w:w w:val="87"/>
              </w:rPr>
            </w:pPr>
            <w:hyperlink w:anchor="page114">
              <w:r>
                <w:rPr>
                  <w:rFonts w:ascii="Arial" w:cs="Arial" w:eastAsia="Arial" w:hAnsi="Arial"/>
                  <w:sz w:val="18"/>
                  <w:szCs w:val="18"/>
                  <w:b w:val="1"/>
                  <w:bCs w:val="1"/>
                  <w:color w:val="0000EE"/>
                  <w:w w:val="87"/>
                </w:rPr>
                <w:t>Item 11. Executive Compensation</w:t>
              </w:r>
            </w:hyperlink>
          </w:p>
        </w:tc>
        <w:tc>
          <w:tcPr>
            <w:tcW w:w="86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112</w:t>
            </w:r>
          </w:p>
        </w:tc>
        <w:tc>
          <w:tcPr>
            <w:tcW w:w="0" w:type="dxa"/>
            <w:vAlign w:val="bottom"/>
          </w:tcPr>
          <w:p>
            <w:pPr>
              <w:spacing w:after="0"/>
              <w:rPr>
                <w:sz w:val="1"/>
                <w:szCs w:val="1"/>
                <w:color w:val="auto"/>
              </w:rPr>
            </w:pPr>
          </w:p>
        </w:tc>
      </w:tr>
      <w:tr>
        <w:trPr>
          <w:trHeight w:val="304"/>
        </w:trPr>
        <w:tc>
          <w:tcPr>
            <w:tcW w:w="8300" w:type="dxa"/>
            <w:vAlign w:val="bottom"/>
            <w:tcBorders>
              <w:bottom w:val="single" w:sz="8" w:color="0000EE"/>
            </w:tcBorders>
            <w:gridSpan w:val="26"/>
          </w:tcPr>
          <w:p>
            <w:pPr>
              <w:spacing w:after="0"/>
              <w:rPr>
                <w:rFonts w:ascii="Arial" w:cs="Arial" w:eastAsia="Arial" w:hAnsi="Arial"/>
                <w:sz w:val="18"/>
                <w:szCs w:val="18"/>
                <w:b w:val="1"/>
                <w:bCs w:val="1"/>
                <w:color w:val="0000EE"/>
                <w:w w:val="89"/>
              </w:rPr>
            </w:pPr>
            <w:hyperlink w:anchor="page114">
              <w:r>
                <w:rPr>
                  <w:rFonts w:ascii="Arial" w:cs="Arial" w:eastAsia="Arial" w:hAnsi="Arial"/>
                  <w:sz w:val="18"/>
                  <w:szCs w:val="18"/>
                  <w:b w:val="1"/>
                  <w:bCs w:val="1"/>
                  <w:color w:val="0000EE"/>
                  <w:w w:val="89"/>
                </w:rPr>
                <w:t>Item 12. Security Ownership of Certain Beneficial Owners and Management and Related Shareholder Matters</w:t>
              </w:r>
            </w:hyperlink>
          </w:p>
        </w:tc>
        <w:tc>
          <w:tcPr>
            <w:tcW w:w="2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112</w:t>
            </w:r>
          </w:p>
        </w:tc>
        <w:tc>
          <w:tcPr>
            <w:tcW w:w="0" w:type="dxa"/>
            <w:vAlign w:val="bottom"/>
          </w:tcPr>
          <w:p>
            <w:pPr>
              <w:spacing w:after="0"/>
              <w:rPr>
                <w:sz w:val="1"/>
                <w:szCs w:val="1"/>
                <w:color w:val="auto"/>
              </w:rPr>
            </w:pPr>
          </w:p>
        </w:tc>
      </w:tr>
      <w:tr>
        <w:trPr>
          <w:trHeight w:val="304"/>
        </w:trPr>
        <w:tc>
          <w:tcPr>
            <w:tcW w:w="6060" w:type="dxa"/>
            <w:vAlign w:val="bottom"/>
            <w:tcBorders>
              <w:bottom w:val="single" w:sz="8" w:color="0000EE"/>
            </w:tcBorders>
            <w:gridSpan w:val="22"/>
          </w:tcPr>
          <w:p>
            <w:pPr>
              <w:spacing w:after="0"/>
              <w:rPr>
                <w:rFonts w:ascii="Arial" w:cs="Arial" w:eastAsia="Arial" w:hAnsi="Arial"/>
                <w:sz w:val="18"/>
                <w:szCs w:val="18"/>
                <w:b w:val="1"/>
                <w:bCs w:val="1"/>
                <w:color w:val="0000EE"/>
                <w:w w:val="88"/>
              </w:rPr>
            </w:pPr>
            <w:hyperlink w:anchor="page115">
              <w:r>
                <w:rPr>
                  <w:rFonts w:ascii="Arial" w:cs="Arial" w:eastAsia="Arial" w:hAnsi="Arial"/>
                  <w:sz w:val="18"/>
                  <w:szCs w:val="18"/>
                  <w:b w:val="1"/>
                  <w:bCs w:val="1"/>
                  <w:color w:val="0000EE"/>
                  <w:w w:val="88"/>
                </w:rPr>
                <w:t>Item 13. Certain Relationships, Related Transactions and Director Independence</w:t>
              </w:r>
            </w:hyperlink>
          </w:p>
        </w:tc>
        <w:tc>
          <w:tcPr>
            <w:tcW w:w="50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113</w:t>
            </w:r>
          </w:p>
        </w:tc>
        <w:tc>
          <w:tcPr>
            <w:tcW w:w="0" w:type="dxa"/>
            <w:vAlign w:val="bottom"/>
          </w:tcPr>
          <w:p>
            <w:pPr>
              <w:spacing w:after="0"/>
              <w:rPr>
                <w:sz w:val="1"/>
                <w:szCs w:val="1"/>
                <w:color w:val="auto"/>
              </w:rPr>
            </w:pPr>
          </w:p>
        </w:tc>
      </w:tr>
      <w:tr>
        <w:trPr>
          <w:trHeight w:val="304"/>
        </w:trPr>
        <w:tc>
          <w:tcPr>
            <w:tcW w:w="3640" w:type="dxa"/>
            <w:vAlign w:val="bottom"/>
            <w:tcBorders>
              <w:bottom w:val="single" w:sz="8" w:color="0000EE"/>
            </w:tcBorders>
            <w:gridSpan w:val="16"/>
          </w:tcPr>
          <w:p>
            <w:pPr>
              <w:spacing w:after="0"/>
              <w:rPr>
                <w:rFonts w:ascii="Arial" w:cs="Arial" w:eastAsia="Arial" w:hAnsi="Arial"/>
                <w:sz w:val="18"/>
                <w:szCs w:val="18"/>
                <w:b w:val="1"/>
                <w:bCs w:val="1"/>
                <w:color w:val="0000EE"/>
                <w:w w:val="87"/>
              </w:rPr>
            </w:pPr>
            <w:hyperlink w:anchor="page115">
              <w:r>
                <w:rPr>
                  <w:rFonts w:ascii="Arial" w:cs="Arial" w:eastAsia="Arial" w:hAnsi="Arial"/>
                  <w:sz w:val="18"/>
                  <w:szCs w:val="18"/>
                  <w:b w:val="1"/>
                  <w:bCs w:val="1"/>
                  <w:color w:val="0000EE"/>
                  <w:w w:val="87"/>
                </w:rPr>
                <w:t>Item 14. Principal Accountant Fees and Services</w:t>
              </w:r>
            </w:hyperlink>
          </w:p>
        </w:tc>
        <w:tc>
          <w:tcPr>
            <w:tcW w:w="75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113</w:t>
            </w: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71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60" w:type="dxa"/>
            <w:vAlign w:val="bottom"/>
            <w:tcBorders>
              <w:bottom w:val="single" w:sz="8" w:color="0000EE"/>
            </w:tcBorders>
            <w:gridSpan w:val="17"/>
          </w:tcPr>
          <w:p>
            <w:pPr>
              <w:spacing w:after="0"/>
              <w:rPr>
                <w:rFonts w:ascii="Arial" w:cs="Arial" w:eastAsia="Arial" w:hAnsi="Arial"/>
                <w:sz w:val="18"/>
                <w:szCs w:val="18"/>
                <w:b w:val="1"/>
                <w:bCs w:val="1"/>
                <w:color w:val="0000EE"/>
                <w:w w:val="87"/>
              </w:rPr>
            </w:pPr>
            <w:hyperlink w:anchor="page116">
              <w:r>
                <w:rPr>
                  <w:rFonts w:ascii="Arial" w:cs="Arial" w:eastAsia="Arial" w:hAnsi="Arial"/>
                  <w:sz w:val="18"/>
                  <w:szCs w:val="18"/>
                  <w:b w:val="1"/>
                  <w:bCs w:val="1"/>
                  <w:color w:val="0000EE"/>
                  <w:w w:val="87"/>
                </w:rPr>
                <w:t>Item 15. Exhibits and Financial Statement Schedules</w:t>
              </w:r>
            </w:hyperlink>
          </w:p>
        </w:tc>
        <w:tc>
          <w:tcPr>
            <w:tcW w:w="71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114</w:t>
            </w:r>
          </w:p>
        </w:tc>
        <w:tc>
          <w:tcPr>
            <w:tcW w:w="0" w:type="dxa"/>
            <w:vAlign w:val="bottom"/>
          </w:tcPr>
          <w:p>
            <w:pPr>
              <w:spacing w:after="0"/>
              <w:rPr>
                <w:sz w:val="1"/>
                <w:szCs w:val="1"/>
                <w:color w:val="auto"/>
              </w:rPr>
            </w:pPr>
          </w:p>
        </w:tc>
      </w:tr>
      <w:tr>
        <w:trPr>
          <w:trHeight w:val="304"/>
        </w:trPr>
        <w:tc>
          <w:tcPr>
            <w:tcW w:w="11140" w:type="dxa"/>
            <w:vAlign w:val="bottom"/>
            <w:gridSpan w:val="27"/>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120</w:t>
            </w:r>
          </w:p>
        </w:tc>
        <w:tc>
          <w:tcPr>
            <w:tcW w:w="0" w:type="dxa"/>
            <w:vAlign w:val="bottom"/>
          </w:tcPr>
          <w:p>
            <w:pPr>
              <w:spacing w:after="0"/>
              <w:rPr>
                <w:sz w:val="1"/>
                <w:szCs w:val="1"/>
                <w:color w:val="auto"/>
              </w:rPr>
            </w:pPr>
          </w:p>
        </w:tc>
      </w:tr>
      <w:tr>
        <w:trPr>
          <w:trHeight w:val="383"/>
        </w:trPr>
        <w:tc>
          <w:tcPr>
            <w:tcW w:w="800" w:type="dxa"/>
            <w:vAlign w:val="bottom"/>
            <w:tcBorders>
              <w:top w:val="single" w:sz="8" w:color="0000EE"/>
            </w:tcBorders>
            <w:gridSpan w:val="6"/>
          </w:tcPr>
          <w:p>
            <w:pPr>
              <w:spacing w:after="0"/>
              <w:rPr>
                <w:sz w:val="24"/>
                <w:szCs w:val="24"/>
                <w:color w:val="auto"/>
              </w:rPr>
            </w:pPr>
          </w:p>
        </w:tc>
        <w:tc>
          <w:tcPr>
            <w:tcW w:w="5260" w:type="dxa"/>
            <w:vAlign w:val="bottom"/>
            <w:gridSpan w:val="16"/>
          </w:tcPr>
          <w:p>
            <w:pPr>
              <w:jc w:val="center"/>
              <w:ind w:left="4492"/>
              <w:spacing w:after="0"/>
              <w:rPr>
                <w:sz w:val="20"/>
                <w:szCs w:val="20"/>
                <w:color w:val="auto"/>
              </w:rPr>
            </w:pPr>
            <w:r>
              <w:rPr>
                <w:rFonts w:ascii="Arial" w:cs="Arial" w:eastAsia="Arial" w:hAnsi="Arial"/>
                <w:sz w:val="18"/>
                <w:szCs w:val="18"/>
                <w:color w:val="auto"/>
                <w:w w:val="79"/>
              </w:rPr>
              <w:t>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Effective July 12, 2007, CBOT Holdings, Inc. merged with and into Chicago Mercantile Exchange Holdings Inc. Unless otherwise noted, disclosures of trading volume, revenue and other statistical information include the results of CBOT Holdings and its subsidiaries beginning on July 13, 2007.</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CERTAIN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if the context otherwise requires:</w:t>
      </w:r>
    </w:p>
    <w:p>
      <w:pPr>
        <w:spacing w:after="0" w:line="90" w:lineRule="exact"/>
        <w:rPr>
          <w:sz w:val="20"/>
          <w:szCs w:val="20"/>
          <w:color w:val="auto"/>
        </w:rPr>
      </w:pPr>
    </w:p>
    <w:p>
      <w:pPr>
        <w:ind w:left="900" w:right="14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(1) prior to the completion of the merger between CME Holdings and CBOT Holdings, which occurred on July 12, 2007, CME Holdings and its subsidiaries and (2) after the completion of such merger on July 12, 2007, the combined company of CME Holdings and CBOT Holdings and its subsidiaries formed when CBOT Holdings was merged with and into CME Holdings and which was renamed CME Group Inc.;</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 owned subsidiary of CBOT Holdings, Inc. and became a wholly owned subsidiary of CME Group upon the completion of the merger on July 12,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 owned subsidiary of CME Group;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refers to CME Group.</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For example, these “forward-looking statements” are included in this Annual Report on Form 10-K in “Item 1. Business,” “Item 1A. Risk Factors” and in “Item 7. Management’s Discussion and Analysis of Financial Condition and Results of Operations,” among other places.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4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integrate the businesses of CME Holdings and CBOT Holdings, including the fact that such integration may be more difficult, time consuming or costly than expected and revenues following the merger may be lower than expected;</w:t>
      </w:r>
    </w:p>
    <w:p>
      <w:pPr>
        <w:spacing w:after="0" w:line="4"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and attract new ones;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generate revenue from our market data that may be reduced or eliminated by decreased demand or the growth of electronic trading;</w:t>
      </w:r>
    </w:p>
    <w:p>
      <w:pPr>
        <w:spacing w:after="0" w:line="113" w:lineRule="exact"/>
        <w:rPr>
          <w:rFonts w:ascii="Arial" w:cs="Arial" w:eastAsia="Arial" w:hAnsi="Arial"/>
          <w:sz w:val="16"/>
          <w:szCs w:val="16"/>
          <w:color w:val="auto"/>
        </w:rPr>
      </w:pPr>
    </w:p>
    <w:p>
      <w:pPr>
        <w:ind w:left="900" w:right="320" w:hanging="325"/>
        <w:spacing w:after="0" w:line="357"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and other catastrophes;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trading and clearing activity;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Globe logo, CME, Chicago Mercantile Exchange, CME Group, Globex and E-mini are trademarks of CME. CBOT, e-CBOT and Chicago Board of Trade are trademarks of CBOT. TRAKRS is a trademark of Merrill Lynch &amp; Co., Inc. used under license. All other trademarks are the property of their respective owners.</w:t>
      </w:r>
    </w:p>
    <w:p>
      <w:pPr>
        <w:spacing w:after="0" w:line="1" w:lineRule="exact"/>
        <w:rPr>
          <w:sz w:val="20"/>
          <w:szCs w:val="20"/>
          <w:color w:val="auto"/>
        </w:rPr>
      </w:pPr>
    </w:p>
    <w:p>
      <w:pPr>
        <w:ind w:right="300"/>
        <w:spacing w:after="0" w:line="221" w:lineRule="auto"/>
        <w:rPr>
          <w:sz w:val="20"/>
          <w:szCs w:val="20"/>
          <w:color w:val="auto"/>
        </w:rPr>
      </w:pPr>
      <w:r>
        <w:rPr>
          <w:rFonts w:ascii="Arial" w:cs="Arial" w:eastAsia="Arial" w:hAnsi="Arial"/>
          <w:sz w:val="18"/>
          <w:szCs w:val="18"/>
          <w:color w:val="auto"/>
        </w:rPr>
        <w:t>E-CBOT is powered by LIFFE CONNECT</w:t>
      </w:r>
      <w:r>
        <w:rPr>
          <w:rFonts w:ascii="Arial" w:cs="Arial" w:eastAsia="Arial" w:hAnsi="Arial"/>
          <w:sz w:val="22"/>
          <w:szCs w:val="22"/>
          <w:color w:val="auto"/>
          <w:vertAlign w:val="superscript"/>
        </w:rPr>
        <w:t>®</w:t>
      </w:r>
      <w:r>
        <w:rPr>
          <w:rFonts w:ascii="Arial" w:cs="Arial" w:eastAsia="Arial" w:hAnsi="Arial"/>
          <w:sz w:val="18"/>
          <w:szCs w:val="18"/>
          <w:color w:val="auto"/>
        </w:rPr>
        <w:t>. Further information about CME Group and its products can be found at http://www.cmegroup.com. Information made available on our Web site does not constitute a part of this report.</w:t>
      </w:r>
    </w:p>
    <w:p>
      <w:pPr>
        <w:spacing w:after="0" w:line="18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107"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CME Economic Derivatives are options and forwards geared to seven key U.S. and European economic indicators that traded in an auction format. Clearing and transaction fees on CME Economic Derivative products were based on notional values rather than volume and were minimal relative to other products. Unless otherwise noted, disclosures of trading volume and average rate per contract exclude these products. In July 2007, we discontinued trading in these products.</w:t>
      </w:r>
    </w:p>
    <w:p>
      <w:pPr>
        <w:spacing w:after="0" w:line="8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Unless otherwise noted, disclosures of trading volume and average rate per contract exclude these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this Annual Report on Form 10-K, we refer to our cash earnings, a non-GAAP number. A reconciliation of our cash earnings to net income is set forth on page 73.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CME Group is a combined entity formed by the 2007 merger of CME Holdings and CBOT Holdings and is the holding company of two futures exchanges: CME and CBOT.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Liquid Markets</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offer the widest array of benchmark products available across all major asset classes, including futures and options on futures based on interest rates, equity indexes, foreign exchange, agricultural commodities and alternative investments such as weather and real estate. The combined volume of CME and CBOT in 2007 exceeded 2.2 billion contracts. As of December 31, 2007, our open interest stood at 54.0 million contracts and our open interest record was 75.2 million contracts set on August 9, 2007. Open interest is the number of outstanding contracts at the close of the trading day and is a leading indicator of liquidity. Market liquidity, or the ability of a market to absorb the execution of large purchases or sales quickly and efficiently, is key to attracting customers and contributing to a market’s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Diverse Product Line</w:t>
      </w:r>
    </w:p>
    <w:p>
      <w:pPr>
        <w:spacing w:after="0" w:line="9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We serve the risk-management needs of customers around the globe, offering the widest range of benchmark products available on any exchange and covering all major asset classes. Our products provide a means for hedging, speculation and asset allocation relating to the risks associated with, among other things, interest rate sensitive instruments, equity ownership, changes in the value of foreign currency and changes in the prices of commodities. These include products based on the entire U.S. interest rate yield curve, equity indexes, foreign exchange, agricultural and industrial commodities, energy and alternative investment products.</w:t>
      </w:r>
    </w:p>
    <w:p>
      <w:pPr>
        <w:spacing w:after="0" w:line="9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Futures and options provide a way to protect against – and potentially profit from – price changes in financial instruments and physical commodities. Futures contracts are legally binding agreements to buy or sell something in the future, such as livestock or foreign currency. The buyer and seller of a futures contract agree on a price today for a product to be delivered and paid for in the future. Each contract specifies the quantity of the item and the time of delivery or payment. An option on a futures contract is a right, but not an obligation, to sell or buy a futures contract at a specified price on or before a certain expiration date.</w:t>
      </w:r>
    </w:p>
    <w:p>
      <w:pPr>
        <w:spacing w:after="0" w:line="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customer base includes professional traders, financial institutions, institutional and individual investors, major corporations, manufacturers, producers and governments.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Trading Technology</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CME Globex electronic trading platform is accessible virtually 24 hours a day throughout the trading week. In January 2008, we completed the integration of CBOT’s interest rate, equity and agricultural electronic products on to CME Globex. Our six telecommunication hubs in key financial centers in Europe and Asia provide customers across the globe with reduced connectivity costs and fast, efficient access to our electronic markets via the CME Globex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Reach</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a number of programs and products designed specifically to appeal to a global audience. Customers from all over the world trade our products, primarily electronically. Additionally, in 2007 we targeted strategic partnerships with a global focus as discussed in more detail below under “Growth Strategy – Globalizing the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Safeguards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own our own clearing house – CME Clearing. Ownership of our clearing house enables us to more quickly and efficiently bring new products to market through coordination of our clearing functions with our product development, technology, market regulation and other risk management activities. Our integrated clearing function is designed to ensure the safety and soundness of our markets. CME Clearing protects the financial integrity of our markets by serving as the counterparty to every trade – becoming the buyer to each seller and the seller to each buyer – and limiting credit risk. It is responsible for settling trading accounts, clearing trades,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collecting and maintaining performance bond funds, regulating delivery and reporting trading data. CME Clearing limits accumulation of debt from trading losses with twice daily mark-to-market settlement. As of December 31, 2007, we acted as custodian for approximately $59.9 billion in performance bond collateral. Performance bonds are a good-faith deposit that represents the minimum amount of protection against potential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CME was founded in 1898 as a not-for-profit corporation. In November 2000, CME demutualized and became a shareholder-owned corporation. As a consequence, we adopted a for-profit approach to our business, including strategic initiatives aimed at optimizing trading volume, efficiency and liquidity. In December 2002, CME Holdings completed its initial public offering of its Class A common stock and became the first U.S. financial exchange to be publicly traded. In July 2007, CME Holdings completed its historic merger with CBOT Holdings. As a result, we acquired CBOT. Founded in 1848, CBOT is the world’s leading marketplace for trading agricultural and U.S. Treasury futures as well as options on futures.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9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Increased market awareness and acceptance of derivatives, increased volatility, technological advances and reduced regulatory barriers offer significant opportunities for growth. We believe that we can capitalize on these trends and build on our competitive strengths by implementing the following strategies:</w:t>
      </w:r>
    </w:p>
    <w:p>
      <w:pPr>
        <w:spacing w:after="0" w:line="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the core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penetrating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transaction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new business opportunities;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globalizing the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Growing the Core Business. </w:t>
      </w:r>
      <w:r>
        <w:rPr>
          <w:rFonts w:ascii="Arial" w:cs="Arial" w:eastAsia="Arial" w:hAnsi="Arial"/>
          <w:sz w:val="15"/>
          <w:szCs w:val="15"/>
          <w:color w:val="auto"/>
        </w:rPr>
        <w:t>We intend to advance our position as a leader in the futures industry by generating organic growth through launching new products.</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a strong track record of innovation, continually launching new products and product line extensions. In 2007, our new products and product extensions included:</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   Lehman Brothers U.S. Aggregate Index</w:t>
            </w:r>
          </w:p>
        </w:tc>
        <w:tc>
          <w:tcPr>
            <w:tcW w:w="4020" w:type="dxa"/>
            <w:vAlign w:val="bottom"/>
            <w:gridSpan w:val="2"/>
          </w:tcPr>
          <w:p>
            <w:pPr>
              <w:ind w:left="660"/>
              <w:spacing w:after="0"/>
              <w:rPr>
                <w:sz w:val="20"/>
                <w:szCs w:val="20"/>
                <w:color w:val="auto"/>
              </w:rPr>
            </w:pPr>
            <w:r>
              <w:rPr>
                <w:rFonts w:ascii="Arial" w:cs="Arial" w:eastAsia="Arial" w:hAnsi="Arial"/>
                <w:sz w:val="18"/>
                <w:szCs w:val="18"/>
                <w:color w:val="auto"/>
                <w:w w:val="93"/>
              </w:rPr>
              <w:t>•   Dow Jones U.S. Real Estate Index futures</w:t>
            </w: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   E-mini S&amp;P SmallCap 600 and E-mini S&amp;P Midcap 400</w:t>
            </w:r>
          </w:p>
        </w:tc>
        <w:tc>
          <w:tcPr>
            <w:tcW w:w="4020" w:type="dxa"/>
            <w:vAlign w:val="bottom"/>
            <w:gridSpan w:val="2"/>
          </w:tcPr>
          <w:p>
            <w:pPr>
              <w:ind w:left="660"/>
              <w:spacing w:after="0"/>
              <w:rPr>
                <w:sz w:val="20"/>
                <w:szCs w:val="20"/>
                <w:color w:val="auto"/>
              </w:rPr>
            </w:pPr>
            <w:r>
              <w:rPr>
                <w:rFonts w:ascii="Arial" w:cs="Arial" w:eastAsia="Arial" w:hAnsi="Arial"/>
                <w:sz w:val="18"/>
                <w:szCs w:val="18"/>
                <w:color w:val="auto"/>
                <w:w w:val="90"/>
              </w:rPr>
              <w:t>•   S&amp;P/GRA Commercial Real Estate indexes</w:t>
            </w:r>
          </w:p>
        </w:tc>
      </w:tr>
      <w:tr>
        <w:trPr>
          <w:trHeight w:val="222"/>
        </w:trPr>
        <w:tc>
          <w:tcPr>
            <w:tcW w:w="4920" w:type="dxa"/>
            <w:vAlign w:val="bottom"/>
          </w:tcPr>
          <w:p>
            <w:pPr>
              <w:ind w:left="340"/>
              <w:spacing w:after="0"/>
              <w:rPr>
                <w:sz w:val="20"/>
                <w:szCs w:val="20"/>
                <w:color w:val="auto"/>
              </w:rPr>
            </w:pPr>
            <w:r>
              <w:rPr>
                <w:rFonts w:ascii="Arial" w:cs="Arial" w:eastAsia="Arial" w:hAnsi="Arial"/>
                <w:sz w:val="18"/>
                <w:szCs w:val="18"/>
                <w:color w:val="auto"/>
              </w:rPr>
              <w:t>options</w:t>
            </w:r>
          </w:p>
        </w:tc>
        <w:tc>
          <w:tcPr>
            <w:tcW w:w="8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   Weekly foreign exchange options</w:t>
            </w:r>
          </w:p>
        </w:tc>
        <w:tc>
          <w:tcPr>
            <w:tcW w:w="4020" w:type="dxa"/>
            <w:vAlign w:val="bottom"/>
            <w:gridSpan w:val="2"/>
          </w:tcPr>
          <w:p>
            <w:pPr>
              <w:ind w:left="660"/>
              <w:spacing w:after="0"/>
              <w:rPr>
                <w:sz w:val="20"/>
                <w:szCs w:val="20"/>
                <w:color w:val="auto"/>
              </w:rPr>
            </w:pPr>
            <w:r>
              <w:rPr>
                <w:rFonts w:ascii="Arial" w:cs="Arial" w:eastAsia="Arial" w:hAnsi="Arial"/>
                <w:sz w:val="18"/>
                <w:szCs w:val="18"/>
                <w:color w:val="auto"/>
              </w:rPr>
              <w:t>•   Hurricane futures and options</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   MSCI Emerging Markets Index futures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200" w:type="dxa"/>
            <w:vAlign w:val="bottom"/>
          </w:tcPr>
          <w:p>
            <w:pPr>
              <w:ind w:left="120"/>
              <w:spacing w:after="0"/>
              <w:rPr>
                <w:sz w:val="20"/>
                <w:szCs w:val="20"/>
                <w:color w:val="auto"/>
              </w:rPr>
            </w:pPr>
            <w:r>
              <w:rPr>
                <w:rFonts w:ascii="Arial" w:cs="Arial" w:eastAsia="Arial" w:hAnsi="Arial"/>
                <w:sz w:val="18"/>
                <w:szCs w:val="18"/>
                <w:color w:val="auto"/>
              </w:rPr>
              <w:t>Dry whey futures</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   Options on ethanol futures</w:t>
            </w:r>
          </w:p>
        </w:tc>
        <w:tc>
          <w:tcPr>
            <w:tcW w:w="4020" w:type="dxa"/>
            <w:vAlign w:val="bottom"/>
            <w:gridSpan w:val="2"/>
          </w:tcPr>
          <w:p>
            <w:pPr>
              <w:ind w:left="660"/>
              <w:spacing w:after="0"/>
              <w:rPr>
                <w:sz w:val="20"/>
                <w:szCs w:val="20"/>
                <w:color w:val="auto"/>
              </w:rPr>
            </w:pPr>
            <w:r>
              <w:rPr>
                <w:rFonts w:ascii="Arial" w:cs="Arial" w:eastAsia="Arial" w:hAnsi="Arial"/>
                <w:sz w:val="18"/>
                <w:szCs w:val="18"/>
                <w:color w:val="auto"/>
              </w:rPr>
              <w:t>•   Wood pulp futures and options</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   30-year Interest Rate Swap futures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200" w:type="dxa"/>
            <w:vAlign w:val="bottom"/>
          </w:tcPr>
          <w:p>
            <w:pPr>
              <w:ind w:left="120"/>
              <w:spacing w:after="0"/>
              <w:rPr>
                <w:sz w:val="20"/>
                <w:szCs w:val="20"/>
                <w:color w:val="auto"/>
              </w:rPr>
            </w:pPr>
            <w:r>
              <w:rPr>
                <w:rFonts w:ascii="Arial" w:cs="Arial" w:eastAsia="Arial" w:hAnsi="Arial"/>
                <w:sz w:val="18"/>
                <w:szCs w:val="18"/>
                <w:color w:val="auto"/>
              </w:rPr>
              <w:t>Credit event futures</w:t>
            </w:r>
          </w:p>
        </w:tc>
      </w:tr>
    </w:tbl>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plan to continue to work with existing and potential customers to develop new futures and options products that provide an array of relevant risk management tools.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Penetrating the Over-the-Counter Market. </w:t>
      </w:r>
      <w:r>
        <w:rPr>
          <w:rFonts w:ascii="Arial" w:cs="Arial" w:eastAsia="Arial" w:hAnsi="Arial"/>
          <w:sz w:val="18"/>
          <w:szCs w:val="18"/>
          <w:color w:val="auto"/>
        </w:rPr>
        <w:t>We intend to continue our initiatives to expand our business into over-the-counter markets by developing over-the-counter products and services and by entering these markets through acquisitions and strategic partnerships.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response to the rapid increase in popularity of foreign exchange as an asset class and the advances in electronic trading, we formed a joint venture with Reuters Group PLC (Reuters) to create the first centrally cleared, global over-the-counter foreign exchange marketplace — FXMarketSpace Limited (FXMS), launched in March 2007. This strategic relationship complements our foreign exchange futures and options products and represents an opportunity for us to expand into the over-the-counter foreign exchange marketplace.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Swapstream is a global, over-the-counter electronic trading platform for interest rate swaps that we acquired in 2006. It offers products that provide dealers with the flexibility to interact with one or more banks, one or more brokers, or any combination of these to build their own marketplace and distribute their liquidity. The platform also features a sophisticated permission-based system that allows market participants to publish customized prices and pricing curves based on both credit and counterparty considerations. We plan to launch CME Swaps on the Swapstream platform in the first half of 2008. CME Swaps on Swapstream are the first interest rate swaps that offer the full benefits of central counterparty clearing to the over-the-counter marketplace. Combining the strengths of CME Clearing360, our over-the-counter clearing services, and Swapstream’s trading technology is evidence of our broader strategy of providing greater operational and cost efficiencies to trading standard over-the-counter products.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Additionally, CBOT began offering ethanol swap products which trade over-the-counter and are cleared by CME Clearing360. Since their launch in 2006, more than 60,000 contracts total have traded with open interest in excess of 20,000 contracts.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Leveraging Our Transaction Processing Services. </w:t>
      </w:r>
      <w:r>
        <w:rPr>
          <w:rFonts w:ascii="Arial" w:cs="Arial" w:eastAsia="Arial" w:hAnsi="Arial"/>
          <w:sz w:val="16"/>
          <w:szCs w:val="16"/>
          <w:color w:val="auto"/>
        </w:rPr>
        <w:t>Providing third-party transaction processing, clearing and related services is a key element of our strategy.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there are opportunities to expand our service offerings and further diversify our revenue streams. In 2007, we generated $106.4 million in revenues (including $48.2 million from services provided to CBOT prior to our merger) from our transaction processing services. It accounted for 6% of total revenues.</w:t>
      </w:r>
    </w:p>
    <w:p>
      <w:pPr>
        <w:spacing w:after="0" w:line="10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Effective in June 2006, we became the exclusive electronic trading service provider for the NewYork Mercantile Exchange’s (NYMEX) energy futures and options contracts and for metals products listed on its COMEX Division. This relationship accounted for $56.4 million of our processing services revenue in 2007. We also have an agreement with the Brazilian Mercantile &amp; Futures Exchange S.A. (BM&amp;F) discussed below in more detail under “Globalizing the Business.” It includes an order-routing arrangement in which our CME Globex distribution network would be connected to BM&amp;F’s distribution network.</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result of the merger with CBOT Holdings, we also list the products of the Minneapolis Grain Exchange and the Kansas City Board of Trade for trading on the CME Globex platform.</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have a fast, widely distributed and reliable derivatives trading platform in CME Globex, and we have a world class clearing house. Our goal is to offer processing services to our partners, enhancing their ability to grow. Our relationships with CBOT and NYMEX evidence our ability to leverage the scalable infrastructure we have built.</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Leveraging Our Technology. </w:t>
      </w:r>
      <w:r>
        <w:rPr>
          <w:rFonts w:ascii="Arial" w:cs="Arial" w:eastAsia="Arial" w:hAnsi="Arial"/>
          <w:sz w:val="16"/>
          <w:szCs w:val="16"/>
          <w:color w:val="auto"/>
        </w:rPr>
        <w:t>Technology remains a key component of our growth strategy. Our goal is to leverage our technology, distribution and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processing. We made significant enhancements to improve the speed, functionality and reliability of our CME Globex platform. In 2007, we upgraded all match engines to improve performance during periods of peak activity. CME Globex handled an average daily volume of 6.0 million contracts in 2007 (including average daily volume of 0.8 million NYMEX contracts), with an all-time record of 14.2 million contracts (13.1 million for CME Group and 1.1 million for NYMEX) on August 16, 2007. Following the integration of CBOT products onto CME Globex, our all time record was 19.5 million transactions (18.3 million for CME Group, including CBOT contracts, and 1.2 million for NYMEX) on January 22, 2008. CME Globex has handled a peak order transaction load of 230 million orders and sent out a peak market data load of 163 million messages in a day.</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Advancing New Business Opportunities. </w:t>
      </w:r>
      <w:r>
        <w:rPr>
          <w:rFonts w:ascii="Arial" w:cs="Arial" w:eastAsia="Arial" w:hAnsi="Arial"/>
          <w:sz w:val="18"/>
          <w:szCs w:val="18"/>
          <w:color w:val="auto"/>
        </w:rPr>
        <w:t>In July 2007, we completed our historic merger with CBOT Holdings. Our combined company creates operational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efficiencies for our customers. The merger has allowed us to leverage each company’s distinct product lines for the benefit of customers around the world. In January 2008, we successfully migrated CBOT’s electronic commodities, equity index and interest rate products onto the CME Globex trading platform. In the second quarter of 2008, we will consolidate the trading floors of the two exchanges to our 141 West Jackson Boulevard location in Chicago. In 2007, we achieved expense savings of $26.2 million. We expect annual expense savings of more than $100 million in 2008. The bulk of the synergies will result from reducing technology and administrative costs, and creating more efficient trading floor operations. Staff reductions of 380 existing and open positions will be complete by mid-2008.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Globalizing the Business. </w:t>
      </w:r>
      <w:r>
        <w:rPr>
          <w:rFonts w:ascii="Arial" w:cs="Arial" w:eastAsia="Arial" w:hAnsi="Arial"/>
          <w:sz w:val="16"/>
          <w:szCs w:val="16"/>
          <w:color w:val="auto"/>
        </w:rPr>
        <w:t>Our goal is to expand and diversify our customer base worldwide and to offer customers around the world the most broadly diversified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benchmark products. We also seek to deploy our technology and transaction processing services globally. In 2007, we continued to deliver on this strategic initiative, working with the Korea Exchange and the China Foreign Exchange Trading System, among others.</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26, 2008, we completed our transaction with BM&amp;F for the purchase of a ten percent equity interest in BM&amp;F in exchange for approximately a two percent interest in CME Group. The transaction includes an order-routing arrangement in which our CME Globex electronic distribution network will be connected to BM&amp;F’s distribution network. The arrangement is exclusive to CME for order-routing services provided to BM&amp;F outside of China, Mexico, Central and South America and exclusive to BM&amp;F among exchanges in Central and South America. We also are contemplating additional initiatives with BM&amp;F, including enabling BM&amp;F to become a “super-clearing” member of CME Group and establishing a joint working group to explore opportunities to develop and market new products for the Brazilian and Latin American markets.</w:t>
      </w:r>
    </w:p>
    <w:p>
      <w:pPr>
        <w:spacing w:after="0" w:line="12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Also in 2007, we entered into a non-binding letter of intent with the Korea Exchange for a proposed agreement to list the KOSPI 200 futures on the CME Globex platform during non-Korean trading hours. The proposed five-year agreement would include the creation of a telecom hub in Seoul and would represent the first time the Korea Exchange has entered into a processing agreement relating to its KOSPI product line. We believe this arrangement represents an important step in our expansion into Asia, which is a vital area of long-term growth potential for us.</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will continue to explore opportunities to position CME Group to benefit from growth in key geographies through strategic investments, and to capitalize on opportunities in Asia and Latin America by leveraging our diverse product offerings.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We believe that the range and diversity of our products contribute significantly to our success. We offer markets in futures and options on futures contracts based on the U.S. interest rate yield curve, equity indexes, foreign exchange, agricultural and industrial commodities, energy and alternative investment products. Our products are traded through the CME Globex electronic trading platform, our open outcry auction markets or through privately negotiated transactions that we clear. For the year ended December 31, 2007, we derived $1.4 billion, or 81% of our total revenues, from fees associated with trading and clearing our products. These fees include per contract charges for trade execution, clearing and CME Globex fees. Fees are charged at various rates based on the product traded, the method of trade and the trading privileges of the customer making the trade. Generally, members are charged lower fees than non-members. Certain of our customers benefit from volume discounts and limits on fees as part of our efforts to encourage increased liquidity in our markets. Our markets also generate valuable data and information regarding pricing and trading activity in our products. We identify new products by monitoring economic trends and their impact on the risk management and speculative needs of our existing and prospective customers. See “Item 7. Management’s Discussion and Analysis of Financial Condition and Results of Operations,” page 59, for the average daily volume of contracts traded in our four principal product lines for the last two years.</w:t>
      </w:r>
    </w:p>
    <w:p>
      <w:pPr>
        <w:spacing w:after="0" w:line="10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Interest Rate Products. </w:t>
      </w:r>
      <w:r>
        <w:rPr>
          <w:rFonts w:ascii="Arial" w:cs="Arial" w:eastAsia="Arial" w:hAnsi="Arial"/>
          <w:sz w:val="16"/>
          <w:szCs w:val="16"/>
          <w:color w:val="auto"/>
        </w:rPr>
        <w:t>Our interest rate products enable banks and other financial institutions worldwide to hedge interest rate risks, and in turn help to reduce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overall cost of borrowing and financing. Our interest rate products allow our customers to execute transactions across the entire U.S. dollar-denominated yield curve using some of the world’s most actively traded futures and options products. Customers may manage short-, medium- and long-term interest rate risk using our products based on Eurodollars, U.S. Treasuries, swaps and other dollar-related instruments. As a result of our acquisition of CBOT, our interest rate products include CBOT’s thirty-year U.S. Treasury bond futures and options on futures and ten-year, five-year and two-year U.S. Treasury note futures and options. We also offer CME Credit Index Event Contracts, the first exchange-traded, centrally cleared and guaranteed product available in the U.S. credit derivatives market. Beginning in the fourth quarter, we added futures and options products based on the Lehman Brothers U.S. Aggregate Index, the preeminent benchmark debt index for U.S. investment-grade fixed income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Sixty percent of our overall annual trading volume in 2007 was based upon our interest rate products. The overall volume of our interest rate product line was up 73% compared to 2006 primarily due to our merger with CBOT Holdings.</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intend to increase our revenues from our interest rate product sector by leveraging cross marketing opportunities between CME and CBOT interest rate products, enhancing electronic liquidity in existing interest rate futures and options products, and extending into the execution and clearing of over-the-counter U.S. dollar and non-dollar interest rate derivative products through our launch of CME Swaps on Swapstream.</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Equity Products. </w:t>
      </w:r>
      <w:r>
        <w:rPr>
          <w:rFonts w:ascii="Arial" w:cs="Arial" w:eastAsia="Arial" w:hAnsi="Arial"/>
          <w:sz w:val="18"/>
          <w:szCs w:val="18"/>
          <w:color w:val="auto"/>
        </w:rPr>
        <w:t>Our equity products permit investors to obtain exposure, for hedging or speculative purposes, to a change in the weighting of one or more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sectors more efficiently than by buying or selling the underlying securities. By allowing investors to effectively manage stock market risks, our equity products increase investor confidence and overall participation in these important markets.</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a leading equity index marketplace, offering futures and options products on key benchmark equity indexes covering small-, medium- and large-cap companies in the U.S., Europe and Asia. These include the Standard &amp; Poor’s, Dow Jones, NASDAQ, Nikkei, MSCI and FTSE/Xinhua indexes, and others. We have exclusive licensing arrangements with Standard &amp; Poor’s Corporation (S&amp;P), The Nasdaq Stock Market, Inc. (NASDAQ) and Dow Jones &amp; Company, Inc. (Dow Jones), which allow us to offer futures and options on futures on their indexes, including our contracts based on the S&amp;P 500 Index, the NASDAQ-100 Index and the Dow Jones Industrial Average. For a detailed description of these licensing arrangements, see the section of this Annual Report on Form 10-K entitled “Item 1. Business—Licensing Agreements.”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also offer E-mini contracts, which trade exclusively on our CME Globex platform and are one-fifth the size of their standard counterparts. These products are designed to address the growing demand for equity derivatives and electronically traded products.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total trading volume for equity products rose 53% in 2007, to 667.9 million contracts. Trading in these products represented 30% of our total trading volume during 2007.</w:t>
      </w:r>
    </w:p>
    <w:p>
      <w:pPr>
        <w:spacing w:after="0" w:line="132"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believe our leading market position in equity products is a result of the liquidity of our markets, the status of the S&amp;P 500, the NASDAQ-100 and the Dow Jones Industrial Average indexes as the principal U.S. financial standards for benchmarking stock market returns, and the appeal to investors and traders of our E-mini products and other equity products and our CME Globex platform. These investors include public and private pension funds, investment companies, mutual funds, insurance companies and other financial services companies that benchmark their investment performance to different segments of the equity markets.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future growth in our equity products will come from expanding customer access to our electronic markets and enhancing the functionality of our CME Globex electronic platform to increase the electronic trading volume of our options on futures contracts as well as further educating the global marketplace on the benefits of these products.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Foreign Exchange Products. </w:t>
      </w:r>
      <w:r>
        <w:rPr>
          <w:rFonts w:ascii="Arial" w:cs="Arial" w:eastAsia="Arial" w:hAnsi="Arial"/>
          <w:sz w:val="16"/>
          <w:szCs w:val="16"/>
          <w:color w:val="auto"/>
        </w:rPr>
        <w:t>We became the first exchange to introduce financial futures when we launched foreign exchange futures in 1972. Our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market serves as an effective and efficient means of risk transfer for the global foreign exchange market, bringing together a broad array of client segments by offering investment as well as risk management opportunities. Our customers benefit from dealing anonymously in a fully transparent market, where large and small customers have equal access to the same prices and deep pool of liquidity. Our foreign exchange products provide the tools and resources to hedge foreign exchange risk, facilitating cross-border trade and commerce while mitigating the risks to profitability due to fluctuations in the foreign exchange market. Our foreign exchange market attracts both buy- and sell-side investors, including commercial and investment banks, hedge funds, commodity trading advisors, proprietary trading firms and individual investors. Approximately 92% of our foreign exchange products are traded electronically on the CME Globex platform, ensuring that business is transacted quickly with maximum operational efficiency.</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Today, we offer approximately 40 foreign exchange futures and approximately 30 foreign exchange options on futures products, covering major as well as a broad array of emerging market currency pairs in the following currencies: Euro, Japanese yen, British pound, Swiss franc, Canadian dollar, Australian dollar, New Zealand dollar, Mexican peso, Brazilian real, Norwegian krone, Swedish krona, Czech koruna, Hungarian forint, Polish zloty, Russian ruble, South African rand, Israeli shekel, Korean won, and Chinese renminbi.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2007, we saw an average daily volume of 569,000 foreign exchange contracts per day, with a notional value of $70.9 billion a day. Our total foreign exchange trading volume increased 27% in 2007, with a total of 144.0 million contracts traded during the year. Trading in our foreign exchange products represented 6% of our total trading volume in 2007. In 2007, electronically traded foreign exchange volume increased 33% over 2006 to 132.5 million contracts. Open outcry trading decreased 33% to 3.9 million contracts in 2007.</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future growth in our foreign exchange product line will come from expanding and diversifying our product suite and customer base. For example, trading in volatility-based options on six of our foreign exchange options will begin in March 2008. We are expanding our foreign exchange options product suite to appeal to a broader array of customer segments, and we expect continued strong growth in the electronic execution of foreign exchange options on CME Globex in 2008. As we expand our global footprint in the foreign exchange market, we expect increased trading volume from customers outside of the United States.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 xml:space="preserve">Commodity and Alternative Investment Products. </w:t>
      </w:r>
      <w:r>
        <w:rPr>
          <w:rFonts w:ascii="Arial" w:cs="Arial" w:eastAsia="Arial" w:hAnsi="Arial"/>
          <w:sz w:val="16"/>
          <w:szCs w:val="16"/>
          <w:color w:val="auto"/>
        </w:rPr>
        <w:t>Our commodity products help establish benchmark prices and play an important role in risk management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agricultural community. These products provide hedging tools for our customers who deal in tangible physical commodities, including agricultural producers of commodities and food processors. Commodity products were our only products when our exchange first opened for business. We have maintained a strong franchise in our commodity products, including futures contracts based on cattle, hogs, pork bellies, lumber and dairy products and, now as a result of our acquisition of CBOT, have added contracts based on soybeans, corn, wheat, oats, rough rice, gold and silver.</w:t>
      </w:r>
    </w:p>
    <w:p>
      <w:pPr>
        <w:spacing w:after="0" w:line="11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We also provide our customers with non-traditional, alternative investment products to diversify and manage their risk. Our real estate products provide opportunities for protection in up and down markets, and extend to the real estate industry the same financial tools that our previous innovations have brought to agriculture and finance. By providing a means of hedging exposure to real estate prices, customers can diffuse the potential impact of sustained declines in real estate prices. Our ethanol products offer a way for ethanol producers, ethanol marketers and gasoline refiners to limit alternative fuel price risk in a highly volatile, growing market faced with mounting regulatory and market pressures. We also are the only regulated exchange that offers risk management products on the weather market through our weather contracts based on aggregate temperatures in 35 cities around the world as well as hurricane, snowfall and frost indexes.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Commodity and alternative investment products accounted for 4% of our trading volume during 2007.</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continue to execute our strategy of growing our customer base and providing side-by-side access to our commodity markets. We believe the changing perception of commodities as an asset class provides an opportunity for growth in our markets.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Market Data and Information Products. </w:t>
      </w:r>
      <w:r>
        <w:rPr>
          <w:rFonts w:ascii="Arial" w:cs="Arial" w:eastAsia="Arial" w:hAnsi="Arial"/>
          <w:sz w:val="16"/>
          <w:szCs w:val="16"/>
          <w:color w:val="auto"/>
        </w:rPr>
        <w:t>Our markets generate valuable information regarding prices and trading activity in our products that 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enhances the trading activity in our products. The dissemination of real-time data generates revenues and supports our customer base with timely market information. We sell our market data, which includes information about bids, offers, trades and trade size in our products, to banks, broker-dealers, pension funds, investment companies, mutual funds, insurance companies, individual investors and other financial services companies or organizations that use our markets or monitor general economic conditions. We distribute our market data directly to our electronic trading customers as part of their access to our markets through our electronic facilities. We also distribute market data via dedicated networks to quote vendors who consolidate our market data with that from other exchanges, other third party data providers and news services, and then resell their consolidated data. Revenues from market data products totaled $145.1 million, or 8% of our total revenues, in 2007.</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Sophisticated quantitative approaches to risk management as well as customer time sensitivity have created new needs, uses and demands for trading-related data and analytics. We continue to enhance our current market data and information product offerings by creating new value-added services to complement our market data products, including databases, analytical tools and other services to assist end-users. In October 2007, we launched our new Market Data Protocol named FIX/FAST. FIX/FAST is the most recent step in our strategy to improve market data offerings in response to customer requests for faster and more efficient distribution of data. Combined with last year’s change to the Market Data Platform dissemination method, customers now have the latest technology available for obtaining our market information and prices.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market data and information products business, we also supply services to S&amp;P and OneChicago, our joint venture with the Chicago Board Options Exchange, Inc. (CBOE) and Interactive Brokers Group, in connection with the usage reporting, contract administration and associated billing and revenue collection for the display and integration of their market data into our standard market data distribution. We are also the exclusive distributor of Dow Jones Index data.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primary trade execution facilities consist of our CME Globex electronic trading platform and our open outcry trading floors. Both of these execution facilities offer our customers immediate trade execution and price transparency and are supported by substantial infrastructure and technology for order routing, trade reporting, market data dissemination and market surveillance and regulation. In addition, trades can be executed through privately negotiated transactions that are cleared and settled through our clearing house.</w:t>
      </w:r>
    </w:p>
    <w:p>
      <w:pPr>
        <w:spacing w:after="0" w:line="143"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b w:val="1"/>
          <w:bCs w:val="1"/>
          <w:i w:val="1"/>
          <w:iCs w:val="1"/>
          <w:color w:val="auto"/>
        </w:rPr>
        <w:t xml:space="preserve">Electronic Trading. </w:t>
      </w:r>
      <w:r>
        <w:rPr>
          <w:rFonts w:ascii="Arial" w:cs="Arial" w:eastAsia="Arial" w:hAnsi="Arial"/>
          <w:sz w:val="15"/>
          <w:szCs w:val="15"/>
          <w:color w:val="auto"/>
        </w:rPr>
        <w:t>Our CME Globex electronic trading platform maintains an electronic, centralized order book and trade execution algorithm for futures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contracts and options on futures contracts and allows users to enter orders directly into the order book. In January 2008, we completed the migration of CBOT’s agricultural, interest and equity products to the CME Globex platform. CBOT metals products continue to trade on e-CBOT, powered by LIFFE CONNECT.</w:t>
      </w:r>
    </w:p>
    <w:p>
      <w:pPr>
        <w:spacing w:after="0" w:line="8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2007, 77% of our total trading volume was executed electronically, compared with 71% in 2006. During 2007, approximately 77% of our clearing and transaction fees revenue was derived from electronic trading.</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Additionally, we offer the ability to trade the U.S. dollar-, British pound-, euro- and Swiss franc-denominated medium-term and long-term interest rate swaps and spread trades on the Swapstream platform.</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Open Outcry Trading. </w:t>
      </w:r>
      <w:r>
        <w:rPr>
          <w:rFonts w:ascii="Arial" w:cs="Arial" w:eastAsia="Arial" w:hAnsi="Arial"/>
          <w:sz w:val="18"/>
          <w:szCs w:val="18"/>
          <w:color w:val="auto"/>
        </w:rPr>
        <w:t>We also offer our members the ability to execute transactions in an open-auction format on our trading floors—a centralized meeting 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traders and floor brokers to trade our products. Orders by market participants not physically located on the trading floor are communicated to floor brokers. Current market information and news are displayed on wallboards hung above the trading pits. Following the merger with CBOT Holdings, we operate two separate trading floors for trading CME and CBOT products. In the second quarter of 2008, we will integrate the CME and CBOT trading floors at one location at 141 W. Jackson Boulevard in Chicago. Open outcry trading represented 21% of our total trading volume in 2007 and accounted for approximately 16% of our clearing and transaction fees revenue.</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Privately Negotiated Transactions. </w:t>
      </w:r>
      <w:r>
        <w:rPr>
          <w:rFonts w:ascii="Arial" w:cs="Arial" w:eastAsia="Arial" w:hAnsi="Arial"/>
          <w:sz w:val="16"/>
          <w:szCs w:val="16"/>
          <w:color w:val="auto"/>
        </w:rPr>
        <w:t>In addition to offering traditional open outcry and electronic trading through the CME Globex platform, we permit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trade our products by entering into privately negotiated transactions, which are reported and included in the market data we distribute. We also clear, settle and guarantee these transactions through our clearing house. Some market participants value privately negotiated transactions as a way to ensure that large transactions can be completed at a single price or in a single transaction while preserving their ability to effectively complete a hedging, risk management or other trading strategy. During 2007, approximately 7% of our clearing and transaction fees revenue was derived from this type of trading.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operate our own clearing house—CME Clearing—that clears, settles and guarantees the performance of all transactions matched through our execution facilities and on third party exchanges for which we provide clearing services. Up until the closing of the merger with CBOT Holdings, we provided clearing services to CBOT. Ownership and control of our own clearing house enables us to retain the revenue associated with both the trading and clearing of our products. By owning our clearing house, we also control the cost structure and the technology development cycle for our clearing services. It helps us manage our new product initiatives without being dependent on an outside entity. It also benefits our customers by creating operational, risk management and product benefits. Additionally, owning our own clearing house allows us to generate additional revenue by providing clearing services to other exchanges. In February 2007, we began clearing over-the-counter foreign exchange products for FXMS and we provide clearing services for OneChicago.</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2007, our clearing house cleared an average of 11.0 million contracts daily and 2.8 billion contracts overall, which includes contracts cleared for CBOT prior to the closing of the merger in July. As of December 31, 2007, our open interest stood at 54.0 million contracts and our open interest record was 75.2 million contracts set on August 9, 2007. As of December 31, 2007, we acted as custodian for approximately $59.9 billion in performance bond collateral deposited by our clearing firms and, during 2007, we moved an average of approximately $2.2 billion a day in settlement funds through our clearing system. In June 2007, the United Kingdom’s Financial Services Authority granted CME the status of a Recognised Overseas Clearing House, which enables us to provide global clearing services to market participants in the United Kingdom and serve a wider range of those customers’ risk management needs. In addition, our clearing house guarantees the performance of all our contracts with a financial safeguards package of approximately $5.2 billion (as of January 1,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clearing function provides three primary benefits to our markets: efficient, high-volume transaction processing; cost and capital efficiencies; and a reliable credit guarantee. The services we provide can be broadly categorized as follows: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processing and position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protection and risk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collateral and delivery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cross-margining and mutual offset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services.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Transaction Processing and Position Management</w:t>
      </w:r>
      <w:r>
        <w:rPr>
          <w:rFonts w:ascii="Arial" w:cs="Arial" w:eastAsia="Arial" w:hAnsi="Arial"/>
          <w:sz w:val="16"/>
          <w:szCs w:val="16"/>
          <w:color w:val="auto"/>
        </w:rPr>
        <w:t>. Our CLEARING 21 system developed with NYMEX in the early 1990s processes reported trades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on a real-time basis, providing users with instantaneous information on trades, positions and risk exposure. CLEARING 21 is able to process trades in futures and options products, securities and cash instruments. CLEARING 21 can also support complex new product types, including combinations, options on combinations, options on options, swaps, repurchase and reverse repurchase agreements, and other instruments. Through CLEARING 21 user interfaces, our clearing firms can electronically manage their positions, exercise options, enter transactions related to foreign exchange deliveries, manage collateral posted to meet performance bond requirements and access all of our other on-line applications. Together with our order routing and trade matching services, we offer straight-through electronic processing of transactions in which an order is electronically routed, matched, cleared and made available to the clearing firm’s back-office systems for further processing.</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 xml:space="preserve">Market Protection and Risk Management. </w:t>
      </w:r>
      <w:r>
        <w:rPr>
          <w:rFonts w:ascii="Arial" w:cs="Arial" w:eastAsia="Arial" w:hAnsi="Arial"/>
          <w:sz w:val="16"/>
          <w:szCs w:val="16"/>
          <w:color w:val="auto"/>
        </w:rPr>
        <w:t>Our clearing house guarantee of performance is a significant attraction, and an important part of the functioning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exchange.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order to ensure performance, we establish and monitor financial requirements for our clearing firms. We also set minimum performance bond requirements for our traded products. Our clearing house uses our proprietary CME SPAN software, which determines the appropriate performance bond requirements by simulating the gains and losses of complex portfolios. We typically hold performance bond collateral to cover at least 95% of price changes for a given product within a given historical period.</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each settlement cycle, our clearing house values, at the market price prevailing at that time, or marks-to-market, all open positions and requires payments from clearing firms whose positions have lost value and makes payments to clearing firms whose positions have gained value. Our clearing house marks-to-market all open positions at least twice a day, and more often if market volatility warrants. Marking-to-market provides both participants in a transaction with an accounting of their financial obligations under the contract.</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Having a mark-to-market cycle of a minimum of two times a day helps protect the financial integrity of our clearing house, our clearing firms and market participants. This allows our clearing house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unlikely event of a payment default by a clearing firm, we would first apply assets of that clearing firm to cover its payment obligation. These assets include security deposits, performance bonds and any other available assets, such as the proceeds from the sale of Class A common stock and trading rights (at CME and/or CBOT, as applicable) of the clearing firm and the Class B common stock for CME clearing firms owned by or assigned to the clearing firm. In addition, we would make a demand for payment pursuant to any applicable guarantee provided to the exchange by the parent of a clearing firm. Thereafter, if the payment default remains unsatisfied, we would use our surplus funds, security deposits of other clearing firms and funds collected through an assessment against all other solvent clearing firms to satisfy the deficit. We maintain a committed $800 million 364-day revolving line of credit with a consortium of banks. We have the option to increase the facility from $800 million to $1 billion, subject to approval by the participating banks. We are required to post additional collateral in connection with any such increase. This line of credit may also be utilized if there is a temporary disruption with the domestic payments system that would delay settlement payments between our clearing house and clearing firms. The credit agreement requires us to pledge clearing firm security deposits held by us in the form of U.S. Treasury or agency securities, as well as security deposit funds in our second Interest Earning Facility program (IEF2) to the line of credit custodian prior to drawing on the line. Performance bond collateral of a defaulting clearing firm may also be used to secure a draw on the line.</w:t>
      </w:r>
    </w:p>
    <w:p>
      <w:pPr>
        <w:spacing w:after="0" w:line="127"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b w:val="1"/>
          <w:bCs w:val="1"/>
          <w:i w:val="1"/>
          <w:iCs w:val="1"/>
          <w:color w:val="auto"/>
        </w:rPr>
        <w:t xml:space="preserve">Settlement, Collateral and Delivery Services. </w:t>
      </w:r>
      <w:r>
        <w:rPr>
          <w:rFonts w:ascii="Arial" w:cs="Arial" w:eastAsia="Arial" w:hAnsi="Arial"/>
          <w:sz w:val="15"/>
          <w:szCs w:val="15"/>
          <w:color w:val="auto"/>
        </w:rPr>
        <w:t>We manage final settlement in all of our contracts, including cash settlement, physical delivery of selected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commodities, and option exercises and assignments. Because some initial and maintenance performance bonds from clearing firms, as well as mark-to-market obligations on some of our contracts, are denominated in various foreign currencies, we offer multi-currency performance bond and settlement services.</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Generally, although more than 95% of all futures contracts are liquidated before the expiration of the contract, the underlying financial instruments or commodities for the remainder of the contracts must be delivered. We act as the delivery agent for all contracts, ensuring timely delivery by the seller of the exact quality and quantity specified in a contract and full and timely payment by the buyer. We also facilitate final settlement on a daily basis for cash foreign exchange transactions with FXMS.</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administer its system of financial safeguards efficiently, our clearing house has developed banking relationships with a network of major U.S. banks and banking industry infrastructure providers, such as the Society for Worldwide Interbank Financial Telecommunications. Among the key services provided to our clearing house by these banks and service providers are a variety of custody, credit and payment services that support the substantial financial commitments and processes backing the guarantee of our clearing house to market participants.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Cross-Margining and Mutual Offset Services. </w:t>
      </w:r>
      <w:r>
        <w:rPr>
          <w:rFonts w:ascii="Arial" w:cs="Arial" w:eastAsia="Arial" w:hAnsi="Arial"/>
          <w:sz w:val="15"/>
          <w:szCs w:val="15"/>
          <w:color w:val="auto"/>
        </w:rPr>
        <w:t>Cross-margining arrangements reduce capital costs for clearing firms and customers. These agreements permit 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individual clearing house to recognize a clearing firm’s open positions at other participating clearing houses, and clearing firms are able to offset risks of positions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held at one clearing house against those held at other participating clearing houses. This arrangement reduces the need for collateral deposits by the clearing firm.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example, our cross-margining program with the Options Clearing Corporation reduced performance bond requirements for our members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billion a day in 2007. We have implemented cross-margining arrangements with NYMEX, the Fixed Income Clearing Corporation and LCH.Clearnet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positions at the London International Financial Futures and Options Exchange that are cleared through LCH.Clearnet Group. In addition, our mutual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the Singapore Derivatives Exchange allows a clearing firm of either exchange initiating trades in certain products on either exchange to execute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after-hours trades at the other exchange in those products and then transfer them back to the originating exchange. This mutual offset arrangement enables firms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to execute trades at either exchange virtually 24 hours per day. This arrangement has been in place since 1984 and was renewed in October 2006 for an additional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year term with automatic renewals for one year each unless terminated by either party.</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 xml:space="preserve">Investment Services. </w:t>
      </w:r>
      <w:r>
        <w:rPr>
          <w:rFonts w:ascii="Arial" w:cs="Arial" w:eastAsia="Arial" w:hAnsi="Arial"/>
          <w:sz w:val="16"/>
          <w:szCs w:val="16"/>
          <w:color w:val="auto"/>
        </w:rPr>
        <w:t>In order to achieve collateral efficiencies for our clearing firms, we have established a number of collateral programs under the designation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Earning Facility (IEF). Under this program, our clearing firms may select from four different IEF programs to meet their individual needs. The programs are designed to enable our clearing firms to make optimal use of the demand deposit cash accounts and security accounts they have established to satisfy our performance bond requirements. We earn fee income in return for providing these value-added services to our clearing firms.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clearing house launched a securities lending program in 2001 using a portion of certain securities deposited to meet the proprietary performance bond requirements of our clearing firms. Under this securities lending program, we lend a security to a third party and receive collateral in the form of cash. The majority of the cash is then invested on an overnight basis to generate interest income. The related interest expense represents payment to the borrower of the security for the cash collateral retained during the duration of the lending transaction. Securities on loan are marked-to-market daily and compared to collateral received.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operation of both electronic and open outcry trading facilities and a clearing house has influenced the design and implementation of the technologies that support our operations.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Trading Technology. </w:t>
      </w:r>
      <w:r>
        <w:rPr>
          <w:rFonts w:ascii="Arial" w:cs="Arial" w:eastAsia="Arial" w:hAnsi="Arial"/>
          <w:sz w:val="18"/>
          <w:szCs w:val="18"/>
          <w:color w:val="auto"/>
        </w:rPr>
        <w:t>We have a proven track record of operating successful electronic and open outcry markets by developing and integrating multiple, 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that support a growing and substantial trading volume. The integrated suite of technologies we employ to accomplish this has been designed to support a significant expansion of our current business and provides us with an opportunity to leverage our technology base into new markets, products and services.</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electronic trading activity expands, we continue to provide greater match engine functionality unique to various markets, market models and product types. We have adopted a modular approach to technology development and engineered an integrated set of solutions that support multiple specialized markets. We continually monitor and upgrade our capacity requirements. Our goal is to design our systems to handle at least one and a half times our historical peak transactions in our highest volume products. Significant investments in production planning, quality assurance and certification processes have enhanced our ability to expedite the delivery of the system enhancements that we develop for our customers. In 2007, we were focused on the planning and implementation of the migration of CBOT products onto the CME Globex platform. This migration was completed in January 2008 with the exception of CBOT metals products which will continue to trade on e-CBOT through mid-July 2008. We will continue to need to expand and upgrade our technology and systems to respond to increases in trading volume and order transaction traffic.</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Speed, reliability, scalability, capacity and functionality are critical performance criteria for electronic trading platforms. A substantial portion of our operating budget is dedicated to system design, development and operations in order to achieve high levels of overall system performance. In 2007, we continued our efforts to grow and enhance our electronic trading capabilities. We also maintain remote data facilities to provide additional system capacity and redundancy for our trading and clearing technology. Our data centers support our customer interfaces, trading and execution systems, as well as clearing and settlement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systems supporting our trading operations can be divided into five major categories:</w:t>
      </w:r>
    </w:p>
    <w:p>
      <w:pPr>
        <w:sectPr>
          <w:pgSz w:w="11900" w:h="16838" w:orient="portrait"/>
          <w:cols w:equalWidth="0" w:num="1">
            <w:col w:w="11340"/>
          </w:cols>
          <w:pgMar w:left="240" w:top="459" w:right="31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Distribution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Technologies that support the ability of customers to access our trading systems from terminals through network access to our trading floor and/or electronic trading environments.</w:t>
      </w:r>
    </w:p>
    <w:p>
      <w:pPr>
        <w:spacing w:after="0" w:line="78" w:lineRule="exact"/>
        <w:rPr>
          <w:sz w:val="20"/>
          <w:szCs w:val="20"/>
          <w:color w:val="auto"/>
        </w:rPr>
      </w:pPr>
    </w:p>
    <w:p>
      <w:pPr>
        <w:sectPr>
          <w:pgSz w:w="11900" w:h="16838" w:orient="portrait"/>
          <w:cols w:equalWidth="0" w:num="2">
            <w:col w:w="2480" w:space="720"/>
            <w:col w:w="8140"/>
          </w:cols>
          <w:pgMar w:left="240" w:top="459" w:right="31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Order routing/order management</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Technologies that control the flow of orders to the trading floor or electronic trading systems and that monitor the status of and modify submitted orders.</w:t>
      </w:r>
    </w:p>
    <w:p>
      <w:pPr>
        <w:spacing w:after="0" w:line="78" w:lineRule="exact"/>
        <w:rPr>
          <w:sz w:val="20"/>
          <w:szCs w:val="20"/>
          <w:color w:val="auto"/>
        </w:rPr>
      </w:pPr>
    </w:p>
    <w:p>
      <w:pPr>
        <w:sectPr>
          <w:pgSz w:w="11900" w:h="16838" w:orient="portrait"/>
          <w:cols w:equalWidth="0" w:num="2">
            <w:col w:w="2480" w:space="720"/>
            <w:col w:w="8140"/>
          </w:cols>
          <w:pgMar w:left="240" w:top="459" w:right="31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Trade matching (electronic market)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Technologies that aggregate submitted orders and electronically match buy and sell orders when their trade conditions are met.</w:t>
      </w:r>
    </w:p>
    <w:p>
      <w:pPr>
        <w:spacing w:after="0" w:line="78" w:lineRule="exact"/>
        <w:rPr>
          <w:sz w:val="20"/>
          <w:szCs w:val="20"/>
          <w:color w:val="auto"/>
        </w:rPr>
      </w:pPr>
    </w:p>
    <w:p>
      <w:pPr>
        <w:sectPr>
          <w:pgSz w:w="11900" w:h="16838" w:orient="portrait"/>
          <w:cols w:equalWidth="0" w:num="2">
            <w:col w:w="2580" w:space="620"/>
            <w:col w:w="814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Market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Technologies that distribute order information to our end user customers on our market data platform.</w:t>
      </w:r>
    </w:p>
    <w:p>
      <w:pPr>
        <w:spacing w:after="0" w:line="151" w:lineRule="exact"/>
        <w:rPr>
          <w:sz w:val="20"/>
          <w:szCs w:val="20"/>
          <w:color w:val="auto"/>
        </w:rPr>
      </w:pPr>
    </w:p>
    <w:p>
      <w:pPr>
        <w:sectPr>
          <w:pgSz w:w="11900" w:h="16838" w:orient="portrait"/>
          <w:cols w:equalWidth="0" w:num="2">
            <w:col w:w="2480" w:space="720"/>
            <w:col w:w="8140"/>
          </w:cols>
          <w:pgMar w:left="240" w:top="459" w:right="31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Trading floor operations</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Technologies that maximize market participants’ ability to capitalize on opportunities present in both the trading floor and electronic markets that we operate.</w:t>
      </w:r>
    </w:p>
    <w:p>
      <w:pPr>
        <w:spacing w:after="0" w:line="118" w:lineRule="exact"/>
        <w:rPr>
          <w:sz w:val="20"/>
          <w:szCs w:val="20"/>
          <w:color w:val="auto"/>
        </w:rPr>
      </w:pPr>
    </w:p>
    <w:p>
      <w:pPr>
        <w:sectPr>
          <w:pgSz w:w="11900" w:h="16838" w:orient="portrait"/>
          <w:cols w:equalWidth="0" w:num="2">
            <w:col w:w="2480" w:space="720"/>
            <w:col w:w="8140"/>
          </w:cols>
          <w:pgMar w:left="240" w:top="45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40"/>
          </w:cols>
          <w:pgMar w:left="240" w:top="459" w:right="3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CME Globex electronic trading platform includes the distribution, order routing, order management, trade matching and market data technology. CME Globex’s modularity and functionality enable us to selectively add products with unique trading characteristics onto the trading platform.</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distribution technologies we offer differentiate our platform and bring liquidity and trading volume to our execution facilities. As of December 31, 2007, we had more than 1,100 direct connections with our systems for customers across the globe. Many of these customers connect through a dedicated private network that is readily available, has wide distribution and provides fast connections in the Americas, Europe and Asia. We have telecommunications hubs in Amsterdam, Dublin, London, Milan, Paris and Singapore to respond to customer requests and reduce the cost of trading for our foreign customers. In 2007, we closed the hub in Gibraltar. We plan to add hubs in Seoul, Sao Paulo and Shanghai. We plan to add distribution for BM&amp;F products in 2008.</w:t>
      </w:r>
    </w:p>
    <w:p>
      <w:pPr>
        <w:spacing w:after="0" w:line="1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 order routing and management, we offer a range of mechanisms and were among the first U.S. derivatives exchanges to implement the FIX protocol—the standard order routing protocol used within the securities industry. In addition, our order routing and order management systems are capable of supporting multiple electronic trading match engines. This functionality gives us great latitude in the types of markets that we choose to serve.</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Several key technology platforms and standards are used to support these activities, including fault-tolerant Hewlett Packard Integrity NonStop servers that incorporate Intel Itanium processors, IBM mainframes, Microsoft software, Hitachi and EMC Storage Area Network (SAN equipment), Sun Microsystems and Hewlett Packard servers, Oracle and DB2 databases, LINUX, UNIX, Novell, TIBCO middleware and multi-vendor network solutions.</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futures match engine is based upon the computerized trading and match software known as the NSC system. We have a fully trained development team that maintains, upgrades and customizes our version of the NSC system. The customized enhancements that we have developed address the unique trading demands of each marketplace that we serve. We continue to focus on performance features of the match engine. In 2007, we upgraded all match engines to improve performance during periods of peak activity.</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options match engine was designed and built at CME with focus on the speed of matching buy and sell orders and fault tolerance for 24-hour trading. We work on continuous enhancements to build a fully-functional electronic marketplace for options where our customers can offset their risk with as much ease as in our open outcry trading facilities. We also offer user-defined functionality for customers to create and trade customized spreads of instruments.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Over the last three years we have made significant investments in market data technologies to support increased trading and messaging volumes. Enhancements include performance improvements, scalability with a new multicast distribution platform, and a FIX 5.0 compliant messaging format. These implementations benefit our customers through reducing required bandwidth, costs, and improved performance.</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merger with CBOT Holdings will allow us to incorporate their floor technologies into our combined operations. These technologies facilitate side-by-side trading and provide enhanced pit trading capabilities.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Clearing Technology. </w:t>
      </w:r>
      <w:r>
        <w:rPr>
          <w:rFonts w:ascii="Arial" w:cs="Arial" w:eastAsia="Arial" w:hAnsi="Arial"/>
          <w:sz w:val="18"/>
          <w:szCs w:val="18"/>
          <w:color w:val="auto"/>
        </w:rPr>
        <w:t>CLEARING 21, our clearing and settlement software, and CME SPAN, our margining and risk management software, form the core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clearing technology.</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CLEARING 21 is a system for high-volume, high-capacity clearing and settlement of exchange-based transactions that we developed jointly with NYMEX in the early 1990s. The system offers clearing firms improved efficiency and reduced costs. CLEARING 21’s modular design gives us the ability to rapidly introduce new products. The software can be customized to meet the unique needs of specialized markets.</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CME SPAN is our sophisticated margining and risk management software. CME SPAN has now been adopted by more than 50 exchanges and clearing organizations worldwide. This software simulates the effects of changing market conditions on a complex portfolio and uses standard options pricing models to determine a portfolio’s overall risk. CME SPAN then generates a performance bond requirement that typically covers 95% of price changes within a given historical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Services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our merger with CBOT Holdings, we now own and manage three buildings, with over 1.5 million square feet of commercial space in the aggregate, in the central business district of Chicago. As of December 31, 2007, the buildings were about 90% occupied, with approximately 32% of the total space used by us. In September 2007, we began renovations on the CBOT trading floor in connection with the migration of the CME trading floors from 20 South Wacker Drive to 141 West Jackson Boulevard in Chicago, which is expected to occur beginning in April 2008.</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Tenants pay market rates for rent. The majority of tenant leases have terms of three to five years, with large tenants generally having leases for up to nineteen years. As of December 31, 2007, the largest tenant, other than us, leased approximately 8% of the rentable area and the next five largest tenants leased about 18% of the rentable area. We manage both the real estate and the general services relating to such real estate such as cleaning, power and telephone services through our wholly-owned subsidiary, C-B-T Corporation. Building services generated about 1% of our total revenues in 2007.</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CBOT previously spent considerable resources so that all three buildings have advanced electrical, mechanical and telecommunications infrastructure and services. The demographics of the tenants of our commercial space have begun to widen beyond traditional brokerage/trading service firms to include other financial services firms, which we believe is due to the location and desirable electrical, telecommunications and mechanical infrastructure of our buildings. We expect additional tenants who previously leased space at 10 and 30 South Wacker Drive to move to 141 West Jackson in connection with the migration of the CME trading floors.</w:t>
      </w:r>
    </w:p>
    <w:p>
      <w:pPr>
        <w:spacing w:after="0" w:line="14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2004, a proposal was approved by the Chicago City Council re-designating the property-tax classification for the landmark building at 141 W. Jackson in Chicago as “Class L” in order to provide assistance in connection with renovations. The Class L classification is expected to lower our property taxes by about $14 million over 12 years, beginning with our 2008 real estate taxes payable in 2009. The reduction in property tax assessments associated with the Class L designation is available to owners renovating landmark buildings. The north facade and lobby of the 141 W. Jackson building have been city landmarks since 1977, but a separate ordinance extended protected status to all four facades. As part of the Class L incentive, we agreed to a major renovation of the North Building consisting of the renovation and cleaning of the façade, a full elevator modernization, renovation of the lobby and various other aesthetic and infrastructure improvements.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Continuity Planning</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continue to strengthen and upgrade our disaster recovery facilities and capabilities. We have dedicated significant resources to improve our continuity planning. For example, our disaster recovery infrastructure and activities include:</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Formal disaster recovery testing conducted twice a year at each of our data centers.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Network disaster recovery testing conducted monthly.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Participation in an annual industry-wide disaster recovery test sponsored by the Futures Industry Association.</w:t>
      </w:r>
    </w:p>
    <w:p>
      <w:pPr>
        <w:spacing w:after="0" w:line="17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Additionally, in order to ensure proper coordination during a potential crisis, we have established relationships with the local business community, law enforcement, and local and regional governmental emergency agencies.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continually review our growth strategy and whether it is in the interests of our shareholders to engage in discussions with other parties regarding various strategic acquisitions, partnerships, divestitures and other arrangements and alliances.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key strategic relationships.</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 xml:space="preserve">BM&amp;F. </w:t>
      </w:r>
      <w:r>
        <w:rPr>
          <w:rFonts w:ascii="Arial" w:cs="Arial" w:eastAsia="Arial" w:hAnsi="Arial"/>
          <w:sz w:val="16"/>
          <w:szCs w:val="16"/>
          <w:color w:val="auto"/>
        </w:rPr>
        <w:t>On February 26, 2008, we completed our transaction with BM&amp;F for the purchase of a ten percent equity stock in BM&amp;F in exchange for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two percent stake in CME Group. The transaction includes an order-routing arrangement in which our CME Globex electronic distribution network will be connected to BM&amp;F’s distribution network. The arrangement is exclusive to us for order-routing services provided to BM&amp;F outside of China, Mexico, Central and South America and exclusive to BM&amp;F among exchanges in Central and South America.</w:t>
      </w:r>
    </w:p>
    <w:p>
      <w:pPr>
        <w:spacing w:after="0" w:line="11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 xml:space="preserve">CFETS. </w:t>
      </w:r>
      <w:r>
        <w:rPr>
          <w:rFonts w:ascii="Arial" w:cs="Arial" w:eastAsia="Arial" w:hAnsi="Arial"/>
          <w:sz w:val="18"/>
          <w:szCs w:val="18"/>
          <w:color w:val="auto"/>
        </w:rPr>
        <w:t>In March 2006, we entered into an agreement for order routing and super clearing with the China Foreign Exchange Trade System and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Interbank Funding Center (CFETS) pursuant to which CFETS would become a super clearing member. Final implementation of the arrangement is subject to regulatory approval.</w:t>
      </w:r>
    </w:p>
    <w:p>
      <w:pPr>
        <w:spacing w:after="0" w:line="14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b w:val="1"/>
          <w:bCs w:val="1"/>
          <w:i w:val="1"/>
          <w:iCs w:val="1"/>
          <w:color w:val="auto"/>
        </w:rPr>
        <w:t xml:space="preserve">NYMEX. </w:t>
      </w:r>
      <w:r>
        <w:rPr>
          <w:rFonts w:ascii="Arial" w:cs="Arial" w:eastAsia="Arial" w:hAnsi="Arial"/>
          <w:sz w:val="15"/>
          <w:szCs w:val="15"/>
          <w:color w:val="auto"/>
        </w:rPr>
        <w:t>On April 6, 2006, we entered into a definitive technology services agreement with NYMEX pursuant to which we became the exclusive electronic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trading service provider for NYMEX’s energy futures and options contracts and for metals products listed on its COMEX Division. The agreement has a ten-year term from the launch date with rolling three-year extensions unless either party elects not to renew the agreement upon written notice prior to the beginning of the applicable renewal term. For our services, we receive a minimum annual payment or per trade fees on CME Globex based on average daily volume, whichever is greater. During the term of the agreement, we are prohibited from listing products on CME Globex that are competitive contracts (as defined in the agreement) to the NYMEX products that are listed on the CME Globex platform provided minimum trading volumes are met. NYMEX remains responsible for clearing its contracts listed on CME Globex and for the performance of all related regulatory oversight functions. The agreement may be terminated for certain reasons, including by either party between the fifth and sixth year anniversary of the first launch date upon written notice and payment of a termination fee or in the event of an acquisition of a competitor or the listing of competitive products by us. In 2007, NYMEX contracts averaged 757,000 per day on the CME Globex platform.</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Reuters. </w:t>
      </w:r>
      <w:r>
        <w:rPr>
          <w:rFonts w:ascii="Arial" w:cs="Arial" w:eastAsia="Arial" w:hAnsi="Arial"/>
          <w:sz w:val="16"/>
          <w:szCs w:val="16"/>
          <w:color w:val="auto"/>
        </w:rPr>
        <w:t>In May 2006, we entered into an agreement with Reuters to create FXMS, the first centrally-cleared, global foreign exchange marketplace,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joint venture owned 50% each by CME Holdings and Reuters. We provide the joint venture with trade matching, central counterparty clearing and market regulation services. Reuters provides the joint venture with graphical user interface access, data distribution and trade notification services. FXMS offers market solutions to capitalize on the growing demand for broader access to the foreign exchange market, the emergence of foreign exchange as an asset class, the growth of non-bank financial institutions in global foreign exchange markets and the growth of electronic and algorithmic trading. FXMS operates alongside existing electronic transactional systems including Reuters Dealing 3000 for interbank trading, Reuters Trading for Foreign Exchange for dealer to buy-side connectivity and our foreign exchange futures and options markets on our CME Globex platform.</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Singapore Derivatives Exchange Ltd. </w:t>
      </w:r>
      <w:r>
        <w:rPr>
          <w:rFonts w:ascii="Arial" w:cs="Arial" w:eastAsia="Arial" w:hAnsi="Arial"/>
          <w:sz w:val="18"/>
          <w:szCs w:val="18"/>
          <w:color w:val="auto"/>
        </w:rPr>
        <w:t>In October 2006, we renewed our mutual offset agreement with the Singapore Derivatives Exchange for an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three-year term. This relationship allows a clearing firm of either exchange initiating trades in certain products on either exchange to execute after-hours trades at the other exchange in those products, then transfer them back to the originating exchange.</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currently have memoranda of understanding with several key global markets to meet increased demands for our products including the Taiwan Futures Exchange, Shanghai Stock Exchange and the Korea Exchange. These memoranda of understanding generally provide for the exchange of information about listing new products, changes to existing contract specifications and trading methods.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a result of the merger with CBOT Holdings, we also list the products of the Minneapolis Grain Exchange and the Kansas City Board of Trade on the CME Globex platform and act as their sole distributor of market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Programs and Advertising</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marketing programs align our core business objectives and product line goals with positioning, messaging and customer targeting strategies designed to increase awareness and use of our products. The marketing strategy and tactics include conducting market research to gather customer insight, and the implementation of our marketing campaigns, which may include online and print advertising, direct marketing, public relations, online marketing and educational programs.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marketing programs primarily target institutional customers and, to a lesser extent, individual traders. Our marketing programs for institutional customers aim to inform traders, portfolio managers, corporate treasurers and other market professionals about novel uses of our products, such as new hedging and risk management strategies. We also strive to educate these users about changes in product design, performance bond requirements and new clearing services. We participate in major domestic and international trade shows and seminars regarding futures contracts and options on futures contracts and other derivatives products. In addition, we sponsor educational workshops and marketing events designed to educate market users about our products. Through these relationships and programs, we attempt to understand the needs of our customer base and use information provided by them to drive our product development efforts.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advertising strategies seek to increase awareness and strengthen perceptions of CME Group among our institutional and retail customers, as well as support an increase in our trading volume. In September 2006, we launched a new global brand advertising campaign. The print campaign, “Smart People, Great Results,” prominently features testimonials from some of our leading global customers – fund managers, financial advisors and professional traders – showing how our benchmark futures and options products improve the way markets work and enable them to achieve positive financial results. Our primary method of advertising has been through print media, utilizing trade magazines and newsletters as well as daily business publications. However, we also use on-line, television sponsorship and other direct advertisements to reach our target audiences.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marketing program includes CME Magazine, a quarterly publication designed to keep our customers up-to-date on developments that can enhance their successful participation in the derivatives industry. The magazine features customer case histories, new product information, technology updates, trend stories and news briefs and is made available on our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We encounter competition in all aspects of our business, including from entities having substantially greater capital and resources and offering a wider range of products and services and some operating under a different and possibly less stringent regulatory regime. Prior to the passage of the Commodity Futures Modernization Act of 2000 (CFMA), futures trading was required to take place on, or subject to the rules of, a federally designated contract market. The costs and difficulty of obtaining contract market designation and corresponding regulatory requirements created significant barriers to entry for competing exchanges. The passage of the CFMA and other changing market dynamics have led to increasing competition from a number of different domestic and international sources of varied size, business objectives and resources.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in our Derivatives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among exchanges in the derivatives and securities business is based on a number of factors, including, among others: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connectivity;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that we compete favorably with respect to these factors, and that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and maintain liquidity and low transaction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Over the past few years there have been significant changes in the industry’s landscape as a result of the wave of consolidation and increased competition. For example, during the past two years, in addition to our merger with CBOT Holdings, the following consolidations occurred:</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NYSE Group acquired Archipelago Exchange and then subsequently merged with Euronext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IntercontinentalExchange acquired the New York Board of Trade and the Winnipeg Commodity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Deutsche Borse acquired the International Securities Exchange</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At the end of 2007, there were 60 futures exchanges located in 33 countries, including 11 exchanges in the United States. Additionally, in the last three months there has been an increase in activity among derivative dealers, banks and other entities to form competing exchanges. In December 2007, a consortium of 12 financial institutions announced their intention to form an exchange – referred to as Project Four Seasons – and Project Rainbow was recently formed to discuss launching a European derivatives exchange. Project Four Seasons has stated their intention to offer futures products that would be similar to our interest rate products. The existence of these consortiums may increase competitive pressure on us.</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Because equity futures contracts are alternatives to underlying stocks and a variety of equity option and other contracts provide an alternative means of obtaining exposure to the equity markets, we also compete with NYSE Euronext and other securities and options exchanges, dealer markets and alternative trading systems in this product line.</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Over-the-counter markets for foreign exchange and fixed-income derivatives products also compete with us. The largest foreign exchange markets are operated primarily as electronic trading systems. Two of the largest of these, operated by Electronic Brokering Services and Reuters, serve primarily professional foreign exchange trading firms. Additional electronic platforms designed to serve corporate foreign exchange users have emerged. Two of these are operated by consortia of interdealer and interbank market participants. A third is a proprietary trading system. In addition, certain provisions of the CFMA have led to an increase in unregulated electronic and brokerage trading systems in the foreign exchange market.</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over-the-counter, fixed-income derivatives market is by far the largest fixed-income derivatives marketplace. The over-the-counter market consists primarily of interbank and interdealer market participants. There is currently no single liquidity pool in the over-the-counter fixed-income derivatives market that is comparable to our Eurodollar market. The over-the-counter market for fixed-income derivatives products has traditionally been limited to more customized products, and the large credit exposures created in this market and the absence of clearing facilities have limited participation to the most creditworthy institutional participants. However, the size of this market and technology-driven developments in electronic trading and clearing facilities, as well as regulatory changes implemented by the CFMA, increase the likelihood that one or more substantial liquidity pools will emerge in the future in the over-the-counter fixed-income derivatives market.</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Alternative trade execution facilities that currently specialize in the trading of equity securities have electronic trade execution and routing systems that also can be used to trade products that compete with our products.</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also face a threat of trading volume loss if a significant number of our traditional participants decide to trade futures or similar products among themselves without using any exchange or specific trading system. The CFMA allows nearly all of our largest customers to transact futures or similar products directly with each other. While those transactions raise liquidity and credit concerns, they may be attractive based on execution costs, flexibility of terms, negotiability of margin or collateral deposits, or other considerations. Additionally, changes under the CFMA permitting the establishment of stand-alone clearing facilities for futures and over-the-counter derivatives transactions will facilitate the mitigation of credit-risk concentrations arising from such transactions.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in our Transaction Processing Business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to the competition we face in our derivatives business, we face a number of competitors in our transaction processing and other business services, including: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exchanges and clearing houses seeking to leverage their infrastructure;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firms, including front-end developers, back-office processing systems firms and match-engine developers.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past few years, there has been increased competition in the provision of clearing services. We compete with other derivatives exchanges that provide clearing services as well as with some of our largest customers who are part of clearing organizations. For example, in December 2007, the Clearing Corporation (CCorp) completed a corporate restructuring resulting in ownership of CCorp by 17 stockholders, including 12 major global dealers, three leading inter-dealer brokers and Eurex. In addition to continuing to provide traditional clearing services to multiple exchanges and marketplaces, the reconstituted CCorp has stated that it will expand its product line to include a centralized clearing facility for a number of over-the-counter derivatives products. We believe that other exchanges may also undertake to provide clearing services.</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believe competition in the transaction processing and business services market is based on, among other things, the cost of the services provided; quality and reliability of the services; timely delivery of the services; reputation; and value of linking with existing products, markets and distribution.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 in our Market Data Business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potential competitors because, as purveyors of market data,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may lead to decreased demand for our market data.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operations are subject to extensive regulation by the Commodity Futures Trading Commission (CFTC) under the Commodity Exchange Act. The Commodity Exchange Act generally requires that futures trading in commodities be conducted on a commodity exchange designated as a contract market by the CFTC. The act establishes non-financial criteria for an exchange to be designated to list futures and options contracts. Designation as a contract market for the trading of a specified futures contract is non-exclusive. This means that the CFTC may designate additional exchanges as contract markets for trading the same or similar contracts.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CFMA created a flexible regulatory framework for us in our capacity as a CFTC registrant, and eliminated many prescriptive requirements of the Commodity Exchange Act and CFTC in favor of more broad and flexible core principles. For instance, CFTC-regulated exchanges may now list new contracts and adopt new rules without prior CFTC approval under self-certification procedures, permitting timelier product launch and modification.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regulated markets, the CFMA created a three-tiered regulatory structure. The degree of regulation is related to the characteristics of the product and the type of customer that has direct or indirect access to the market, with retail customer markets being subject to greater regulation. The three-tiered regulatory structure is as follows:</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designated contract markets with retail customer participation are subject to the highest level of regulation;</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derivatives transaction execution facilities with access limited to institutional traders and others trading through members that meet specified capital and other requirements and products limited to contracts that are less susceptible to manipulation (including single stock futures) are subject to a lesser degree of regulation; and</w:t>
      </w:r>
    </w:p>
    <w:p>
      <w:pPr>
        <w:spacing w:after="0" w:line="59"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exempt boards of trade subject to the least regulation are characterized by products without cash markets or that are highly unlikely to be susceptible to manipulation and by the participation only of institutional traders and others that meet specified asset requirements.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existing market, which trades a broad range of products and permits intermediaries to represent unsophisticated customers, is subject to the most thorough oversight as a designated contract market. The CFMA permits us to organize markets that are subject to lesser regulation depending on the types of products traded and the types of traders. Markets can be organized that trade only products that are unlikely to be susceptible to manipulation and permit direct trading only among institutional participants in order to achieve a less intrusive degree of oversight. For example, we were able to launch Swapstream as an “exempt board of trade” under the CFMA.</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also “notice registered” with the Securities Exchange Commission (SEC) as a special purpose national securities exchange solely for the purpose of trading security futures products. As a result, the SEC is authorized to review some of our rules relating to these security futures products. Our members trading those products are subject to registration requirements and duties and obligations to customers under the securities laws that do not pertain to their other futures business.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CFMA also provides for regulation of derivatives clearing organizations (DCO) like our clearing house, separately from the exchanges for which they clear contracts and permits DCOs to clear a range of over-the-counter traded products in addition to products traded on an exchange. The CFMA requires a DCO that clears for a registered futures exchange to register with the CFTC. However, our clearing house was deemed to be registered by reason of its activities prior to enactment of the CFMA. Our clearing house is required to comply with a separate set of flexible core principles that specifically apply to clearing houses. A DCO may accept for clearing any new contract or may adopt any new rule or rule amendment by providing to the CFTC a written certification that the new contract, rule or rule amendment complies with the Commodity Exchange Act. Alternatively, the DCO may request that the CFTC grant prior approval to any contract, rule or rule amendment, and the CFTC must grant approval within 75 days unless the CFTC finds that the proposed contract, rule, or rule amendment would violate the Commodity Exchange Act.</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CME and CBOT are separate self-regulatory organizations responsible for ensuring market integrity and financial security for all transactions in their products although CBOT outsources responsibility for trade matching, regulatory and clearing services to CME. Our integrated compliance and market surveillance functions allow detailed tracking of all trading and clearing activities. In addition, our markets are subject to oversight by the CFTC. Our regulatory processes are reviewed and audited by the CFTC. Demutualization and the increasing utilization of electronic trading systems by traders from remote locations may, among other developments, impact our ability to continue the traditional form of “self-regulation” that has been an integral part of the CFTC regulatory program. On February 1, 2007, the CFTC issued recommendations as to an appropriate means for designated contract markets to comply with the core principle requiring self-regulatory organizations to mitigate potential conflicts of interest. The recommendations require at least 35% of the board of directors of a designated contract market to be directors with no material relationship with the exchange, including memberships on the exchange. The CFTC has not promulgated an effective date for and is currently reviewing its recommendations. As a result of our merger, our Board of Directors is now comprised of 30 members of which nine have no industry affiliation other than service on our Board. We have not yet completed our assessment as to whether such directors would be considered to have no material relationship with the exchange for purposes of the CFTC recommendation. To the extent we are not in compliance, we will be required to demonstrate to the CFTC how we otherwise meet the requirements of the core principle.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safe harbor also requires that such exchanges have in place a regulatory oversight committee comprised solely of non-industry directors. In April 2004, we became the first futures exchange to appoint a board-level committee devoted to self-regulatory oversight. The Committee is called the Market Regulation Oversight Committee and is comprised solely of independent, non-industry directors. The committee provides independent oversight of the policies and programs of our Market Regulation Department to ensure effective administration of our exchanges’ self-regulatory responsibilities.</w:t>
      </w:r>
    </w:p>
    <w:p>
      <w:pPr>
        <w:spacing w:after="0" w:line="1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From time to time it is proposed in Congress that federal financial markets regulators should be consolidated, including a possible merger between the CFTC and the SEC. For example, in 2007, the U.S. Department of the Treasury solicited comments as part of its evaluation of the regulatory structure associated with financial institutions. While those proposals have not been adopted to date and the Department of the Treasury has not released any recommendations from its study, the perceived convergence of product lines offered on the securities and commodity exchanges could make adoption more likely. To the extent the regulatory environment following such consolidation is less beneficial for us, our business, financial condition and operating results could be negatively affected.</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CFMA excluded or exempted many of the activities of our non-exchange competitors from regulation under the Commodity Exchange Act. The CFMA created broad exclusions and exemptions from the Commodity Exchange Act that permit derivatives contracts, which may serve the same or similar functions as the contracts we offer, to be sold in the largely unregulated over-the-counter market, including through electronic trading facilities.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CFMA permits SEC-regulated and bank clearing organizations to clear a broad array of derivatives products in addition to the products that clearing organizations have traditionally cleared. The CFMA also permits banks and broker-dealers, and some of their affiliates, to offer and sell foreign exchange futures to retail customers without being subject to regulation under the Commodity Exchange Act.</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CFTC’s authorization expired in 2005; however, reauthorization was not concluded and will continue through the 2008 legislative session. As part of that process, various concepts were mentioned as possible areas in which legislation would be appropriate. While we are unaware of any legislative proposal at the present time arising from the reauthorization that would materially affect our business, any such proposal may be introduced during this process. Additionally, from time to time, including in 2008, the proposed Presidential budget has included a proposal to impose a transaction tax on futures traded domestically. While many participants in the futures industry, including us, vigorously oppose this proposal, we cannot guarantee that such proposal will not be enacted, which may adversely impact our ability to compete on an international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Members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result of our merger with CBOT Holdings, we now operate two separate self-regulatory exchanges: CME and CBOT. Individuals may be members at one or both exchanges to trade our products. Members are individual traders, as well as most of the world’s largest banks, brokerages and investment houses. Trading on our open outcry trading floors is conducted exclusively by members. Members can execute trades for their own accounts, for clearing firm accounts, for the accounts of other members or for the accounts of customers of clearing firms. Members who trade for their own account, including those who lease trading rights, qualify for lower transaction fees in recognition of the market liquidity that their trading activity provides. These members also benefit from market information advantages that may accrue from their proximity to activity on the trading floors. Generally, member customers are charged lower fees than our non-member customers. In 2007, our members were responsible for 80% of our total trading volume. As of December 31, 2007, there were approximately 120 clearing firms. Membership applicants planning to access the trading floor are subject to a review and approval process prior to becoming members and obtaining trading rights. Membership in an exchange entitles members to appear on the floor of the exchange during business hours and act as a floor broker and/or floor trader executing trades in the contracts that are eligible within their membership division at the exchange. Applicants for membership are required to be of good moral character, reputation and business integrity. They must also have adequate financial resources and credit to assume the responsibilities and privileges of membership. All members must understand the rules and regulations of the applicable exchange and agree to abide by them. Additionally, they must comply with the provisions of the Commodity Exchange Act and the rules and regulations issued by the CFTC.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Our Market Regulation Department is the investigative and enforcement arm of our exchanges with regard to exchange rules. Members who are found to have violated a rule can be subject to sanctions such as fines, trading suspensions and/or expulsion from the particular exchange.</w:t>
      </w:r>
    </w:p>
    <w:p>
      <w:pPr>
        <w:spacing w:after="0" w:line="85" w:lineRule="exact"/>
        <w:rPr>
          <w:sz w:val="20"/>
          <w:szCs w:val="20"/>
          <w:color w:val="auto"/>
        </w:rPr>
      </w:pPr>
    </w:p>
    <w:p>
      <w:pPr>
        <w:ind w:right="2100"/>
        <w:spacing w:after="0" w:line="391" w:lineRule="auto"/>
        <w:rPr>
          <w:sz w:val="20"/>
          <w:szCs w:val="20"/>
          <w:color w:val="auto"/>
        </w:rPr>
      </w:pPr>
      <w:r>
        <w:rPr>
          <w:rFonts w:ascii="Arial" w:cs="Arial" w:eastAsia="Arial" w:hAnsi="Arial"/>
          <w:sz w:val="18"/>
          <w:szCs w:val="18"/>
          <w:color w:val="auto"/>
        </w:rPr>
        <w:t xml:space="preserve">Our Shareholder Relations and Membership Services Department maintains an auction market for trading rights at CME and CBOT. </w:t>
      </w:r>
      <w:r>
        <w:rPr>
          <w:rFonts w:ascii="Arial" w:cs="Arial" w:eastAsia="Arial" w:hAnsi="Arial"/>
          <w:sz w:val="18"/>
          <w:szCs w:val="18"/>
          <w:i w:val="1"/>
          <w:iCs w:val="1"/>
          <w:color w:val="auto"/>
        </w:rPr>
        <w:t>CME Memberships</w:t>
      </w:r>
    </w:p>
    <w:p>
      <w:pPr>
        <w:spacing w:after="0" w:line="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There are four divisions of membership at CME: the Chicago Mercantile Exchange (CME) division; the International Monetary Market (IMM) division; the Index and Option Market (IOM) division; and the Growth and Emerging Markets (GEM) division. Each membership division has different trading rights. We have individual trading members, corporate equity or trading member firms and clearing member firms.</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terms of CME Group’s certificate of incorporation, members of the CME exchange, as Class B shareholders, have the ability to protect their rights to trade by means of special approval rights over changes to the operation of the markets and are entitled to elect six of the 30 directors on our Board. In particular, the certificate of incorporation grants the holders of our Class B common stock the right to approve any changes to the trading floor rights, access rights and privileges that a member has, the number of memberships in each membership class and the related number of authorized shares in each class of Class B common stock and the eligibility requirements to exercise trading rights or privileges. Class B shareholders must approve any changes to these special rights. Class B shares have the same equitable interest in our earnings and receive the same dividend payments as our Class A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CBOT Memberships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are five series of Class B memberships in CBOT represented by memberships in our CBOT subsidiary: Series B-1 (Full) members, Series B-2 (Associate) members, Series B-3 (GIM) members, Series B-4 (IDEM) members and Series B-5 (COM) members.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Class B members of CBOT do not possess the right to receive any dividends or distributions, including the proceeds from liquidation, from CBOT. Series B-1 and B-2 members have the right to vote on amendments to certain provisions of the certificate of incorporation of CBOT, including the number of authorized memberships; the relative voting rights of the Series B-1 and B-2 members; the trading rights, voting rights and core rights of Class B members and certain other covenants; and the commitment to maintain open outcry markets.</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Additionally, during the five-year period following the merger, we are required to provide the CBOT directors, as defined in the bylaws, with five business days’ advance notice of any change to CBOT’s rules and regulations. If a majority of the CBOT directors determine in their sole discretion that the proposed change will materially impair the business of CBOT or the business opportunities of the holders of the Class B memberships of CBOT, such change will be submitted to a committee of the board of directors of CBOT comprised of three CBOT directors and two CME directors as defined in the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Substantially all of our business operations are conducted through our exchange subsidiaries: CME and CBOT. The following is a summary of the activities of our other operating subsidiaries:</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 xml:space="preserve">C-B-T Corporation. </w:t>
      </w:r>
      <w:r>
        <w:rPr>
          <w:rFonts w:ascii="Arial" w:cs="Arial" w:eastAsia="Arial" w:hAnsi="Arial"/>
          <w:sz w:val="16"/>
          <w:szCs w:val="16"/>
          <w:color w:val="auto"/>
        </w:rPr>
        <w:t>C-B-T Corporation, a wholly-owned subsidiary of CBOT, manages both our owned real estate and the general services relating to such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estate such as cleaning, power and telephone services. Our real estate holdings accounted for 1% of our consolidated total revenues in 2007.</w:t>
      </w:r>
    </w:p>
    <w:p>
      <w:pPr>
        <w:spacing w:after="0" w:line="85"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b w:val="1"/>
          <w:bCs w:val="1"/>
          <w:i w:val="1"/>
          <w:iCs w:val="1"/>
          <w:color w:val="auto"/>
        </w:rPr>
        <w:t xml:space="preserve">CME Alternative Marketplace Inc. </w:t>
      </w:r>
      <w:r>
        <w:rPr>
          <w:rFonts w:ascii="Arial" w:cs="Arial" w:eastAsia="Arial" w:hAnsi="Arial"/>
          <w:sz w:val="16"/>
          <w:szCs w:val="16"/>
          <w:color w:val="auto"/>
        </w:rPr>
        <w:t>CME Alternative Marketplace Inc., a wholly-owned subsidiary of CME, was established as an exempt board of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with the CFTC. CME economic derivatives were the only products traded through this subsidiary. In July 2007, we discontinued CME economic derivatives. CME Alternative Marketplace accounted for less than 1% of our consolidated total revenues in 2007 and 2006.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 xml:space="preserve">GFX Corporation. </w:t>
      </w:r>
      <w:r>
        <w:rPr>
          <w:rFonts w:ascii="Arial" w:cs="Arial" w:eastAsia="Arial" w:hAnsi="Arial"/>
          <w:sz w:val="16"/>
          <w:szCs w:val="16"/>
          <w:color w:val="auto"/>
        </w:rPr>
        <w:t>GFX Corporation (GFX), a wholly-owned subsidiary of CME, was established for the purpose of maintaining and creating liquidity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electronically traded foreign exchange futures contracts. Experienced foreign exchange traders employed by GFX buy and sell our foreign exchange contracts using our CME Globex system. They limit risk from these transactions through offsetting transactions using forward contracts and spot foreign exchange transactions with approved counterparties in the interbank market. On occasion, GFX has also engaged in the trading of CME Eurodollars and equity index contracts. GFX accounted for less than 1% of our consolidated total revenues in 2007, 2006 and 2005.</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Swapstream Subsidiaries. </w:t>
      </w:r>
      <w:r>
        <w:rPr>
          <w:rFonts w:ascii="Arial" w:cs="Arial" w:eastAsia="Arial" w:hAnsi="Arial"/>
          <w:sz w:val="18"/>
          <w:szCs w:val="18"/>
          <w:color w:val="auto"/>
        </w:rPr>
        <w:t>In August 2006, we completed the acquisition of Swapstream, an inter-dealer electronic trading platform for euro- and Swiss franc-denominated interest rate swaps. In connection with the transaction, we created a wholly-owned subsidiary, CME Swaps Marketplace Ltd., a U.K. limited liability company, which acquired 100% of the outstanding stock of the following Swapstream entities: Special Technology Investments Limited, Swapstream Limited, Swapstream Operating Services Limited and Swapstream France. The Swapstream entities accounted for less than 1% of our consolidated total revenues in 2007 and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&amp; Poor’s</w:t>
      </w:r>
    </w:p>
    <w:p>
      <w:pPr>
        <w:spacing w:after="0" w:line="9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have had a licensing arrangement with S&amp;P since 1980. In September 2005, all of our previous licensing agreements with S&amp;P were consolidated into one agreement that terminates on December 31, 2017. Under the terms of the agreement, as amended, S&amp;P granted us a license to use certain S&amp;P stock indexes and the related trade names, trademarks and service marks in connection with the creation, marketing, trading, clearing and promoting of futures contracts and/or options on futures contracts that are indexed to certain S&amp;P stock indexes. The license is exclusive through December 31, 2016 and non-exclusive from that date through December 31, 2017 with some exceptions. Our license for the S&amp;P 500 Index remains exclusive through December 31, 2008, after which we will retain our exclusive rights through December 31, 2016 so long as certain minimum average trading volume is met or other circumstances exist that relate to the reduction in trading volume. We may pay an additional fee to retain the exclusivity if the minimum average trading volume is not met. For certain products based on S&amp;P stock indexes that we list after the effective date of the amended and restated agreement, we will have an exclusive license for two or three years depending upon the nature of the index, after which we will retain our exclusive rights so long as certain minimum average trading volumes are met. Under the agreement, we maintain our right of first refusal for new stock indexes developed by S&amp;P during the term of the agreement. S&amp;P also retains the right to terminate the license based on new S&amp;P stock indexes or to terminate the exclusivity of that license in the event we fail to launch a product based on the index within a one-year period, subject to some consideration for regulatory delays. In exchange for the license, we pay S&amp;P a per trade fee. If S&amp;P discontinues compilation and publication of any license or index, we may license, on a non-exclusive and royalty-free basis, the information regarding the list of companies, shares outstanding and divisors for that index or terminate the obligations regarding the index. The licenses become non-exclusive in the event we list certain competitive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w:t>
      </w:r>
    </w:p>
    <w:p>
      <w:pPr>
        <w:spacing w:after="0" w:line="90" w:lineRule="exact"/>
        <w:rPr>
          <w:sz w:val="20"/>
          <w:szCs w:val="20"/>
          <w:color w:val="auto"/>
        </w:rPr>
      </w:pPr>
    </w:p>
    <w:p>
      <w:pPr>
        <w:jc w:val="both"/>
        <w:ind w:right="40"/>
        <w:spacing w:after="0" w:line="310" w:lineRule="auto"/>
        <w:rPr>
          <w:sz w:val="20"/>
          <w:szCs w:val="20"/>
          <w:color w:val="auto"/>
        </w:rPr>
      </w:pPr>
      <w:r>
        <w:rPr>
          <w:rFonts w:ascii="Arial" w:cs="Arial" w:eastAsia="Arial" w:hAnsi="Arial"/>
          <w:sz w:val="15"/>
          <w:szCs w:val="15"/>
          <w:color w:val="auto"/>
        </w:rPr>
        <w:t>We have had a licensing arrangement with NASDAQ since 1996 to license the NASDAQ-100 Index and related trade names, trademarks and service marks. The license was extended and expanded in October 2003 to license us both the NASDAQ-100 Index and the NASDAQ Composite Index and in April 2005 to add the NASDAQ Biotechnology Index for trading futures and options on futures contracts that are based on the indexes. Our license for these indexes was automatically renewed in October 2007 through October 2011. With respect to the NASDAQ Composite Index, NASDAQ may terminate the exclusivity or the entire license if trading volume fails to meet certain performance criteria on each anniversary of the agreement in October. During the applicable period of exclusivity, NASDAQ will not grant a license to use the indexes in connection with the trading, marketing and promotion of futures contracts and options on those futures contracts that are based on an index that is exclusive to us. We pay per trade fees to NASDAQ under the license. We have a right of first refusal for new NASDAQ indexes that are licensed for futures products where the index is substantially equivalent to an index licensed to us or is a subset of an index licensed to us.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 Jones License Agreement</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have a licensing agreement with Dow Jones to license certain Dow Jones stock indexes and the related trade names, trademarks and service marks in connection with the creation, marketing, trading, clearing and promoting of futures contracts and/or options on futures contracts that are based upon such Dow Jones stock indexes. Our license of the Dow Jones Composite Index, the Dow Jones Industrial Average Index, the Dow Jones Transportation Average Index and the Dow Jones Utility Average Index is exclusive, and non-exclusive for the Dow Jones U.S. Real Estate Index. We also have a right of first refusal for new indexes developed by Dow Jones prior to December 31, 2010 and the right to sublicense our exclusive license rights under the agreement to any other exchange for the trading of futures contracts and options on futures contracts. The initial term of the agreement is from January 1, 2008 through December 31, 2014. Following the initial term, the agreement shall automatically renew for a first renewal term of five years and then for successive annual renewal terms thereafter unless terminated by either party in writing prior to the end of the applicable term. In exchange for the license, we pay a per trade fee with a guaranteed annual minimum license fee and an upfront fee paid in January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Frank Russell Company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maintained a licensing arrangement with the Frank Russell Company since 1992 to license the Russell 2000 Index and related trade names, trademarks and service marks. In June 2007, Russell provided notice to us that it did not intend to renew the agreement. In response to customer demands and to ensure an orderly transfer of liquidity, we intend to list our Russell contracts through the September 2008 expiration date. We and S&amp;P are providing trading incentives and execution facilities that will encourage market participants to transfer their open interest in CME Russell 2000 stock index futures contracts into the new CME/S&amp;P E-mini Small Cap Stock Index futures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NSC</w:t>
      </w:r>
    </w:p>
    <w:p>
      <w:pPr>
        <w:spacing w:after="0" w:line="9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In January 2008, we entered into an agreement with Euronext Paris to expand our rights to the NSC software which we originally used pursuant to a license agreement. We now own outright the rights to use, modify, and create derivative works of the NSC software. We are, however, restricted from licensing the software to unaffiliated entities for five years. This restriction does not apply to the use of the software to provide transaction processing services to such entities. In consideration for the ownership of these rights, we paid a one-time fee and granted Euronext Paris comparable rights to their version of our CLEARING 21 system.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160"/>
        <w:spacing w:after="0" w:line="323" w:lineRule="auto"/>
        <w:rPr>
          <w:sz w:val="20"/>
          <w:szCs w:val="20"/>
          <w:color w:val="auto"/>
        </w:rPr>
      </w:pPr>
      <w:r>
        <w:rPr>
          <w:rFonts w:ascii="Arial" w:cs="Arial" w:eastAsia="Arial" w:hAnsi="Arial"/>
          <w:sz w:val="15"/>
          <w:szCs w:val="15"/>
          <w:color w:val="auto"/>
        </w:rPr>
        <w:t>We regard substantial elements of our brand name, marketing elements and logos, products, market data, software and technology as proprietary. We attempt to protect these elements by relying on trademark, service mark, copyright and trade secret laws, restrictions on disclosure and other methods. For example, with respect to trademarks, we have registered marks in numerous countries all over the world. We have filed numerous patent applications in the United States and internationally to protect our technology. On December 19, 2006, the United States Patent and Trademark Office granted CME its first patent.</w:t>
      </w:r>
    </w:p>
    <w:p>
      <w:pPr>
        <w:spacing w:after="0" w:line="9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Our rights to stock indexes for our futures products principally derive from license agreements that we have obtained from S&amp;P, NASDAQ and Dow Jones and others. For a more detailed discussion of these licenses, see the section of this Annual Report on Form 10-K entitled “Item 1. Business—Licensing Agreements.”</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regularly review our intellectual property to identify property that should be protected, the extent of current protection for that property and the availability of additional protection. We believe our various trademarks and service marks have been registered or applied for where needed. We also seek to protect our software and databases as trade secrets and under copyright law. We have copyright registrations for certain of our software, user manuals, and databases. Legal developments allowing patent protection for methods of doing business hold the possibility of additional protection, which we are pursuing.</w:t>
      </w:r>
    </w:p>
    <w:p>
      <w:pPr>
        <w:spacing w:after="0" w:line="11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It is possible that, from time to time, we may face claims of infringement that could interfere with our ability to use technology or other intellectual property that is material to our business.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of December 31, 2007, we had 1,970 employees. Effective December 23, 2007, all employees of CBOT and C-B-T Corporation who were continuing employment with CME Group in 2008 were transferred to employment with CME.</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consider relations with our employees to be good. We have never experienced a work stoppage. Forty-two of our employees are represented by one of the following unions: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Chicago Regional Council of Carpenters;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Union of Operating Engineers Local 399, AFL-CIO;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Service Employees International Union, SEIU Local 1 and 25, AFL-CIO.</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also employ six engineers who are associated with the International Union of Operating Engineers, Local 399, AFL-CIO but are not subject to a collective bargaining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including a description of their business experience over the last five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Terrence A. Duffy, 49</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Mr. Duffy has served as our Executive Chairman since October 2006, as our Chairman from 2002 until 2006 and has been a member of our board of directors since 1995. He also has served President of TDA Trading, Inc. since 1981.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Craig S. Donohue, 46</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Mr. Donohue has served as Chief Executive Officer and a member of our board of directors since January 2004. Mr. Donohue joined us in 1995 and since then has held various positions of increasing responsibility within the organization including Managing Director and Chief Administrative Officer, Managing Director, Business Development and Corporate/Legal Affairs of CME and Senior Vice President and General Counsel.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Kathleen M. Cronin, 44</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Cronin has served as our Managing Director, General Counsel and Corporate Secretary since August 2003. Previously she served as Corporate Secretary and Acting General Counsel from November 2002 through August 2003. Prior to joining us, Ms. Cronin was a corporate attorney at Skadden, Arps, Slate, Meagher &amp; Flom from September 1989 through July 1995 and from April 1997 through November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P. Davidson III, 52</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Davidson has served as Managing Director &amp; Chief Corporate Development Officer since February 2006. Prior to that he held a variety of leadership roles with Morgan Stanley &amp; Co. Incorporated from December 1993 to February 2006, most recently as Managing Director and Operations Officer for the firm’s Global Operations and Services Division, a position he assumed in April 2005. Previously, Mr. Davidson served in various positions of increasing responsibility at CME after originally joining the company in August 1983, both in trading operations and in the CME Clearing House.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Bryan T. Durkin, 47</w:t>
      </w:r>
    </w:p>
    <w:p>
      <w:pPr>
        <w:spacing w:after="0" w:line="9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Mr. Durkin has served as our Managing Director and Chief Operating Officer since July 2007. Mr. Durkin joined us in connection with the merger and he previously held a variety of leadership roles with CBOT from 1982 to 2007, most recently as Executive Vice President and Chief Operating Officer.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Phupinder Gill, 47</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Gill has served as President of CME Group since July 2007. Previously he served as President and Chief Operating Officer since January 2004. Mr. Gill joined us in 1988 and has held various positions of increasing responsibility within the organization, including Managing Director and President of CME Clearing and GFX.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Nancy W. Goble, 54</w:t>
      </w:r>
    </w:p>
    <w:p>
      <w:pPr>
        <w:spacing w:after="0" w:line="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Ms. Goble has served as Managing Director and Chief Accounting Officer of CME Group since February 2002, as Director and Controller from July 2000 to February 2002, and Associate Director and Assistant Controller from October 1997 to July 2000. Ms. Goble is a registered certified public accountant.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Julie Holzrichter, 40</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Ms. Holzrichter has served as Managing Director, Operations of CME Group since August 2007. Ms. Holzrichter rejoined us in July 2006 as our Managing Director, CME Globex Services and Technology Integration. Ms. Holzrichter previously held positions of increasing responsibility in our organization from 1986 to 2003 in trading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R. Krause, 59</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Mr. Krause has served as Managing Director and Chief Information Officer since May 2004. Prior to that, Mr. Krause held various positions of increasing responsibility within the organization, including Managing Director, Enterprise Computing and Senior Vice President, Systems Development since joining us in 1985.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E. Parisi, 43</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Mr. Parisi has served as Managing Director and Chief Financial Officer since November 2004. Mr. Parisi joined us in 1988 and has held positions of increasing responsibility within the organization, including Managing Director &amp; Treasurer and Director, Planning &amp; Finance.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Hilda Harris Piell, 40</w:t>
      </w:r>
    </w:p>
    <w:p>
      <w:pPr>
        <w:spacing w:after="0" w:line="9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Ms. Piell has served as Managing Director and Chief Human Resources Officer since August 2007. Previously she served as Managing Director and Senior Associate General Counsel, as Director and Associate General Counsel and as Associate Director and Assistant General Counsel since joining us in 2000.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Rick Redding, 46</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Redding has served as Managing Director, Products &amp; Services since March 2004. He had held this position on an interim basis since January 2004 and, prior to that appointment, served as head of the company’s equity product line for 10 years. Mr. Redding joined us in 1988 and, since then, had held positions of increasing responsibility in our market surveillance and product marketing functions.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Kimberly S. Taylor, 46</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Ms. Taylor has served as Managing Director and President of the Clearing House Division since January 2004 and as Managing Director, Risk Management in the Clearing House Division, from 1998 to 2003. Ms. Taylor has held a variety of positions in the Clearing House, including Vice President and Senior Director. She joined us in 1989.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 xml:space="preserve">Our Web site is </w:t>
      </w:r>
      <w:r>
        <w:rPr>
          <w:rFonts w:ascii="Arial" w:cs="Arial" w:eastAsia="Arial" w:hAnsi="Arial"/>
          <w:sz w:val="15"/>
          <w:szCs w:val="15"/>
          <w:i w:val="1"/>
          <w:iCs w:val="1"/>
          <w:color w:val="auto"/>
        </w:rPr>
        <w:t>www.cmegroup.com</w:t>
      </w:r>
      <w:r>
        <w:rPr>
          <w:rFonts w:ascii="Arial" w:cs="Arial" w:eastAsia="Arial" w:hAnsi="Arial"/>
          <w:sz w:val="15"/>
          <w:szCs w:val="15"/>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and Membership Services, Attention Ms. Beth Hausoul, CME Group Inc., 20 South Wacker Drive, Chicago, Illinois 60606.</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us and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Shareholders who own trading rights or are officers or directors of firms who own trading rights on our exchanges account for 20 of the 30 directors on our Board. These shareholders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Twenty of our 30 directors on our Board own or are officers or directors of firms who own trading rights on our exchange. We are dependent on the revenues from the trading and clearing activities of our members. This dependence may give them substantial influence over how we operate our business.</w:t>
      </w:r>
    </w:p>
    <w:p>
      <w:pPr>
        <w:spacing w:after="0" w:line="8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Our trading members, many of whom act as floor brokers and floor traders, benefit from trading rules, membership privileges and fee discounts that enhance their open outcry trading opportunities and profits. Our predominantly electronic trading members benefit from fee discounts and other incentives targeted at increasing electronic trading volume. These benefits enhance their electronic trading opportunities and profits. Our clearing firms benefit from all of the foregoing, as well as decisions that increase electronic trading, which over time will reduce their costs of doing business on our exchanges. As a result, holders of our Class A common stock may not have the same economic interests as our members. In addition, our members may have differing interests among themselves depending on the role they serve in our markets, their method of trading and the products they trade. Consequently, members may advocate that we enhance and protect their clearing and trading opportunities and the value of their trading privileges over their economic interest in us.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representation rights of the members of our CME exchange to elect six directors, in combination with the charter provision protections described in the immediately following risk factor, could be used to influence how our business is changed or developed, including how we address competition and how we seek to grow our volume and revenue and enhance shareholder value.</w:t>
      </w:r>
    </w:p>
    <w:p>
      <w:pPr>
        <w:spacing w:after="0" w:line="140"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rights, require that we maintain open outcry trading until volumes are not significant and, in the case of our Class B shareholders, provide them with special Board representation.</w:t>
      </w:r>
    </w:p>
    <w:p>
      <w:pPr>
        <w:spacing w:after="0" w:line="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terms of the certificates of incorporation of CME Group and CBOT, our members have the ability to protect their rights to trade on the respective exchange by means of special approval rights over changes to the operation of our trading floor, including whether we are required to maintain open outcry trading of a particular product. Our Class B shareholders, who are members of our CME exchange, are also entitled to elect six of the 30 directors on our Board, even if their Class A share ownership interest is very small or non-existent.</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certificates of incorporation of CME Group and CBOT also include provisions requiring us to maintain open outcry floor trading for a particular traded product as long as the open outcry market is “liquid.” We are also required to maintain a facility for conducting business, disseminating price information, clearing and delivery and to provide reasonable financial support for technology, marketing and research for open outcry markets. These certificates of incorporation provide specific tests as to whether an open outcry market will be deemed liquid, as measured on a quarterly basis. If a market is deemed illiquid as a result of a failure to meet any of these tests, our Board may determine whether such market should be closed.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Additionally, we are required until our 2012 annual meeting to provide advance notice to the ten members of our Board who were formally directors of CBOT Holdings prior to the merger or their successors of any changes to CBOT exchange rules, except for certain limited administrative changes. If a majority of the CBOT directors decide that the proposed rule change would materially impair the CBOT business or materially impair the business opportunities of the CBOT members, then the proposed rule change must be submitted to a committee comprised of three CBOT directors and two directors who were directors of CME Holdings prior to the merger or their successors for final approval.</w:t>
      </w:r>
    </w:p>
    <w:p>
      <w:pPr>
        <w:spacing w:after="0" w:line="1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and economic conditions, which are beyond our control and which could significantly reduce our trading volumes and make our financial results more volatile.</w:t>
      </w:r>
    </w:p>
    <w:p>
      <w:pPr>
        <w:spacing w:after="0" w:line="132"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We generate revenues primarily from our clearing and transaction fees and our processing services provided to third parties. We expect to continue to do so for the foreseeable future. Each of these revenue sources is substantially dependent on the trading volume in our markets and in the markets we provide processing services. Our trading volume is directly affected by U.S. domestic and international factors that are beyond our control, including:</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and other catastrophes;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fixed-income, equity, foreign exchange and commodity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monetary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one or more of these factors may contribute to reduced activity in our markets. Our operating results and trading volume tend to increase during periods of uncertainty. This is because our customers seek to hedge or manage the risks associated with or speculate on volatility in the U.S. equity markets, fluctuations in interest rates and price changes in the foreign exchange, commodity and other markets. The future economic environment may be subject to periodic downturns, including possible recession and lower volatility in financial markets, and may not be as favorable as it has been in recent years. For example, recent events in the economic environment, including the sub-prime lending crisis, the downturn in the housing market and decreases in consumer spending, may result in an economic recession in the near future. As a result, period-to-period comparisons of our financial results are not necessarily meaningful. Trends less favorable than those of recent periods could result in decreased trading volume and a more difficult business environment for us. Material decreases in trading volume would have a material adverse effect on our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 structure is largely fixed. If our revenues decline and we are unable to reduce our costs, our profitability will be adversely affected.</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and successfully implement electronic trading systems that have the functionality, performance, reliability and speed required by our customers.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future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current overall volume is generated through electronic trading on our CME Globex electronic platform. However, during 2007, 21% of our volume and approximately 16% of our clearing and transaction fees revenue was generated through our open outcry trading facilities. Most of our open outcry volume is related to trading in options on our futures contracts. Our electronic functionality may not be capable of accommodating all of the complex trading strategies typically used for trading options on futures contracts. For example, 92% of our Eurodollar options contracts are traded via open outcry despite our initiatives to implement advanced functionality. We intend to continue to introduce functionality that will accommodate complex trading strategies electronically. However, we may not complete the development of, or successfully implement, the required electronic functionality for our options on futures contracts. Moreover, our customers who trade options may not accept our electronic trading systems. In either event, our ability to increase trading volume of options on futures contracts on the CME Globex platform would be adversely affected. 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increasingly dominated by electronic trading.</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The enhancement of our electronic trading platform exposes us to risks inherent in operating in the evolving market for electronic transaction services. If we do not successfully continue to enhance our electronic trading platform, or if our customers do not accept it, our revenues and profits will be adversely affected.</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do not successfully enhance our electronic trading platform, or our current or potential customers do not accept it, our revenues and profits will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keep up with rapid technological changes, our business will be materially harmed.</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remain competitive, we must continue to improve the responsiveness, functionality, accessibility and other features of our software, network distribution systems and technologies. The markets in which we compete are characterized by rapidly changing technology, changes in customer demand and uses of derivatives products and transaction processing services, frequent product and service introductions embodying new technologies and the emergence of new industry standards and practices that could render our existing technology and systems obsolete. Our future success will depend in part on our ability to anticipate and adapt to technological advancements and changing standards in a timely, cost-efficient and competitive manner. We cannot assure you that we will successfully implement new technologies or adapt our technology to customer and competitive requirements or emerging industry standards.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intense competition from other companies, including some of our members. If we are not able to successfully compete, our business will not survive.</w:t>
      </w:r>
    </w:p>
    <w:p>
      <w:pPr>
        <w:spacing w:after="0" w:line="20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derivatives, securities and financial services industries are highly competitive. We expect that competition will continue to intensify in the future. Our current and prospective competitors, both domestically and around the world, are numerous. They include securities and securities option exchanges, futures exchanges, over-the-counter markets, clearing organizations, market data and information vendors, electronic communications networks, crossing systems and similar entities, consortia of large customers, consortia of some of our clearing firms and electronic brokerage and dealing facilities. At December 31, 2007, there were 60 futures exchanges located in 33 countries, including 11 futures exchanges in the United States. The global derivatives industry has grown increasingly competitive. Exchanges, intermediaries, and even end users are consolidating, and over-the-counter and unregulated entities are constantly evolving. Additionally, in response to growing competition, many marketplaces in both Europe and the United States have demutualized to provide greater flexibility for future growth. In 2007, we completed our merger with CBOT Holdings, NYSE Group completed its merger with Euronext and ICE acquired the New York Board of Trade and the Winnipeg Commodity Exchange. Also, in the last three months there has been a significant increase in activity among derivative dealers, banks and other entities to form competing exchanges. In December 2007, a consortium of 12 financial institutions announced their intention to form an exchange – referred to as Project Four Seasons – and in January 2008 Project Rainbow was formed to discuss launching a European derivatives exchange. Project Four Seasons has stated their intention to offer futures products that would be similar to our interest rate products.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we may also face competition from large computer software companies and media and technology companies. The number of businesses providing internet-related financial services is rapidly growing. Other companies have entered into or are forming joint ventures or consortia to provide services similar to those provided by us. Others may become competitive with us through acquisitions. Changes in federal law allow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 their business strategies more quickly and efficiently than we can. In addition, our competitors may:</w:t>
      </w:r>
    </w:p>
    <w:p>
      <w:pPr>
        <w:spacing w:after="0" w:line="37" w:lineRule="exact"/>
        <w:rPr>
          <w:sz w:val="20"/>
          <w:szCs w:val="20"/>
          <w:color w:val="auto"/>
        </w:rPr>
      </w:pPr>
    </w:p>
    <w:p>
      <w:pPr>
        <w:ind w:left="900" w:right="5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more quickly to competitive pressures due to their corporate governance structures, which may be more flexible and efficient than our corporate governance structure;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decline in our fees or any loss of customers could lower our revenues, which would adversely affect our profitability.</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3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electronically. In addition, our members and participants in our various incentive programs generally are charged lower fees than our non-member customers. Variation in each of these factors is difficult to predict and will have an impact on our average rate per contract in the particular period. For example, our average rate per contract decreased to $0.634 for the year ended December 31, 2007 from $0.645 for the same period in 2006.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Generally, we have experienced relatively higher trading volume during the first and second quarters and sequentially lower trading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pacing w:after="0" w:line="10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The CFMA has reduced the barriers of entry into our markets which has led to increased competition and enabled many of our customers to trade futures contracts other than on exchanges. These changes may adversely affect our trading volume, revenue and profits.</w:t>
      </w:r>
    </w:p>
    <w:p>
      <w:pPr>
        <w:spacing w:after="0" w:line="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industry has been subject to several fundamental regulatory changes, including changes in the statute under which we have operated since 1974. The Commodity Exchange Act generally required all futures contracts to be executed on an exchange that had been approved by the CFTC. The “exchange trading requirement” was modified by CFTC regulations and interpretations to permit privately negotiated swap contracts to be transacted in the over-the-counter market. The CFTC exemption under which the over-the-counter derivatives market operated precluded the over-the-counter market from using exchange-like electronic transaction systems and clearing facilities. These barriers to competition from the over-the-counter market were repealed by the CFMA. One of the chief beneficiaries of the CFMA has been over-the-counter dealers and competitors that operate or intend to open electronic trading facilities or to conduct their futures business directly among themselves on a bilateral basis. The customers who may access these trading facilities or engage in bilateral private transactions are the same customers who account for a substantial portion of our trading volume. The CFMA also permits banks, broker-dealers and some of their affiliates to engage in foreign exchange futures transactions for or with retail customers without being subject to regulation under the Commodity Exchange Act. These customers are the same customers who might otherwise use our foreign exchange products.</w:t>
      </w:r>
    </w:p>
    <w:p>
      <w:pPr>
        <w:spacing w:after="0" w:line="12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CFMA also permits bank clearing organizations and clearing organizations regulated by the SEC to clear a broad array of derivatives products in addition to the products that these clearing organizations have traditionally cleared. This allocation of jurisdiction may be advantageous to competing clearing organizations and result in a lower volume of trading cleared through our clearing house.</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future, our industry may become subject to new regulations or changes in the interpretation or enforcement of existing regulations. We cannot predict the extent to which any future regulatory changes may adversely impact our business, including our ability to compete with enterprises that offer off-exchange trading and benefit from a reduced regulatory burden and lower-cost business model.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 to our exchange.</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success of our business depends, in part, on our ability to maintain and increase our trading volume. To do so, we must maintain and expand our product offerings, our customer base and our trade execution alternatives. Our success also depends on our ability to maintain our trading volume and to offer competitive prices and services in an increasingly price sensitive business. We cannot assure you that we will be able to continue to expand our product lines, or that we will be able to retain our current customers or attract new customers. For example, the majority of the clearing and transaction fees we receive from our clearing firms represent charges for trades executed on behalf of their customers. We believe that in the event one of our clearing firms discontinues operations, the customer portion of that firm’s trading activity would likely transfer to another clearing firm. However, we cannot guarantee you that the discontinuation of any clearing firm would not result in our loss of customers which could have an adverse effect on our trading volumes or revenues. We also cannot assure you that we will not lose customers to low-cost competitors with comparable or superior products, services or trade execution facilities. If we fail to maintain our trading volume, expand our product offerings or execution facilities, or we lose a substantial number of our current customers, or a subset of customers representing a significant percentage of trading volume in a particular product line; or are unable to attract new customers, our business will be adversely affected.</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Any significant decline in the trading volume of our Eurodollar or S&amp;P 500 futures and options on futures contracts would adversely affect our revenues and profitability.</w:t>
      </w:r>
    </w:p>
    <w:p>
      <w:pPr>
        <w:spacing w:after="0" w:line="13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are substantially dependent on trading volume from two product offerings for a significant portion of our clearing and transaction fee revenues and profits. The clearing and transaction fees revenue attributable to transactions in Eurodollar contracts and all our contracts based on the S&amp;P 500 (including E-mini products) approximated 32% and 24%, respectively, of our total clearing and transaction fees revenue during the year ended December 31, 2007 and 46% and 26%, respectively, during the year ended December 31, 2006. Any significant decline in our trading volume in either of these products would negatively impact our business, financial condition and operating results.</w:t>
      </w:r>
    </w:p>
    <w:p>
      <w:pPr>
        <w:spacing w:after="0" w:line="1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We believe our Eurodollar futures contract serves as a global financial benchmark, but we cannot assure you that, in the future, other products will not become preferred alternatives to our Eurodollar contract as a means of managing or speculating on interest rate risk. We also cannot assure you that competitors will not enter the Eurodollar market. Our members may also elect to trade Eurodollars in privately negotiated bilateral transactions without the use of our clearing house. In either of these events, our trading volume, revenues and profitability could be adversely affected.</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license agreement with S&amp;P provides that the S&amp;P 500 Index futures products will be exclusive through December 31, 2008, after which we will retain our exclusive rights through December 31, 2016 so long as certain minimum average trading volume is met or other circumstances exist that relate to the reduction in trading volume.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we will be able to maintain the exclusivity of our licensing agreement with S&amp;P.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indexes, to manage or speculate on U.S. stock risks. Parties may also succeed in offering indexed products that are similar to our licensed products without being required to obtain a license or in countries that are beyond the jurisdictional reach of us and/or our licensors.</w:t>
      </w:r>
    </w:p>
    <w:p>
      <w:pPr>
        <w:spacing w:after="0" w:line="14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third parties. Our financial condition will be adversely affected in the event of a significant default.</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clearing house acts as the counterparty to all trades consummated on or through our exchange or on third-party exchanges for which we provide clearing services. As a result, we are exposed to significant credit risk of third parties, including our clearing firms. We are also exposed, indirectly, to the credit risk of customers of our clearing firms. These parties may default on their obligations due to bankruptcy, lack of liquidity, operational failure or other reasons. We cannot guarantee you that one of our clearing firms will not default on its obligations in the future. Our surplus funds are at risk if a clearing firm defaults on its obligations to our clearing house and its performance bond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However, we cannot assure you that these measures will be sufficient to protect us from a default or that we will not be materially and adversely affected in the event of a significant default. Additionally, the default of any one of our clearing firms could cause our customers to lose confidence in our markets and the guarantee of our clearing house, which would have an adverse affect on our business.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A key element of our strategy is to provide transaction processing, clearing and related services to third parties. If we are unable to continue to realize the benefits from providing these services, our revenues will be adversely impacted.</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Providing third-party transaction processing, clearing and related services is a key element of our strategy. We have an agreement with NYMEX, which began in June 2006, to be the exclusive trading service provider for NYMEX’s energy futures and options contracts and certain of their other products on our CME Globex platform. The initial term of the NYMEX agreement is for ten years from the date of launch with rolling three-year extensions. Additionally, prior to our merger with CBOT Holdings, we derived a significant amount of revenue from our transaction processing services agreement that we entered into with CBOT in 2003. In 2007, 2006 and 2005, we generated $48.2 million, $75.8 million and $68.7 million, respectively, in processing services revenue from our agreement with CBOT and we generated $56.4 million, $14.3 million and $4.5 million in revenue in 2007, 2006 and 2005, respectively, from our agreement with NYMEX. Our future revenues from providing processing services to NYMEX or others will be dependent on the third party’s trading volume, which is subject to a number of factors beyond its control. For example, NYMEX’s ability to maintain or expand its trading volume and operate its business, as a futures exchange, is subject to the same types of risks to which we are subject. Any significant decrease in the trading volume at these exchanges will result in a corresponding decrease in our realized benefits from our processing services agreements. Our net income from the processing services we provide will also depend on our ability to control our costs associated with providing such services.</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cannot assure you that we will enter into additional agreements to provide processing services or that our existing agreement with NYMEX will not be terminated prior to the end of its term or that any agreement would be renewed after its initial term or that any renewal will be on terms as favorable to us. For example, under the terms of our agreement with NYMEX, either party between the fifth and sixth anniversary of the first launch date may terminate the contract by providing notice and paying the other party a termination fee. Any such event could have an adverse effect on our revenues.</w:t>
      </w:r>
    </w:p>
    <w:p>
      <w:pPr>
        <w:spacing w:after="0" w:line="11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Our market data fees may be reduced or eliminated by decreased demand or the growth of electronic trading and electronic order entry systems. If we are unable to offset that reduction through terminal usage fees or transaction fees, we will experience a reduction in revenue.</w:t>
      </w:r>
    </w:p>
    <w:p>
      <w:pPr>
        <w:spacing w:after="0" w:line="8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sell our market data to individuals and organizations that use our markets or monitor general economic conditions. Revenues from our market data totaled $145.1 million, representing 8% of our total revenues, and $80.8 million, or 7% of our total revenues, during the years ended December 31, 2007 and 2006, respectively. A decrease in overall trading volume may also lead to a decreased demand for our market data from the market data vendors. Additionally, electronic trading systems do not usually impose separate charges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quote fee revenue through terminal usage fees or transaction fees.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heavily dependent on the capacity and reliability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events.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From time to time, we have experienced system errors and failures that have resulted in some customers being unable to connect to our electronic trading platform or erroneous reporting, such as transactions that were not authorized by any customer or reporting of filled orders as cancelled. For example, we have experienced technical failures that resulted in a temporary suspension of trading on the CME Globex platform. The impact of these events has not been material. However, we cannot assure you that if we experience system errors or failures in the future that they will not be material.</w:t>
      </w:r>
    </w:p>
    <w:p>
      <w:pPr>
        <w:spacing w:after="0" w:line="1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status as a CFTC registrant generally requires that our trade execution and communications systems be able to handle anticipated present and future peak trading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trading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CME Globex trading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1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We will need to continue to upgrade, expand and increase the capacity of our systems as our business grows and we execute our business strategy. Our goal is to design our systems to handle at least one and a half times our peak historical transactions in our highest volume products. As volumes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Some of our largest clearing firms have indicated their belief that clearing facilities should not be owned or controlled by exchanges and should be operated as utilities and not–for–profit. These clearing firms have sought, and may seek in the future, legislative or regulatory changes that would, if adopted, enable them to use alternative clearing services for positions established on our exchanges. Even if they are not successful, these factors may cause them to limit the use of our markets.</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part of for-profit enterprises. Some of these firms, along with the Futures Industry Association,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Additionally, in January 2008, the U.S. Department of Justice submitted a comment letter to the U.S. Department of the Treasury in response to the Department of the Treasury’s request for comment on the regulatory regime of the financial services industry. The comment letter stated that vertical integration of futures clearing houses impedes competition and should be reconsidered. Our strategic business plan is to operate a vertically integrated transaction execution, clearing and settlement business. If these legislative or regulatory changes are adopted, our strategy and business plan may lead clearing firms to establish, or seek to use, alternative clearing houses for clearing positions established on our exchanges. Even if they are not successful in their efforts, the factors described above may cause clearing firms to limit or stop the use of our products and markets. If any of these events occur, our revenues and profits would be adversely affected.</w:t>
      </w:r>
    </w:p>
    <w:p>
      <w:pPr>
        <w:spacing w:after="0" w:line="12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b w:val="1"/>
          <w:bCs w:val="1"/>
          <w:i w:val="1"/>
          <w:iCs w:val="1"/>
          <w:color w:val="auto"/>
        </w:rPr>
        <w:t>We depend on third party suppliers and service providers for a number of services that are important to our business. An interruption or cessation of an important supply or service by any third party could have a material adverse effect on our business.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 We cannot assure you that any of these providers will be able to continue to provide these services in an efficient, cost-effective manner or that they will be able to adequately expand their services to meet our needs. An interruption in or the cessation of an important supply or service by any third party and our inability to make alternative arrangements in a timely manner, or at all, would result in lost revenue and higher costs.</w:t>
      </w:r>
    </w:p>
    <w:p>
      <w:pPr>
        <w:spacing w:after="0" w:line="14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Our networks and those of our third party service providers may be vulnerable to security risks, which could result in wrongful use of our information or cause interruptions in our operations that cause us to lose customers and trading volume and result in significant liabilities. We could also be required to incur significant expense to protect our systems.</w:t>
      </w:r>
    </w:p>
    <w:p>
      <w:pPr>
        <w:spacing w:after="0" w:line="14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expect the secure transmission of confidential information over public networks to continue to be a critical element of our operations. Our networks and those of our third party service providers and our customers may be vulnerable to unauthorized access, computer viruses and other security problems. Persons who circumvent security measures could wrongfully use our information or cause interruptions or malfunctions in our operations. Any of these events could cause us to lose customers or trading volume. We may be required to expend significant resources to protect against the threat of security breaches or to alleviate problems, including reputational harm and litigation, caused by breaches. Although we intend to continue to implement security measures, these measures may prove to be inadequate and result in system failures and delays that could cause us to lose customers, experience lower trading volume and incur significant liabilities.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Although the CFMA significantly reduced our regulatory burdens, we remain extensively regulated by the CFTC. Our international operations may be subject to similar regulations in specific jurisdictions. We are registered in a number of countries outside the United States. In some cases, our registrations are subject to annual review and such reviews may subject us to additional requirements in the future. We may also be required to register or become subject to regulation in other jurisdictions in order to accept business from customers in those jurisdictions.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Many aspects of our operations are subject to oversight and regulation by the CFTC. Our activities relating to single stock and narrow-based stock index futures products are also subject to oversight by the SEC. Our operations are subject to ongoing review and oversight, including:</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security and soundness of our order routing and trading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keeping and record retention procedures;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fair and orderly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licensing of our members and many of their employees;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conduct of our directors, officers, employees and affiliates.</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CFTC has broad powers to investigate and enforce compliance and punish non-compliance with its rules and regulations. We cannot assure you that we and/or our directors, officers, employees and affiliates will be able to fully comply with these rules and regulations. We also cannot assure you that we will not be subject to claims or actions by the CFTC or other agencies.</w:t>
      </w:r>
    </w:p>
    <w:p>
      <w:pPr>
        <w:spacing w:after="0" w:line="140"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Demutualization and the increasing utilization of electronic trading systems by traders from remote locations may, among other developments, impact our ability to continue the traditional form of “self-regulation” that has been an integral part of the CFTC regulatory program. On February 1, 2007, the CFTC issued recommendations as to an appropriate means for designated contract markets to comply with the core principle requiring self-regulatory organizations to mitigate potential conflicts of interest. The recommendations require at least 35% of the board of directors of a designated contract market to be directors with no material relationship with the exchange, including memberships on the exchange. The CFTC has not announced an effective date and is currently reviewing these recommendations. As a result of our merger with CBOT Holdings, our Board of Directors is now comprised of 30 members of which nine have no industry affiliation other than service on our Board. We have not yet completed our assessment as to whether such directors would be considered to have no material relationship with the exchange for purposes of the CFTC recommendation. We cannot guarantee that our Board will be in compliance with the recommendations. To the extent we are not in compliance, we will be required to demonstrate to the CFTC how we otherwise meet the requirements of the core principle.</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From time to time it is proposed in Congress that federal financial markets regulators should be consolidated, including a possible merger between the CFTC and the SEC. For example, in 2007, the U.S. Department of the Treasury solicited comments as part of its evaluation of the regulatory structure associated with financial institutions. While those proposals have not been adopted to date, the perceived convergence of product lines offered on the securities and commodity exchanges could make adoption more likely. To the extent the regulatory environment following such consolidation is less beneficial for us, our business, financial condition and operating results could be negatively affected.</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CFTC is subject to reauthorization every five years, which was scheduled to be completed in 2005. This process is still ongoing and could result in legislation that may have a negative impact on the way we operate our exchange, including our ability to operate our self-regulatory functions or effectively compete with new entrants into our market place.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time to time, including most recently in 2008, the President’s budget includes a proposal that a transaction tax be imposed on futures and options on futures transactions. While those proposals have not been adopted to date, except for a per-contract fee imposed under the Securities Exchange Act of 1934 on single stock futures and futures on narrow-based stock indexes, the imposition of any such tax would increase the cost of using our products and, consequently, could adversely impact our trading volumes, revenues and profits.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laws, regulations or governmental policies could have a material adverse effect on the way we conduct our business.</w:t>
      </w:r>
    </w:p>
    <w:p>
      <w:pPr>
        <w:spacing w:after="0" w:line="17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audit and reporting systems, as well as our ability to attract and retain qualified compliance and other risk management personnel. We face the risk of significant intervention by regulatory authorities, including extensive examination and surveillance activity. In the case of non-compliance or alleged non-compliance with applicable laws or regulations, we could be subject to investigations and judicial or administrative proceedings that may result in substantial penalties or civil lawsuits, including by customers, for damages, which can be significant. Any of these outcomes would adversely affect our reputation, financial condition and operating results. In extreme cases, these outcomes could adversely affect our ability to conduct our business.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legal and regulatory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aspects of our business involve substantial liability risks. While we enjoy governmental immunity for some of our market-related activities, we could be exposed to substantial liability 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of financial services firms in recent years. Misconduct by our employees and agents, including employees of GFX, our wholly-owned subsidiary that engages primarily in proprietary trading in foreign exchange futures, could include hiding unauthorized activities from us, improper or unauthorized activities on behalf of customers or improper use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For example, employees of GFX enter into transactions to promote liquidity in foreign exchange contracts on the CME Globex platform and subsequently enter into offsetting transactions using futures contracts or spot foreign exchange transactions with approved counterparties in the interbank market to limit market risk. In the event the offsetting transaction is not entered into or is not timely or properly executed, we could be exposed to substantial market risk.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experienced significant growth in our business. Continued growth may require additional investment in personnel, facilities, information technology infrastructure and financial and management systems and controls and may place a significant strain on our management and resources. We may not be successful in implementing all of the processes that are necessary to support our growth organically or, as described in the following risk factor, through acquisitions or other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 investment and alliance strategy involves risks. If we are unable to effectively manage these risks, our business will be materially harmed.</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 achieve our strategic objectives, in the future we may seek to acquire or invest in other companies, businesses or technologies. Acquisitions entail numerous risks, including the following:</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assimilation of acquired businesses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unknown material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implementing adequate compliance and risk management methods for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financial or operating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customers or key employees of acquired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foreign currency, which exposure may or may not be hedged or partially hedged;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receiving approval from governmental authorities.</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may not be able to integrate successfully any operations, personnel, services or products that we have acquired or may acquire in the future. See “Risks Relating to the Merger with CBOT Holdings” for additional risks.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may need to incur significant indebtedness in order to finance future acquisitions. Such indebtedness may:</w:t>
      </w:r>
    </w:p>
    <w:p>
      <w:pPr>
        <w:spacing w:after="0" w:line="90" w:lineRule="exact"/>
        <w:rPr>
          <w:sz w:val="20"/>
          <w:szCs w:val="20"/>
          <w:color w:val="auto"/>
        </w:rPr>
      </w:pPr>
    </w:p>
    <w:p>
      <w:pPr>
        <w:ind w:left="90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us to dedicate a significant portion of our cash flow from operations to payments on our debt, thereby reducing the availability of cash flow to fund capital expenditures, to pursue other acquisitions or investments in new technologies, to pay dividends and for general corporate purposes;</w:t>
      </w:r>
    </w:p>
    <w:p>
      <w:pPr>
        <w:spacing w:after="0" w:line="4"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 including increases in interest rates if the borrowings bear interest at variable rates; and</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also may seek to expand or enhance some of our operations by forming joint ventures or alliances with various strategic partners throughout the world. Entering into joint ventures and alliances also entails risks, including difficulties in developing and expanding the business of newly formed joint ventures, exercising influence over the activities of joint ventures in which we do not have a controlling interest, and potential conflicts with our joint venture or alliance partners. We cannot assure you that any joint venture or alliance that we have entered into or may enter into in the future, will be successful.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b w:val="1"/>
          <w:bCs w:val="1"/>
          <w:i w:val="1"/>
          <w:iCs w:val="1"/>
          <w:color w:val="auto"/>
        </w:rPr>
        <w:t>The imposition in the future of regulations requiring that clearing houses establish linkages with other clearing houses whereby positions at one clearing house can be transferred to and maintained at, or otherwise offset by a fungible position existing at, another clearing house may have a material adverse effect on the operation of our business.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trading of single stock futures and futures on narrow-based stock indexes, the CFMA contemplates that clearing houses will establish linkages enabling a position in any such product executed on an exchange for which it clears these products to be offset by an economically linked or fungible position on the opposite side of the market that is executed on another exchange utilizing a different clearing house. If, in the future, a similar requirement is imposed with respect to futures contracts generally, the resulting unbundling of trade execution and clearing services would have a material adverse effect on our revenues and profits.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Expansion of our operations internationally involves special challenges that we may not be able to meet, which could adversely affect our financial results.</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plan to continue to expand our operations internationally, including by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use of trading terminals or the contracts that may be traded;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addition, as a result of our expanding global operations, we may become subject to the laws and regulations of foreign governmental and regulatory authorities.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our real estate holdings.</w:t>
      </w:r>
    </w:p>
    <w:p>
      <w:pPr>
        <w:spacing w:after="0" w:line="17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Revenue from our real estate operations represented about 1% of our operating revenue for the year ended December 31, 2007. Lower occupancy rates, market rental rates and non-renewal of leases by tenants could have a material adverse effect on revenue from building operations. Any decrease in leased space could also affect future building service revenue if there is no corresponding demand for the vacated office space. Furthermore, most of our tenants are engaged in businesses that are directly or indirectly related to the brokerage/trading industry or related areas of financial services and adverse business conditions affecting those businesses could have a material adverse effect on our occupancy rates and building services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171"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We rely primarily on trade secret, copyright, service mark, trademark and patent law and contractual protections to protect our proprietary technology and other proprietary rights. We have filed several patent applications covering our technology in the United States and certain other jurisdictions. Notwithstanding the precautions we take to protect our intellectual property rights, it is possible that third parties may copy or otherwise obtain and use our proprietary technology without authorization or otherwise infringe on our rights. We also seek to protect our software and databases as trade secrets and under copyright law. We have copyright registrations for certain of our software, user manuals and databases. The copyright protection afforded to databases, however, is fairly limited.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While the arrangement and selection of data generally are protectable, the actual data may not be, and others may be free to create databases that would perform the same function. In some cases, including a number of our most important products, there may be no effective legal recourse against duplication by competitors.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be more likely than other companies to be a direct target of, or an indirect casualty of, attacks by terrorists or terrorist organizations.</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It is impossible to predict the likelihood or impact of any terrorist attack on the derivatives industry generally or on our business. In the event of an attack or a threat of an attack, our security measures and contingency plans may be inadequate to prevent significant disruptions in our business, technology or access to the infrastructure necessary to maintain our business.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 with CBOT Holdings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all of the anticipated benefits of our merger with CBOT Holdings.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July 12, 2007, CME Holdings completed its merger with CBOT Holdings and CBOT Holdings was merged with and into CME Holdings. The success of the merger will depend, in part, on our ability to achieve the anticipated cost synergies and other strategic benefits from combining the businesses of CME Holdings and CBOT Holdings. We expect CME Group to benefit from operational synergies resulting from the consolidation of capabilities and elimination of redundancies as well as greater efficiencies from increased scale, market integration and more automation. We expect annual expense savings of more than $100 million in 2008. However, to realize these anticipated benefits, we must successfully combine the businesses of CME Holdings and CBOT Holdings. If we are not able to achieve these objectives, the anticipated cost synergies and other strategic benefits of the merger may not be realized fully or at all or may take longer to realize than expected. We may fail to realize some or all of the anticipated benefits of the transaction in the amounts and times projected for a number of reasons, including that the integration may take longer than anticipated or be more costly than anticipated.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CME Holdings and CBOT Holdings in the expected time frame may adversely affect CME Group’s future results.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the completion of the merger, CME Holdings and CBOT Holdings historically operated as independent companies. The management of CME Group may face significant challenges in consolidating the functions of CME Holdings and CBOT Holdings and their subsidiaries, integrating their technologies, organizations, procedures, policies and operations, as well as addressing differences in the business cultures of the two companies and retaining key personnel. Our remaining integration efforts include the consolidation of the two trading floors, the consolidation of market data services and the consolidation of certain regulatory functions. The integration process is complex and time consuming, and requires substantial resources and effort. The integration process and other disruptions resulting from the merger may also disrupt our ongoing businesses or cause inconsistencies in standards, controls, procedures and policies that adversely affect our relationships with members of CME and CBOT and other market participants, employees, regulators and others with whom we have business or other dealings. In addition, difficulties in integrating the businesses or regulatory functions of CME Holdings and CBOT Holdings could harm the reputation of CME Group.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costs in connection with the merger and will continue to incur costs in connection with the merger.</w:t>
      </w:r>
    </w:p>
    <w:p>
      <w:pPr>
        <w:spacing w:after="0" w:line="17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CME Holdings and CBOT Holdings have incurred significant costs associated with transaction fees, professional services and other costs related to the merger and CME Group will continue to incur additional costs, including restructuring costs, in connection with the integration of the business. Specifically, through December 31, 2007, CME Holdings and CBOT Holdings have incurred approximately $114.3 million for costs related to their merger. Although CME Group expects that the realization of efficiencies related to the integration of the businesses will offset incremental transaction, merger-related and restructuring costs over time, this net benefit may not be achieved in the near term, or at all.</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incur significant indebtedness in order to finance the guarantee of the Chicago Board Options Exchange exercise right privileges, which may limit our operating flexibility, and we may not realize the value of the exercise right privileges we purchased.</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26, 2007, we purchased 159 CBOE exercise right privileges (ERPs) from CBOT members. At December 31, 2007, these acquired ERPs totaled $36.6 million and were recorded in other non-current assets in our consolidated balance sheets. Additionally, eligible holders of ERPs are entitled to a maximum guaranteed payment from us of $250,000 upon resolution of the lawsuit between CBOT and CBOE. In connection with this guarantee, we have recorded a liability of $14.0 million related to the fair value of the guarantee obligation which is included in other non-current liabilities in our consolidated balance sheets. The value of the outstanding guarantee and the value of the ERPs we acquired will continue to be adjusted on a quarterly basis until the lawsuit is resolved. To the extent the lawsuit results in no recovery, our obligation under the guarantee would be $293.0 million which would require us to dedicate a significant portion of our cash on hand or incur additional indebtedness. Additionally, in such event, we would be required to write off the ERPs owned by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corporate headquarters are located at 20 South Wacker Drive, Chicago, Illinois 60606. Effective as of August 24, 2007, we entered into a new lease at 20 South Wacker Drive providing for approximately 360,000 square feet of office, lobby and support space which includes the lower trading floor space. The upper trading floor will no longer be leased by us and will be vacated following the migration of the CME trading facilities to 141 West Jackson Boulevard in Chicago. We will retain an option to lease the upper trading floor as office space. The initial term of the lease expires in 2022 with two consecutive options to extend the term for seven and ten years, respectively. The lease also includes various expansion and contraction options.</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a result of our merger with CBOT Holdings, we now own three buildings located at 141 West Jackson Boulevard in Chicago, which consist of a total of approximately 1,500,000 square feet. We occupy approximately 489,000 square feet of office, trading floor and support space at this location. We plan on vacating approximately 100,000 square feet of the office portion of this space over the next two years as a result of our combination with CBOT Holdings. We lease the remaining space to third parties.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also lease additional office space at 550 West Washington in Chicago for approximately 220,000 square feet of office space on a phased-in basis through 2011 pursuant to a lease that expires in 2023.</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back up facilities located at 10 and 30 South Wacker Drive in Chicago, we maintain remote facilities with redundant system components located on leased property. In 2007, we purchased a building for an additional remote data center.</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also lease administrative office space in Washington, D.C., Tokyo, Japan, Hong Kong, China, Mumbai, India and Sydney, Australia and both administrative and communication equipment space in London, England. We sublease a portion of the London office space to FXMS.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facilities are adequate for our current operations and that additional space can be obtained if needed.</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to our knowledge, threatened with any litigation or other legal proceeding that, in our opinion, could have a material adverse effect on our business, operating results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Eurex</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our investigation to date and advice from legal counsel, we believe this suit is without merit and we intend to vigorously defend against these charges.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CBOE Class Action</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CBOE. The lawsuit seeks to enforce and protect the CBOE exercise rights. The lawsuit alleges that these exercise rights allow CBOT’s full members who hold them to become full members of CBOE and to participate on an equal basis with other members of CBOE in CBOE’s announced plans to demutualize. On January 4, 2007, the plaintiffs filed a Second Amended Complaint, in which they added a count seeking a declaration that, contrary to the position taken by the CBOE before the SEC, the merger between CBOT Holdings and CME Holdings did not result in the termination of the exercise rights. The lawsuit seeks declaratory and injunctive relief as well as recovery of attorneys’ fees. On January 11, 2007, the plaintiffs filed a motion for partial summary judgment. On January 16, 2007, the defendants filed a motion to dismiss the Second Amended Complaint. On January 15, 2008, the SEC approved CBOE’s rule interpretation that no person qualifies to become or remain a CBOE exerciser member following our merger with CBOT Holdings. All parties to the litigation and the judge have agreed that the stay previously granted in August 2007, which was implemented pending the SEC’s decision, is no longer in effect and CBOT has filed a motion seeking to amend our complaint to reflect current circumstances.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Class A common stock is listed on the NYSE and the NASDAQ Global Select Market Inc. under the ticker symbol “CME.” As of February 20, 2008, there were 1,830 holders of record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sales prices per share of our Class A common stock on a quarterly basis, as reported on the NYSE.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Low</w:t>
            </w:r>
          </w:p>
        </w:tc>
        <w:tc>
          <w:tcPr>
            <w:tcW w:w="4160" w:type="dxa"/>
            <w:vAlign w:val="bottom"/>
            <w:gridSpan w:val="2"/>
          </w:tcPr>
          <w:p>
            <w:pPr>
              <w:ind w:left="6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5"/>
                <w:szCs w:val="15"/>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$596.26</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$510.00</w:t>
            </w:r>
          </w:p>
        </w:tc>
        <w:tc>
          <w:tcPr>
            <w:tcW w:w="4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First Quarter</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$354.51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565.00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497.00</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Second Quarter</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503.94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609.92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506.50</w:t>
            </w:r>
          </w:p>
        </w:tc>
        <w:tc>
          <w:tcPr>
            <w:tcW w:w="4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Third Quarter</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508.78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714.48</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593.58</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Fourth Quarter</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557.97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 The memberships by class are CME (Chicago Mercantile Exchange), IMM (International Monetary Market), IOM (Index and Option Market) and GEM (Growth and Emerging Markets).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Class B shares and the associated trading rights are bought and sold through our Shareholder Relations and Membership Services Department. In addition, trading rights may be leased through the department. Trading rights sales are reported on our Web site at </w:t>
      </w:r>
      <w:r>
        <w:rPr>
          <w:rFonts w:ascii="Arial" w:cs="Arial" w:eastAsia="Arial" w:hAnsi="Arial"/>
          <w:sz w:val="16"/>
          <w:szCs w:val="16"/>
          <w:i w:val="1"/>
          <w:iCs w:val="1"/>
          <w:color w:val="auto"/>
        </w:rPr>
        <w:t>www.cmegroup.com</w:t>
      </w:r>
      <w:r>
        <w:rPr>
          <w:rFonts w:ascii="Arial" w:cs="Arial" w:eastAsia="Arial" w:hAnsi="Arial"/>
          <w:sz w:val="16"/>
          <w:szCs w:val="16"/>
          <w:color w:val="auto"/>
        </w:rPr>
        <w: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 As of February 20, 2008, there were 1,890 holders of record of our Class B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Record Date</w:t>
            </w:r>
          </w:p>
        </w:tc>
        <w:tc>
          <w:tcPr>
            <w:tcW w:w="52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Dividend per Share</w:t>
            </w:r>
          </w:p>
        </w:tc>
        <w:tc>
          <w:tcPr>
            <w:tcW w:w="3660" w:type="dxa"/>
            <w:vAlign w:val="bottom"/>
          </w:tcPr>
          <w:p>
            <w:pPr>
              <w:spacing w:after="0"/>
              <w:rPr>
                <w:sz w:val="20"/>
                <w:szCs w:val="20"/>
                <w:color w:val="auto"/>
              </w:rPr>
            </w:pPr>
            <w:r>
              <w:rPr>
                <w:rFonts w:ascii="Arial" w:cs="Arial" w:eastAsia="Arial" w:hAnsi="Arial"/>
                <w:sz w:val="14"/>
                <w:szCs w:val="14"/>
                <w:b w:val="1"/>
                <w:bCs w:val="1"/>
                <w:color w:val="auto"/>
              </w:rPr>
              <w:t>Record Date</w:t>
            </w:r>
          </w:p>
        </w:tc>
        <w:tc>
          <w:tcPr>
            <w:tcW w:w="5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7"/>
              </w:rPr>
              <w:t>Dividend per Share</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9, 2007</w:t>
            </w:r>
          </w:p>
        </w:tc>
        <w:tc>
          <w:tcPr>
            <w:tcW w:w="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0.86</w:t>
            </w:r>
          </w:p>
        </w:tc>
        <w:tc>
          <w:tcPr>
            <w:tcW w:w="500" w:type="dxa"/>
            <w:vAlign w:val="bottom"/>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10, 2006</w:t>
            </w:r>
          </w:p>
        </w:tc>
        <w:tc>
          <w:tcPr>
            <w:tcW w:w="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June 8, 2007</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0.86</w:t>
            </w:r>
          </w:p>
        </w:tc>
        <w:tc>
          <w:tcPr>
            <w:tcW w:w="3660" w:type="dxa"/>
            <w:vAlign w:val="bottom"/>
          </w:tcPr>
          <w:p>
            <w:pPr>
              <w:spacing w:after="0"/>
              <w:rPr>
                <w:sz w:val="20"/>
                <w:szCs w:val="20"/>
                <w:color w:val="auto"/>
              </w:rPr>
            </w:pPr>
            <w:r>
              <w:rPr>
                <w:rFonts w:ascii="Arial" w:cs="Arial" w:eastAsia="Arial" w:hAnsi="Arial"/>
                <w:sz w:val="18"/>
                <w:szCs w:val="18"/>
                <w:color w:val="auto"/>
              </w:rPr>
              <w:t>June 9, 2006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September 10, 2007</w:t>
            </w:r>
          </w:p>
        </w:tc>
        <w:tc>
          <w:tcPr>
            <w:tcW w:w="2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0.86</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September 8, 2006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December 10, 2007</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0.86</w:t>
            </w:r>
          </w:p>
        </w:tc>
        <w:tc>
          <w:tcPr>
            <w:tcW w:w="3660" w:type="dxa"/>
            <w:vAlign w:val="bottom"/>
          </w:tcPr>
          <w:p>
            <w:pPr>
              <w:spacing w:after="0"/>
              <w:rPr>
                <w:sz w:val="20"/>
                <w:szCs w:val="20"/>
                <w:color w:val="auto"/>
              </w:rPr>
            </w:pPr>
            <w:r>
              <w:rPr>
                <w:rFonts w:ascii="Arial" w:cs="Arial" w:eastAsia="Arial" w:hAnsi="Arial"/>
                <w:sz w:val="18"/>
                <w:szCs w:val="18"/>
                <w:color w:val="auto"/>
              </w:rPr>
              <w:t>December 8, 2006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intend to pay regular quarterly dividends to our shareholders. The decision to pay a dividend, however, remains within the discretion of our Board of Directors and may be affected by various factors, including our earnings, financial condition, capital requirements, level of indebtedness and other considerations our Board of Directors deems relevant. Our existing credit facility as well as future credit facilities, other future debt obligations and statutory provisions may limit our ability to pay dividends. On January 30, 2008, the Board of Directors declared a regular quarterly dividend of $1.15 per share, representing a 34% increase over the prior quarter, to be paid on March 25, 2008, to shareholders of record on March 10,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graph compares the cumulative five-year total return provided shareholders on our Class A common stock relative to the cumulative total returns of the S&amp;P 500 index, and our new and former peer groups described below as of the end of the year. An investment of $100 (with reinvestment of all dividends) is assumed to have been made in our Class A common stock, in each of the peer groups, and the index on December 31, 2002 and its relative performance is tracked through December 31, 2007. We compiled the new peer group to more closely reflect our competitors in our industry. We believe the new peer group provides a more meaningful basis for comparison of our stock performance.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Peer Group</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IntercontinentalExchange,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Nasdaq Stock Market,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NYMEX Holdings,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NYSE Euronext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Peer Group</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IntercontinentalExchange,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Nasdaq Stock Market,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NYSE Euronext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Securities Exchange Holdings, Inc.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205740</wp:posOffset>
            </wp:positionV>
            <wp:extent cx="5093970" cy="385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9397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invested on 12/31/02 in stock or index-including reinvestment of dividends. Fiscal year ending December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Copyright © 2007, Standard &amp; Poor’s, a division of The McGraw-Hill Companies, Inc. All rights reserved.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www.researchdatagroup.com/S&amp;P.htm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CME Group Inc.</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$1,630.19</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S&amp;P 500</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142.69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149.70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182.87</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New Peer Group</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536.16</w:t>
            </w:r>
          </w:p>
        </w:tc>
        <w:tc>
          <w:tcPr>
            <w:tcW w:w="20" w:type="dxa"/>
            <w:vAlign w:val="bottom"/>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Old Peer Group</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291.85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451.59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555.43</w:t>
            </w:r>
          </w:p>
        </w:tc>
        <w:tc>
          <w:tcPr>
            <w:tcW w:w="20" w:type="dxa"/>
            <w:vAlign w:val="bottom"/>
          </w:tcPr>
          <w:p>
            <w:pPr>
              <w:spacing w:after="0"/>
              <w:rPr>
                <w:sz w:val="19"/>
                <w:szCs w:val="19"/>
                <w:color w:val="auto"/>
              </w:rPr>
            </w:pPr>
          </w:p>
        </w:tc>
      </w:tr>
      <w:tr>
        <w:trPr>
          <w:trHeight w:val="356"/>
        </w:trPr>
        <w:tc>
          <w:tcPr>
            <w:tcW w:w="3400" w:type="dxa"/>
            <w:vAlign w:val="bottom"/>
          </w:tcPr>
          <w:p>
            <w:pPr>
              <w:spacing w:after="0"/>
              <w:rPr>
                <w:sz w:val="24"/>
                <w:szCs w:val="24"/>
                <w:color w:val="auto"/>
              </w:rPr>
            </w:pPr>
          </w:p>
        </w:tc>
        <w:tc>
          <w:tcPr>
            <w:tcW w:w="3180" w:type="dxa"/>
            <w:vAlign w:val="bottom"/>
          </w:tcPr>
          <w:p>
            <w:pPr>
              <w:jc w:val="right"/>
              <w:ind w:right="692"/>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 Total Number</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Class A</w:t>
            </w:r>
          </w:p>
        </w:tc>
        <w:tc>
          <w:tcPr>
            <w:tcW w:w="36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(b) Average Price</w:t>
            </w:r>
          </w:p>
        </w:tc>
        <w:tc>
          <w:tcPr>
            <w:tcW w:w="7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7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Shares Purchased</w:t>
            </w:r>
          </w:p>
        </w:tc>
        <w:tc>
          <w:tcPr>
            <w:tcW w:w="3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Paid Per Share</w:t>
            </w:r>
          </w:p>
        </w:tc>
        <w:tc>
          <w:tcPr>
            <w:tcW w:w="7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November 1 to November 30</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699.05</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699.05</w:t>
            </w:r>
          </w:p>
        </w:tc>
        <w:tc>
          <w:tcPr>
            <w:tcW w:w="7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All of the share amounts set forth in the above table represent shares of the Company’s Class A common stock that were surrendered to the Company in order to fulfill tax withholding obligations of an employee upon the vesting of restricted stock on December 15,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Effective July 12, 2007, CBOT Holdings, Inc. (CBOT Holdings) merged with Chicago Mercantile Exchange Holdings Inc. (CME Holdings) to become CME Group Inc. (CME Group). The following table includes the consolidated results of CME Holdings and its subsidiaries for 2003, 2004, 2005, 2006 and January 1, 2007 through July 12, 2007. The financial results of CME Holdings and CBOT Holdings are combined in the consolidated financial results of CME Group for 2007 beginning on July 13, 2007. The following selected income statement and balance sheet data should be read in conjunction with the audited financial statements, related notes and other financial information included elsewhere herein.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14"/>
              <w:spacing w:after="0"/>
              <w:rPr>
                <w:sz w:val="20"/>
                <w:szCs w:val="20"/>
                <w:color w:val="auto"/>
              </w:rPr>
            </w:pPr>
            <w:r>
              <w:rPr>
                <w:rFonts w:ascii="Arial" w:cs="Arial" w:eastAsia="Arial" w:hAnsi="Arial"/>
                <w:sz w:val="14"/>
                <w:szCs w:val="14"/>
                <w:b w:val="1"/>
                <w:bCs w:val="1"/>
                <w:color w:val="auto"/>
                <w:w w:val="91"/>
              </w:rPr>
              <w:t>Year Ended or At 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Income Statement Data:</w:t>
            </w:r>
          </w:p>
        </w:tc>
        <w:tc>
          <w:tcPr>
            <w:tcW w:w="24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1,089.9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889.8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Non-operating income and expense</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weighted average common share:</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dividends per share</w:t>
            </w:r>
          </w:p>
        </w:tc>
        <w:tc>
          <w:tcPr>
            <w:tcW w:w="2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20,306.2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4,306.5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3,969.4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2,857.5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1,519.1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1,118.7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00" w:type="dxa"/>
            <w:vAlign w:val="bottom"/>
          </w:tcPr>
          <w:p>
            <w:pPr>
              <w:jc w:val="right"/>
              <w:ind w:right="147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key statistical information on the volume of contracts traded, expressed in round turn trades, and notional value of contracts traded.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2007 volume data includes average daily volumes for CBOT products for the period July 13, 2007 through December 31, 2007. All amounts exclude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TRAKRS, Swapstream and auction-traded products.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notional value)</w:t>
            </w: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89"/>
              </w:rPr>
              <w:t>Year Ended or At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Average Daily Volume:</w:t>
            </w:r>
          </w:p>
        </w:tc>
        <w:tc>
          <w:tcPr>
            <w:tcW w:w="2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Product Lines: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1,389</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Commodities and alternative investments</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gridSpan w:val="3"/>
          </w:tcPr>
          <w:p>
            <w:pPr>
              <w:spacing w:after="0"/>
              <w:rPr>
                <w:sz w:val="20"/>
                <w:szCs w:val="20"/>
                <w:color w:val="auto"/>
              </w:rPr>
            </w:pPr>
            <w:r>
              <w:rPr>
                <w:rFonts w:ascii="Arial" w:cs="Arial" w:eastAsia="Arial" w:hAnsi="Arial"/>
                <w:sz w:val="18"/>
                <w:szCs w:val="18"/>
                <w:color w:val="auto"/>
              </w:rPr>
              <w:t>Method of Trade:</w:t>
            </w:r>
          </w:p>
        </w:tc>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Open outcry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Electronic</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Privately negotiated</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 Average Daily Volume</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11,134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4,158</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3,111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Notional Value (in trillions)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4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Volume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2,249,632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1,341,111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1,047,909</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787,186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620,289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Open Interest at Year End (contracts)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53,981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30,083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22,478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is organized as follows:</w:t>
      </w:r>
    </w:p>
    <w:p>
      <w:pPr>
        <w:spacing w:after="0" w:line="84" w:lineRule="exact"/>
        <w:rPr>
          <w:sz w:val="20"/>
          <w:szCs w:val="20"/>
          <w:color w:val="auto"/>
        </w:rPr>
      </w:pPr>
    </w:p>
    <w:p>
      <w:pPr>
        <w:ind w:left="920" w:right="140"/>
        <w:spacing w:after="0" w:line="334"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Includes a discussion of our business structure; current economic and industry-wide trends relevant to our business; our current strategy</w:t>
      </w:r>
      <w:r>
        <w:rPr>
          <w:rFonts w:ascii="Arial" w:cs="Arial" w:eastAsia="Arial" w:hAnsi="Arial"/>
          <w:sz w:val="16"/>
          <w:szCs w:val="16"/>
          <w:b w:val="1"/>
          <w:bCs w:val="1"/>
          <w:color w:val="auto"/>
        </w:rPr>
        <w:t xml:space="preserve"> </w:t>
      </w:r>
      <w:r>
        <w:rPr>
          <w:rFonts w:ascii="Arial" w:cs="Arial" w:eastAsia="Arial" w:hAnsi="Arial"/>
          <w:sz w:val="16"/>
          <w:szCs w:val="16"/>
          <w:color w:val="auto"/>
        </w:rPr>
        <w:t>to address opportunities, challenges and risks; and our primary sources of operating and non-operating revenues and expenditures.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Critical Accounting Policies: </w:t>
      </w:r>
      <w:r>
        <w:rPr>
          <w:rFonts w:ascii="Arial" w:cs="Arial" w:eastAsia="Arial" w:hAnsi="Arial"/>
          <w:sz w:val="16"/>
          <w:szCs w:val="16"/>
          <w:color w:val="auto"/>
        </w:rPr>
        <w:t>Provides an explanation of accounting policies, estimates and assumptions material to our financial results.</w:t>
      </w:r>
    </w:p>
    <w:p>
      <w:pPr>
        <w:spacing w:after="0" w:line="113"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Results of Operations for 2007 Compared with 2006.</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Results of Operations for 2006 Compared with 2005.</w:t>
      </w:r>
    </w:p>
    <w:p>
      <w:pPr>
        <w:spacing w:after="0" w:line="90" w:lineRule="exact"/>
        <w:rPr>
          <w:sz w:val="20"/>
          <w:szCs w:val="20"/>
          <w:color w:val="auto"/>
        </w:rPr>
      </w:pPr>
    </w:p>
    <w:p>
      <w:pPr>
        <w:ind w:left="920" w:right="680"/>
        <w:spacing w:after="0" w:line="275"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Includes a discussion of our future cash requirements, capital resources and expenditures, and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w:t>
      </w:r>
    </w:p>
    <w:p>
      <w:pPr>
        <w:spacing w:after="0" w:line="12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Effective July 12, 2007, CBOT Holdings, Inc. (CBOT Holdings) merged with Chicago Mercantile Exchange Holdings Inc. (CME Holdings) to become CME Group Inc. (CME Group). The following discussion and analysis includes only the consolidated results of CME Holdings and its subsidiaries for 2005, 2006 and for January 1, 2007 through July 12, 2007. The financial results of CME Holdings and CBOT Holdings are included in the consolidated financial results of CME Group beginning on July 13, 2007.</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References in this discussion and analysis to “we” and “our” are to CME Group and its consolidated subsidiaries, collectively. References to our “exchange” are to Chicago Mercantile Exchange Inc. (CME), Board of Trade of the City of Chicago, Inc. (CBOT) and their subsidiaries, collectively.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Structure</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CME Group, a Delaware stock corporation, is the holding company for CME, CBOT and their subsidiaries. The holding company structure is designed to provide strategic and operational flexibility. CME Group’s Class A common stock is listed on the New York Stock Exchange and The Nasdaq Global Select Market under the ticker symbol “CME.”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CME and CBOT are designated contract markets for the trading of futures and options on futures contracts. Futures contracts and options on futures contracts provide investors with vehicles for protecting against, and potentially profiting from, price changes in financial instruments and physical commodities. Futures contracts are legally binding standardized agreements to buy or sell a financial instrument or commodity, specifying quantity and quality at a set price on a future date. Certain futures contracts, such as commodities and foreign exchange products, may result in physical delivery of the product traded. Other futures contracts, including those for equity index and interest rate products, are cash settled and do not involve physical delivery. To provide additional flexibility to the investment community, we also offer trading in options on futures contracts. These contracts offer the customer the right, but not the obligation, to buy or sell an underlying futures contract at a particular price by a particular time.</w:t>
      </w:r>
    </w:p>
    <w:p>
      <w:pPr>
        <w:spacing w:after="0" w:line="118"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We are a global exchange with customer access available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We offer our customers the opportunity to trade futures contracts and options on futures contracts on a range of products including those based on interest rates, equities, foreign exchange, commodities and alternative investments. Our products provide a means for hedging, speculating and allocating assets. We identify new products by monitoring economic trends and their impact on the risk management and speculative needs of our existing and prospective customers.</w:t>
      </w:r>
    </w:p>
    <w:p>
      <w:pPr>
        <w:spacing w:after="0" w:line="8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major product lines are traded through our electronic trading platforms and our open outcry trading floors. These execution facilities offer our customers immediate trade execution and price transparency. As of January 2008, all products, with the exception of CBOT metals products, are traded on the CME Globex platform. CBOT metals products continue to be traded on the e-CBOT platform. We plan to consolidate our trading floors in the second quarter of 2008.</w:t>
      </w:r>
    </w:p>
    <w:p>
      <w:pPr>
        <w:spacing w:after="0" w:line="107"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In addition, trades can be executed through privately negotiated transactions that are cleared and settled through our clearing house. We also offer trading in medium- and long-term interest rate swaps denominated in euros, Swiss francs, pounds sterling and U.S. dollars, which are traded on the Swapstream platform.</w:t>
      </w:r>
    </w:p>
    <w:p>
      <w:pPr>
        <w:spacing w:after="0" w:line="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clearing house clears, settles and guarantees every futures and options contract traded through our exchange. Ownership and control of our own clearing house enables us to capture the revenue associated with both the trading and clearing of our products. Ownership also enables us to more quickly and efficiently bring new products to market through coordination of our clearing functions with our product development, technology, market regulation and risk management activities.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clearing house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ensure performance of counterparties, we establish and monitor financial requirements for our clearing firms and mark-to-market their positions at least twice a day. We also set minimum performance bond requirements for our traded products. In the unlikely event of a payment default by a clearing firm, we would first apply assets of that clearing firm to cover its payment obligation. These assets include security deposits, performance bonds and any other available assets, such as the proceeds from the sale of pledged Class A and Class B common stock and associated trading rights of the clearing firm at our exchange that are owned by or assigned to the clearing firm. In addition, we would make a demand for payment pursuant to any applicable guarantee provided to the exchange by the parent company of a clearing firm. Thereafter, if the payment default remains unsatisfied, we would use, in order, CME’s surplus funds, security deposits of other clearing firms and funds collected through an assessment against all other solvent clearing firms to satisfy the deficit.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Derivatives exchanges that provide markets for futures and options have become a global growth industry, with a compound annual growth rate of 36% from 2002 through June 2007, based on notional value. By comparison, the over-the-counter derivatives market has grown at a compound annual growth rate of 35% during the same period. There are a number of trends that we believe will continue to drive growth and innovation in our industry. They include:</w:t>
      </w:r>
    </w:p>
    <w:p>
      <w:pPr>
        <w:spacing w:after="0" w:line="2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greater need for risk management and hedging tools in an increasingly uncertain geopolitical and economic climate;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Growing investor sophistication regarding derivatives and risk transfer markets;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shift in asset management strategies away from passive buy-and-hold equity investment strategies toward more active strategies including those involving alternative investments and asset classes;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Growth in hedge funds and managed funds as alternative investment vehicles designed to generate more trading-based returns than other investment strategies. These types of alternative investment vehicles often utilize exchange-traded derivatives contracts.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Changing market dynamics also have led to increasing competition in all aspects of our business from both domestic and international sources. We face competition from other futures, securities and securities option exchanges; over-the-counter markets and clearing organizations; consortia formed by our members and large market participants; alternative trade execution facilities; and technology firms, including market data distributors and electronic trading system developers.</w:t>
      </w:r>
    </w:p>
    <w:p>
      <w:pPr>
        <w:spacing w:after="0" w:line="143"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We expect competition to continue to intensify, particularly as a result of technological advances and reductions in the regulatory requirements for the development of products and markets that are competitive with our own. Additional factors that may intensify competition in the future include:</w:t>
      </w:r>
    </w:p>
    <w:p>
      <w:pPr>
        <w:spacing w:after="0" w:line="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growth of recently-formed for-profit exchanges;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consolidation of exchanges, customers or intermediaries;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increased demand for electronic trading and electronic order routing services;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increased ability of other exchanges to leverage their technology investment and electronic distribution to enter new markets and list products that compete with our own.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current strategy specifically focuses on leveraging our benchmark products, scalable infrastructure and clearing and trade matching technologies to benefit customers. This strategy will enable us to continue to evolve into a more broadly diversified financial exchange that offers trading and clearing solutions across additional products and asset classes. Our strategy includes coordinated efforts to:</w:t>
      </w:r>
    </w:p>
    <w:p>
      <w:pPr>
        <w:spacing w:after="0" w:line="59" w:lineRule="exact"/>
        <w:rPr>
          <w:sz w:val="20"/>
          <w:szCs w:val="20"/>
          <w:color w:val="auto"/>
        </w:rPr>
      </w:pPr>
    </w:p>
    <w:p>
      <w:pPr>
        <w:ind w:left="900" w:right="5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 organically by broadening our product range by extending our current product lines and introducing innovative new products in both the exchange and over-the counter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third-party transaction processing, clearing and other trading related services;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Leverage our technology by expanding customer access to our markets and services, enhancing and offering additional trade execution choices, and improving our market data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Explore new business opportunities such as joint ventures, alliances and selective business combinations;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 and diversify our customer base worldwide.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Sources of Operating Revenue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privately-negotiated transactions and other volume-related charges for contracts executed through our trading venues. Because clearing and transaction fees are assessed on a per-contract basis, revenues and profitability fluctuate with volume changes. In addition to the trends noted earlier, our revenues and trading volume tend to increase during periods of economic and geopolitical uncertainty. This is because our customers seek to manage their exposure to, or speculate on, the market volatility resulting from uncertainty. In addition, our volume can be seasonal, and historically, we have experienced higher sequential volume during the first and second quarters followed by decreases in the third and fourth quarters of the calendar year. However, these patterns may be altered by the impact of economic and political events, the launch of new products, mergers and acquisitions as well as other factors.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While volume has the most significant impact on our clearing and transaction fees revenue, there are four other factors that also influence this source of revenue:</w:t>
      </w:r>
    </w:p>
    <w:p>
      <w:pPr>
        <w:spacing w:after="0" w:line="113"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Mix of products traded;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venue;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 xml:space="preserve">Rate structure. </w:t>
      </w:r>
      <w:r>
        <w:rPr>
          <w:rFonts w:ascii="Arial" w:cs="Arial" w:eastAsia="Arial" w:hAnsi="Arial"/>
          <w:sz w:val="18"/>
          <w:szCs w:val="18"/>
          <w:color w:val="auto"/>
        </w:rPr>
        <w:t>Customers benefit from volume discounts and limits on fees as part of our effort to increase liquidity in certain products. We may</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change fees, volume discounts, limits on fees and member discounts, perhaps significantly, based on our review of operations and the business environment.</w:t>
      </w:r>
    </w:p>
    <w:p>
      <w:pPr>
        <w:spacing w:after="0" w:line="59"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As a result of their rate structure, Total Return Asset Contracts (TRAKRS), Swapstream products and auction-traded products are excluded from disclosures of trading volume and average rate per contract in this discussion and analysis. Clearing and transaction fees on these products are immaterial relative to our other products. TRAKRS are exchange-traded non-traditional futures contracts that trade electronically on the CME Globex electronic platform. Swapstream offers interest rate swap products through its inter-dealer electronic trading platform. Auction-traded products, which included CME economic derivatives, were previously traded on the CME Auction Markets platform through July 2007.</w:t>
      </w:r>
    </w:p>
    <w:p>
      <w:pPr>
        <w:spacing w:after="0" w:line="3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trading of futures and options on futures contracts on a wide-ranging set of products based on interest rates, equities,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commodities and alternative investments. Rates are varied by product in order to optimize revenue on existing products and support introduction of new products to encourage trading volume.</w:t>
      </w:r>
    </w:p>
    <w:p>
      <w:pPr>
        <w:spacing w:after="0" w:line="59"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i w:val="1"/>
          <w:iCs w:val="1"/>
          <w:color w:val="auto"/>
        </w:rPr>
        <w:t xml:space="preserve">Trading venue. </w:t>
      </w:r>
      <w:r>
        <w:rPr>
          <w:rFonts w:ascii="Arial" w:cs="Arial" w:eastAsia="Arial" w:hAnsi="Arial"/>
          <w:sz w:val="18"/>
          <w:szCs w:val="18"/>
          <w:color w:val="auto"/>
        </w:rPr>
        <w:t>Our exchange is an international marketplace that brings together buyers and sellers mainly through our electronic trading platforms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through open outcry trading on our trading floors and privately negotiated transactions. Any customer guaranteed by a clearing firm is able to obtain direct access to our electronic platforms. Open outcry trading is conducted exclusively by our members, who may execute trades on behalf of customers or for themselves.</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Typically, customers executing trades through our electronic platforms are charged fees for using the platform in addition to the fees assessed on all transactions executed on our exchange. Customers entering into privately negotiated transactions also incur additional charges beyond the fees assessed on all transactions.</w:t>
      </w:r>
    </w:p>
    <w:p>
      <w:pPr>
        <w:spacing w:after="0" w:line="59" w:lineRule="exact"/>
        <w:rPr>
          <w:sz w:val="20"/>
          <w:szCs w:val="20"/>
          <w:color w:val="auto"/>
        </w:rPr>
      </w:pPr>
    </w:p>
    <w:p>
      <w:pPr>
        <w:ind w:left="460" w:right="520"/>
        <w:spacing w:after="0" w:line="370" w:lineRule="auto"/>
        <w:rPr>
          <w:sz w:val="20"/>
          <w:szCs w:val="20"/>
          <w:color w:val="auto"/>
        </w:rPr>
      </w:pPr>
      <w:r>
        <w:rPr>
          <w:rFonts w:ascii="Arial" w:cs="Arial" w:eastAsia="Arial" w:hAnsi="Arial"/>
          <w:sz w:val="15"/>
          <w:szCs w:val="15"/>
          <w:i w:val="1"/>
          <w:iCs w:val="1"/>
          <w:color w:val="auto"/>
        </w:rPr>
        <w:t xml:space="preserve">Member/non-member mix. </w:t>
      </w:r>
      <w:r>
        <w:rPr>
          <w:rFonts w:ascii="Arial" w:cs="Arial" w:eastAsia="Arial" w:hAnsi="Arial"/>
          <w:sz w:val="15"/>
          <w:szCs w:val="15"/>
          <w:color w:val="auto"/>
        </w:rPr>
        <w:t>Generally, member customers are charged lower fees than our non-member customers. Holding all other factors constant,</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decreases if the percentage of trades executed by members increases, and increases if the percentage of non-member trades increases.</w:t>
      </w:r>
    </w:p>
    <w:p>
      <w:pPr>
        <w:spacing w:after="0" w:line="5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We receive quotation data fees from the dissemination of our market data to subscribers. Our market data services are provided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third-party distributors.</w:t>
      </w:r>
    </w:p>
    <w:p>
      <w:pPr>
        <w:spacing w:after="0" w:line="12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Subscribers can obtain access to real-time, delayed and end-of-day quotation, trade and summary market data for our products.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quotation data fees revenue is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fees.</w:t>
      </w:r>
    </w:p>
    <w:p>
      <w:pPr>
        <w:spacing w:after="0" w:line="107"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 xml:space="preserve">Processing services. </w:t>
      </w:r>
      <w:r>
        <w:rPr>
          <w:rFonts w:ascii="Arial" w:cs="Arial" w:eastAsia="Arial" w:hAnsi="Arial"/>
          <w:sz w:val="18"/>
          <w:szCs w:val="18"/>
          <w:color w:val="auto"/>
        </w:rPr>
        <w:t>To further diversify the range of services we offer, we have entered into clearing and transaction processing agreements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This revenue will fluctuate as the trading volume of these exchanges fluctuates.</w:t>
      </w:r>
    </w:p>
    <w:p>
      <w:pPr>
        <w:spacing w:after="0" w:line="12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revenue includes fees for listing energy and metal futures products on the CME Globex platform for the New York Mercantile Exchange (NYMEX). Although trading under a prior agreement with NYMEX ended in November 2005, trading under a new 10-year agreement began in June 2006. Additionally, in 2007, we began providing clearing and risk management services for trades executed at FXMarketSpace Limited (FXMS), our joint venture with Reuters Group PLC (Reuters), which offers centrally-cleared over-the-counter trading of foreign exchange spot contracts. We also collect fees for processing trades for certain CME clearing firms that execute trades at OneChicago, LLC (OneChicago), our joint venture in single stock futures and futures on narrow-based stock indexes.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agreement with CBOT to provide clearing and related services for CBOT products was terminated upon consummation of the merger. Processing services revenue includes fees from this agreement in 2005, 2006 and for the period January 1 through July 12, 2007.</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sources. </w:t>
      </w:r>
      <w:r>
        <w:rPr>
          <w:rFonts w:ascii="Arial" w:cs="Arial" w:eastAsia="Arial" w:hAnsi="Arial"/>
          <w:sz w:val="16"/>
          <w:szCs w:val="16"/>
          <w:color w:val="auto"/>
        </w:rPr>
        <w:t>Other sources of revenue include access and communication fees and revenue from various services related to our operations.</w:t>
      </w:r>
    </w:p>
    <w:p>
      <w:pPr>
        <w:spacing w:after="0" w:line="20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Access and communication fees are the connectivity charges to customers of the CME Globex and e-CBOT platforms, to our market data vendors and to direct market data customers as well as charges to members and clearing firms that utilize our various telecommunications networks and communications services. Access fee revenue varies depending on the type of connection provided to customers. Revenue from communication fees is largely dependent on open outcry trading, as a significant portion relates to telecommunications on our trading floors.</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Other revenues include rent charged to third party tenants as well as ancillary charges for utilities, parking and miscellaneous services provided to tenants. As part of our merger with CBOT Holdings, we acquired three buildings with over 1.5 million square feet of commercial space in Chicago’s central business district. The retail and office space is rented primarily to third party tenants, including company shareholders and exchange customers. All tenants pay market rates for rent.</w:t>
      </w:r>
    </w:p>
    <w:p>
      <w:pPr>
        <w:spacing w:after="0" w:line="1"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The majority of tenant leases have terms of three to five years, with larger tenants having leases for up to nineteen years. These revenues are generally affected by market rental rates, lease renewals and business conditions in the financial services industry in which most of our tenants operate.</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revenues also includes fees for administering our Interest Earning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includes trading gains and losses generated by GFX Corporation (GFX), our wholly-owned subsidiary that trades primarily in foreign exchange futures contracts to enhance liquidity in our electronic markets for these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Operating Expenses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With the exception of license fees paid for the trading of our equity index contracts and a component of our trading facility rent that is related to open outcry trading volume, most of our expenses do not vary directly with changes in our trading volume.</w:t>
      </w:r>
    </w:p>
    <w:p>
      <w:pPr>
        <w:spacing w:after="0" w:line="12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Compensation and benefits. </w:t>
      </w:r>
      <w:r>
        <w:rPr>
          <w:rFonts w:ascii="Arial" w:cs="Arial" w:eastAsia="Arial" w:hAnsi="Arial"/>
          <w:sz w:val="16"/>
          <w:szCs w:val="16"/>
          <w:color w:val="auto"/>
        </w:rPr>
        <w:t>Compensation and benefits expense is our most significant expense and includes employee wages, bonuses, stock-based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benefits and employer taxes. Changes in this expense are driven by fluctuations in the number of employees, increases in wages as a result of inflation or labor market conditions, rates for employer taxes and other cost increases affecting benefit plans. In addition, this expense is affected by the composition of our work force, which includes a growing percentage of technology-related employees. The expense associated with our bonus and stock-based compensation plans can also have a significant impact on this expense category and may vary from year to year.</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 the bonus funded under the plan would be the “target” level if we achieve the cash earnings target established by the Compensation Committee of our Board of Directors. Cash earnings are defined as net income excluding tax-effected amortization of purchased intangibles, depreciation and amortization expense, and tax-effected stock-based compensation expense less capital expenditures. Under the plan, if our actual cash earnings equal 80% of the established target for a given year, the bonus will be reduced by approximately 50% of the target bonus amount. There will be no bonus if our cash earnings are less than 80% of the cash earnings target, other than for non-exempt employees who may receive a bonus under our discretionary bonus program. If our actual cash earnings equal 120% of the target or higher, the bonus would be increased by approximately 50% from the targeted bonus amount, which is the maximum amount established by the Compensation Committee. If our performance is between the threshold performance level of 80% of the cash earnings target and the maximum performance level of 120% of the cash earnings target, the bonus will be calculated based on the level of performance achieved. The Compensation Committee may adjust the cash earnings calculation and the target level of performance for material, unplanned revenue, expense or capital expenditures to meet intermediate to long-term growth opportunities. Beginning in 2007, the cash earnings calculation for bonus purposes excludes investment income and interest expense as well as expense resulting from the guarantee of the Chicago Board Options Exchange, Inc. (CBOE) exercise right privileges. Targeted cash levels have been adjusted accordingly for these changes in the cash earnings calculation.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Stock-based compensation is a non-cash expense related to stock options and restricted stock grants. Effective January 1, 2006, we adopted Statement of Financial Accounting Standards (SFAS) No. 123(R), “Share-Based Payment.” SFAS No. 123(R) requires the use of the fair value method of accounting for share-based payments, which we previously adopted in 2002 under SFAS No. 123, “Accounting for Stock-Based Compensation.” SFAS No. 123(R) also requires that we estimate expected forfeitures of stock grants instead of the previous practice of accounting for forfeitures as they occurred. Stock-based compensation varies depending on the quantity and fair value of options granted. Fair value is derived using the Black-Scholes model with assumptions about our dividend yield, the expected volatility of our stock price based on an analysis of implied and historical volatility, the risk-free interest rate and the expected life of the options granted.</w:t>
      </w:r>
    </w:p>
    <w:p>
      <w:pPr>
        <w:spacing w:after="0" w:line="141"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Depreciation and amortization expense results from the depreciation of long-lived assets purchased, as well as the amortization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purchased and internally developed software. This expense has increased consistently from year to year due to significant technology investments in equipment and software. Depreciable useful lives have remained relatively consistent since January 1, 2004. As a result of our merger with CBOT Holdings, we acquired three commercial buildings. We utilize space in these buildings as offices and a trading floor. Depreciation and amortization on the building and building improvements as well as other furniture, fixtures and equipment acquired in the merger has been recorded since the merger closed on July 12, 2007.</w:t>
      </w:r>
    </w:p>
    <w:p>
      <w:pPr>
        <w:spacing w:after="0" w:line="9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45" w:lineRule="exact"/>
        <w:rPr>
          <w:sz w:val="20"/>
          <w:szCs w:val="20"/>
          <w:color w:val="auto"/>
        </w:rPr>
      </w:pPr>
    </w:p>
    <w:p>
      <w:pPr>
        <w:ind w:left="900" w:right="22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Communications expense consists primarily of costs for network connections to our electronic trading platforms and some market data customers; telecommunications costs of our exchange; and fees paid for access to external market data. This expense is affected primarily by the growth of electronic trading, our capacity requirements and by changes in the number of telecommunications hubs and connections which allow customers outside the United States access to our electronic trading platforms directly.</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Professional fees and outside services expense includes costs of consulting services provided for major strategic and technology initiatives as well as legal and accounting fees. This expense fluctuates primarily as a result of changes in services required to complete initiatives.</w:t>
      </w:r>
    </w:p>
    <w:p>
      <w:pPr>
        <w:spacing w:after="0" w:line="4" w:lineRule="exact"/>
        <w:rPr>
          <w:rFonts w:ascii="Arial" w:cs="Arial" w:eastAsia="Arial" w:hAnsi="Arial"/>
          <w:sz w:val="16"/>
          <w:szCs w:val="16"/>
          <w:color w:val="auto"/>
        </w:rPr>
      </w:pPr>
    </w:p>
    <w:p>
      <w:pPr>
        <w:ind w:left="900" w:right="22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Amortization of purchased intangibles includes amortization of intangibles obtained in our merger with CBOT Holdings as well as other asset and business acquisitions. These intangible assets consist mainly of customer relationships, the Dow Jones &amp; Company, Inc. (Dow Jones) licensing agreement, and lease-related intangible assets.</w:t>
      </w:r>
    </w:p>
    <w:p>
      <w:pPr>
        <w:spacing w:after="0" w:line="59" w:lineRule="exact"/>
        <w:rPr>
          <w:rFonts w:ascii="Arial" w:cs="Arial" w:eastAsia="Arial" w:hAnsi="Arial"/>
          <w:sz w:val="18"/>
          <w:szCs w:val="18"/>
          <w:color w:val="auto"/>
        </w:rPr>
      </w:pPr>
    </w:p>
    <w:p>
      <w:pPr>
        <w:ind w:left="900" w:right="16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Occupancy and building operations expense consists of costs related to leased and owned property including rent, maintenance, real estate taxes, utilities and other related costs. Our office space is located primarily in Chicago with smaller offices located in Washington, D.C., London, Hong Kong, Sydney and Tokyo. Additionally, we have trading facilities in Chicago as well as data centers in various U.S. locations. Occupancy costs are relatively stable, although our CME trading floor rent fluctuates to a limited extent based on open outcry trading volume.</w:t>
      </w:r>
    </w:p>
    <w:p>
      <w:pPr>
        <w:spacing w:after="0" w:line="31" w:lineRule="exact"/>
        <w:rPr>
          <w:rFonts w:ascii="Arial" w:cs="Arial" w:eastAsia="Arial" w:hAnsi="Arial"/>
          <w:sz w:val="16"/>
          <w:szCs w:val="16"/>
          <w:color w:val="auto"/>
        </w:rPr>
      </w:pPr>
    </w:p>
    <w:p>
      <w:pPr>
        <w:ind w:left="900" w:right="200" w:hanging="325"/>
        <w:spacing w:after="0" w:line="29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Licensing and other fee arrangements expense consists primarily of license fees paid as a result of trading volume in equity index products. This expense fluctuates with changes in equity index product trading volume and fee structure changes in the licensing agreements. Subsequent to the merger with CBOT Holdings, this expense includes licensing fees for trading volume in Dow Jones products. During 2005 and 2006, under a prior agreement with Singapore Exchange Limited (SGX), revenue sharing expense fluctuated based on our percentage of electronically traded CME Eurodollar contracts up to a maximum expense of $0.3 million per month. We recently renewed this agreement, and effective February 2007, the revenue sharing provisions of the agreement terminated and the expense was eliminated.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expense includes marketing-related as well as general administrative costs. Marketing, advertising and public relations expense consists primarily of media, print and other advertising expenses, expenses incurred as part of various brand campaigns as well as the promotion of new and existing products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Non-operating income and expense includes investment income, securities lending interest income and expense, interest expense, expense related to the guarantee of exercise right privileges and equity in losses of unconsolidated subsidiaries.</w:t>
      </w:r>
    </w:p>
    <w:p>
      <w:pPr>
        <w:spacing w:after="0" w:line="51" w:lineRule="exact"/>
        <w:rPr>
          <w:sz w:val="20"/>
          <w:szCs w:val="20"/>
          <w:color w:val="auto"/>
        </w:rPr>
      </w:pPr>
    </w:p>
    <w:p>
      <w:pPr>
        <w:ind w:left="900" w:right="40" w:hanging="325"/>
        <w:spacing w:after="0" w:line="291"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Investment income represents income generated by the short-term investment of our excess cash balances and clearing firms’ cash performance bonds and security deposits; interest income and net realized gains and losses from our marketable securities and long-term equity method investments as well as gains and losses on trading securities in our non-qualified deferred compensation plans. The investment results of our non-qualified deferred compensation plans do not affect our net income as there is an equal and offsetting impact in our compensation and benefits expense. Investment income is influenced by the availability of funds generated by operations, market interest rates and changes in the levels of cash performance bonds deposited by clearing firms.</w:t>
      </w:r>
    </w:p>
    <w:p>
      <w:pPr>
        <w:spacing w:after="0" w:line="39" w:lineRule="exact"/>
        <w:rPr>
          <w:rFonts w:ascii="Arial" w:cs="Arial" w:eastAsia="Arial" w:hAnsi="Arial"/>
          <w:sz w:val="16"/>
          <w:szCs w:val="16"/>
          <w:color w:val="auto"/>
        </w:rPr>
      </w:pPr>
    </w:p>
    <w:p>
      <w:pPr>
        <w:ind w:left="900" w:right="32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Securities lending transactions utilize a portion of the securities that clearing firms deposit to satisfy their proprietary performance bond requirements. Substantial interest expense is also incurred as part of this securities lending activity. Net interest income from securities lending is impacted by changes in short-term interest rates and the level of demand for the securities available for loan.</w:t>
      </w:r>
    </w:p>
    <w:p>
      <w:pPr>
        <w:spacing w:after="0" w:line="25" w:lineRule="exact"/>
        <w:rPr>
          <w:rFonts w:ascii="Arial" w:cs="Arial" w:eastAsia="Arial" w:hAnsi="Arial"/>
          <w:sz w:val="16"/>
          <w:szCs w:val="16"/>
          <w:color w:val="auto"/>
        </w:rPr>
      </w:pPr>
    </w:p>
    <w:p>
      <w:pPr>
        <w:ind w:left="900" w:right="4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Interest expense is due primarily to a commercial paper program with various financial institutions initiated in September 2007 in conjunction with a tender offer to repurchase Class A common stock. Under the program, we may sell unsecured short-term promissory notes.</w:t>
      </w:r>
    </w:p>
    <w:p>
      <w:pPr>
        <w:spacing w:after="0" w:line="4" w:lineRule="exact"/>
        <w:rPr>
          <w:rFonts w:ascii="Arial" w:cs="Arial" w:eastAsia="Arial" w:hAnsi="Arial"/>
          <w:sz w:val="16"/>
          <w:szCs w:val="16"/>
          <w:color w:val="auto"/>
        </w:rPr>
      </w:pPr>
    </w:p>
    <w:p>
      <w:pPr>
        <w:ind w:left="900" w:right="100" w:hanging="325"/>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 related to our guarantee of exercise right privileges (ERPs) is a result of our merger with CBOT Holdings. Under the terms of the merger agreement, eligible holders of CBOE ERPs could elect to sell us their ERP for $250,000 per privilege. Eligible holders that did not elect to sell their ERPs are entitled to a maximum guaranteed payment of $250,000 from us upon resolution of the lawsuit between CBOT and CBOE. This expense represents the estimated fair value of our guarantee as of the end of the period, which is based in part on the expected outcome of the litigation. Periodic expense is impacted by changes in the fair value of the ERP.</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Equity in losses of unconsolidated subsidiaries includes losses from our investments in FXMS and OneChicago.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goodwill and intangible assets, revenue recognition, income taxes, internal use software costs and stock-based compensation.</w:t>
      </w:r>
    </w:p>
    <w:p>
      <w:pPr>
        <w:spacing w:after="0" w:line="11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In accordance with SFAS No. 142, “Goodwill and Other Intangible Assets,” we review goodwill and intangible assets with</w:t>
      </w:r>
      <w:r>
        <w:rPr>
          <w:rFonts w:ascii="Arial" w:cs="Arial" w:eastAsia="Arial" w:hAnsi="Arial"/>
          <w:sz w:val="16"/>
          <w:szCs w:val="16"/>
          <w:b w:val="1"/>
          <w:bCs w:val="1"/>
          <w:color w:val="auto"/>
        </w:rPr>
        <w:t xml:space="preserve"> </w:t>
      </w:r>
      <w:r>
        <w:rPr>
          <w:rFonts w:ascii="Arial" w:cs="Arial" w:eastAsia="Arial" w:hAnsi="Arial"/>
          <w:sz w:val="16"/>
          <w:szCs w:val="16"/>
          <w:color w:val="auto"/>
        </w:rPr>
        <w:t>indefinite lives for impairment on an annual basis and whenever events or circumstances indicate the carrying value may not be recoverable. The provisions of SFAS No. 142 require that a two-step impairment test be performed on goodwill. In the first step, the fair value of each reporting unit is compared to its carrying amount. If the fair value of the reporting unit exceeds the carrying amount, no impairment exists and we are not required to perform further testing. If the carrying amount exceeds its fair value, the second step must be performed to determine the implied fair value of the reporting unit’s goodwill. If the carrying value of the reporting unit’s goodwill exceeds its implied fair value, then an impairment loss is recorded in an amount equal to that excess. Determining the fair value of a reporting unit is judgmental in nature and involves the use of significant estimates and assumptions. Indefinite-lived intangible assets are assessed for impairment by comparing their fair values to their carrying values. If the carrying value of an indefinite-lived intangible asset exceeds its fair value, an impairment loss is recognized equal to the difference.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Intangible assets subject to amortization are also evaluated for impairment, when indicated by a change in circumstances, pursuant to SFAS No. 144, “Accounting for the Impairment or Disposal of Long-Lived Assets.” The impairment testing requires management to estimate the fair value of the assets and record an impairment loss for the excess of the carrying value over the fair value. The estimate of the fair value of all intangible assets is generally determined on the basis of discounted future cash flows. In estimating the fair value, management must make assumptions and projections regarding such items as future cash flows, future revenues, future earnings and other factors. Such assumptions are subject to change as a result of changing economic and competitive conditions.</w:t>
      </w:r>
    </w:p>
    <w:p>
      <w:pPr>
        <w:spacing w:after="0" w:line="1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Our revenue recognition policies comply with Staff Accounting Bulletin No. 101 on revenue recognition. Our revenue is derived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clearing and transaction fees we assess on each contract executed through our 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 Occasionally, market data customers will pay for services in a lump sum payment. When these circumstances occur, revenue is recognized as services are provided.</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Calculation of the income tax provision includes an estimate of the income taxes that will be paid for the current year as well as an estimate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liabilities or benefits deferred into future years, as determined in accordance with SFAS No. 109, “Accounting for Income Taxes” and Financial Interpretation (FIN) No. 48, “Accounting for Uncertain Tax Positions.” As required, our deferred tax assets are reviewed to determine if all assets will be realized in future periods. To the extent it is determined that some deferred tax assets may not be fully realized, the assets must be reduced by a valuation allowance. The calculation of our tax provision involves dealing with uncertainties in the application of complex tax regulations. We recognize potential liabilities for anticipated tax audit issues in the United States and other applicable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to tax rates and regulations. In addition, the effective tax rate will vary with changes to income that are not subject to income tax, such as municipal interest income, and changes in expenses or losses that are not deductible, such as the utilization of foreign net operating losses.</w:t>
      </w:r>
    </w:p>
    <w:p>
      <w:pPr>
        <w:spacing w:after="0" w:line="115"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Internal use software costs. </w:t>
      </w:r>
      <w:r>
        <w:rPr>
          <w:rFonts w:ascii="Arial" w:cs="Arial" w:eastAsia="Arial" w:hAnsi="Arial"/>
          <w:sz w:val="16"/>
          <w:szCs w:val="16"/>
          <w:color w:val="auto"/>
        </w:rPr>
        <w:t>Certain costs for employees and consultants that are incurred in connection with work on development or implementation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for our internal use are capitalized in accordance with the American Institute of Certified Public Accountants Statement of Position (SOP) 98-1, “Accounting for the Costs of Computer Software Developed or Obtained for Internal Use.” Costs capitalized are for application development or implementation, as required by SOP 98-1, for software projects that will result in significant new functionality and that are generally expected to cost in excess of $0.5 million. The amount capitalized is determined based on the time spent by the individuals completing the eligible software-related activity and the compensation and benefits or consulting fees incurred for these activities. Projects are monitored during the development cycle to assure that they continue to meet the capitalization criteria of SOP 98-1 and that the project will be completed and placed in service as intended. Any previously capitalized costs are expensed at the time a decision is made to abandon a software project. Completed internal use software projects, as well as work-in-progress projects, are included as part of property in the consolidated balance sheets. Once completed, the accumulated costs for a particular software project are amortized over the anticipated life of the software, generally three years. Costs capitalized for internal use software will vary from year to year based on our technology-related business requirements.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expense stock options using the fair value method under the provisions of SFAS No. 123(R), “Share-Based Payment.”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the accelerated method for recognizing the expense related to stock grants. Due to this election and the vesting provisions of our stock grants, a greater percentage of the total expense is recognized in the first and second years of the vesting period than would be recorded if we used the straight-line method. Upon adoption of SFAS No. 123(R) on January 1, 2006, we began to include an estimate of expected forfeitures of stock grants in our expense recognition calculations instead of the previous practice of accounting for forfeitures as they occurred.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which provides guidance for using fair value to measure assets and liabilities by defining fair value, establishing a framework for measuring fair value, and expanding disclosures about fair value measurements. The provisions of this statement are effective for fiscal years beginning after November 15, 2007. Adoption of this standard will not have a material impact on our consolidated financial statements, but will require additional disclosures beginning in the first quarter of 2008.</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FASB issued SFAS No. 159, “The Fair Value Option for Financial Assets and Financial Liabilities—Including an Amendment of FASB Statement No. 115,” in February 2007. SFAS No. 159 permits entities to choose to measure many financial instruments and certain other items at fair value. The provisions of this statement are effective for fiscal years beginning after November 15, 2007. The impact of the adoption will be dependent on the extent to which we elect to measure eligible items at fair value. We did not elect to measure any items at fair value upon our initial adoption of the standard.</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SFAS No. 141(R), “Business Combinations,” was issued in December 2007 to replace SFAS No. 141, “Business Combinations.” SFAS No. 141(R) requires that an acquirer recognize the assets acquired, the liabilities assumed, and any non-controlling interest in the acquiree at the acquisition date, measured at their fair values as of that date. This new statement also changes the requirements for recognizing assets acquired and liabilities assumed arising from contingencies, restructuring liabilities and acquisition costs. The provisions of this statement are applied prospectively to business combinations for which the acquisition date is on or after the beginning of the first annual reporting period beginning on or after December 15, 2008. We are currently assessing the impact of this standard’s future adoption on our financial statements.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which establishes accounting and reporting standards for the non-controlling interest in a subsidiary and for the deconsolidation of a subsidiary. SFAS No. 160 clarifies that a non-controlling interest in a subsidiary be reported as equity in the consolidated financial statements. The provisions require consolidated net income to be reported at the total amount attributable to both the parent and non-controlling interest, with disclosure of the amount attributable to the parent and non-controlling interest on the face of the statement of income. The statement also requires that a parent recognize a gain or loss in net income when a subsidiary is deconsolidated. This statement is effective for fiscal years beginning on or after December 15, 2008 and is applied prospectively as of the beginning of the fiscal year in which the statement is initially applied. We are currently assessing the impact of this standard’s future adoption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2007 COMPARED WITH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Financial Highlights</w:t>
      </w:r>
    </w:p>
    <w:p>
      <w:pPr>
        <w:spacing w:after="0" w:line="9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comparability of our operating results for 2007 compared with 2006 is significantly impacted by our merger with CBOT Holdings. In our discussion and analysis of comparative periods, we have quantified the contribution of additional revenue or expense resulting from the merger wherever such amounts were material and identifiable. While identified amounts may provide indications of general trends, the analysis cannot completely address the effects attributable to integration efforts.</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operating revenues grew by 61% in 2007 with the most significant increase in clearing and transaction fees revenue and quotation data fees.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operating expenses increased by 50% due primarily to higher compensation and benefits costs, amortization of purchased intangibles and additional technology expenses incurred to maintain the e-CBOT electronic trading platform.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460"/>
        <w:spacing w:after="0" w:line="366" w:lineRule="auto"/>
        <w:rPr>
          <w:sz w:val="20"/>
          <w:szCs w:val="20"/>
          <w:color w:val="auto"/>
        </w:rPr>
      </w:pPr>
      <w:r>
        <w:rPr>
          <w:rFonts w:ascii="Arial" w:cs="Arial" w:eastAsia="Arial" w:hAnsi="Arial"/>
          <w:sz w:val="15"/>
          <w:szCs w:val="15"/>
          <w:color w:val="auto"/>
        </w:rPr>
        <w:t>Legal proceedings resulting from our merger with CBOT Holdings, including settlement costs paid in relation to a claim filed by the Louisiana Municipal Police Employees’ Retirement System (LAMPERS), and other merger-related costs also contributed to increased expenses in 2007.</w:t>
      </w:r>
    </w:p>
    <w:p>
      <w:pPr>
        <w:spacing w:after="0" w:line="1"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During the third quarter of 2007, we began the process of restructuring our staffing, technology and facilities as a result of the merger. At that time, we began incurring restructuring charges and will continue to incur additional expense in 2008.</w:t>
      </w:r>
    </w:p>
    <w:p>
      <w:pPr>
        <w:spacing w:after="0" w:line="51" w:lineRule="exact"/>
        <w:rPr>
          <w:sz w:val="20"/>
          <w:szCs w:val="20"/>
          <w:color w:val="auto"/>
        </w:rPr>
      </w:pPr>
    </w:p>
    <w:p>
      <w:pPr>
        <w:ind w:left="900" w:right="1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increased to 60% in 2007 compared with 57% in 2006 as the growth in operating revenues outpaced increases in operating expenses.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non-operating expense was due primarily to the guarantee we provided to eligible holders of the CBOE’s ERPs. The increase in non-operating expense was partially offset by an increase in investment income due primarily to an increase in average operating funds available for investment.</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earnings increased by $241.0 million to $643.8 million for 2007 compared with 2006 due primarily to an increase in net income. We have included a reconciliation of cash earnings, a non-GAAP measure, in Liquidity and Capital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$1,427.3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83"/>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620" w:type="dxa"/>
            <w:vAlign w:val="bottom"/>
          </w:tcPr>
          <w:p>
            <w:pPr>
              <w:jc w:val="right"/>
              <w:spacing w:after="0"/>
              <w:rPr>
                <w:sz w:val="20"/>
                <w:szCs w:val="20"/>
                <w:color w:val="auto"/>
              </w:rPr>
            </w:pPr>
            <w:r>
              <w:rPr>
                <w:rFonts w:ascii="Arial" w:cs="Arial" w:eastAsia="Arial" w:hAnsi="Arial"/>
                <w:sz w:val="18"/>
                <w:szCs w:val="18"/>
                <w:color w:val="auto"/>
              </w:rPr>
              <w:t>145.1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80.8</w:t>
            </w:r>
          </w:p>
        </w:tc>
        <w:tc>
          <w:tcPr>
            <w:tcW w:w="920" w:type="dxa"/>
            <w:vAlign w:val="bottom"/>
            <w:gridSpan w:val="3"/>
          </w:tcPr>
          <w:p>
            <w:pPr>
              <w:ind w:left="6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920" w:type="dxa"/>
            <w:vAlign w:val="bottom"/>
            <w:gridSpan w:val="3"/>
          </w:tcPr>
          <w:p>
            <w:pPr>
              <w:ind w:left="6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1,756.1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1,089.9</w:t>
            </w:r>
          </w:p>
        </w:tc>
        <w:tc>
          <w:tcPr>
            <w:tcW w:w="920" w:type="dxa"/>
            <w:vAlign w:val="bottom"/>
            <w:gridSpan w:val="3"/>
          </w:tcPr>
          <w:p>
            <w:pPr>
              <w:ind w:left="6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40"/>
        <w:spacing w:after="0" w:line="394" w:lineRule="auto"/>
        <w:rPr>
          <w:sz w:val="20"/>
          <w:szCs w:val="20"/>
          <w:color w:val="auto"/>
        </w:rPr>
      </w:pPr>
      <w:r>
        <w:rPr>
          <w:rFonts w:ascii="Arial" w:cs="Arial" w:eastAsia="Arial" w:hAnsi="Arial"/>
          <w:sz w:val="18"/>
          <w:szCs w:val="18"/>
          <w:b w:val="1"/>
          <w:bCs w:val="1"/>
          <w:color w:val="auto"/>
        </w:rPr>
        <w:t xml:space="preserve">Clearing and Transaction Fees. </w:t>
      </w:r>
      <w:r>
        <w:rPr>
          <w:rFonts w:ascii="Arial" w:cs="Arial" w:eastAsia="Arial" w:hAnsi="Arial"/>
          <w:sz w:val="18"/>
          <w:szCs w:val="18"/>
          <w:color w:val="auto"/>
        </w:rPr>
        <w:t>Revenue increased primarily due to growth in trading volume partially offset by a decrease in average rate per contract.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Volume</w:t>
      </w:r>
    </w:p>
    <w:p>
      <w:pPr>
        <w:spacing w:after="0" w:line="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addition of the CBOT product line contributed significantly to an increase in overall trading volume during 2007. We also believe that a significant increase in volatility, generated in part from uncertainty surrounding the sub-prime debt market during 2007, added to an increase in volume across all product lines.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summarizes average daily trading volume. For comparative purposes, CME and CBOT products have been presented separately and average daily volume for CBOT products has been calculated for the period from July 13, 2007 through December 31, 2007. All amounts exclude TRAKRS, Swapstream and auction-traded products.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2007</w:t>
            </w: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2006</w:t>
            </w:r>
          </w:p>
        </w:tc>
        <w:tc>
          <w:tcPr>
            <w:tcW w:w="4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tcPr>
          <w:p>
            <w:pPr>
              <w:spacing w:after="0"/>
              <w:rPr>
                <w:sz w:val="20"/>
                <w:szCs w:val="20"/>
                <w:color w:val="auto"/>
              </w:rPr>
            </w:pPr>
            <w:r>
              <w:rPr>
                <w:rFonts w:ascii="Arial" w:cs="Arial" w:eastAsia="Arial" w:hAnsi="Arial"/>
                <w:sz w:val="18"/>
                <w:szCs w:val="18"/>
                <w:color w:val="auto"/>
              </w:rPr>
              <w:t>Interest rate:</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3,701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3,078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3"/>
          </w:tcPr>
          <w:p>
            <w:pPr>
              <w:ind w:left="420"/>
              <w:spacing w:after="0"/>
              <w:rPr>
                <w:sz w:val="20"/>
                <w:szCs w:val="20"/>
                <w:color w:val="auto"/>
              </w:rPr>
            </w:pPr>
            <w:r>
              <w:rPr>
                <w:rFonts w:ascii="Arial" w:cs="Arial" w:eastAsia="Arial" w:hAnsi="Arial"/>
                <w:sz w:val="18"/>
                <w:szCs w:val="18"/>
                <w:color w:val="auto"/>
              </w:rPr>
              <w:t>CBOT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3,392</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tcPr>
          <w:p>
            <w:pPr>
              <w:ind w:left="420"/>
              <w:spacing w:after="0"/>
              <w:rPr>
                <w:sz w:val="20"/>
                <w:szCs w:val="20"/>
                <w:color w:val="auto"/>
              </w:rPr>
            </w:pPr>
            <w:r>
              <w:rPr>
                <w:rFonts w:ascii="Arial" w:cs="Arial" w:eastAsia="Arial" w:hAnsi="Arial"/>
                <w:sz w:val="18"/>
                <w:szCs w:val="18"/>
                <w:color w:val="auto"/>
              </w:rPr>
              <w:t>CME</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2,549</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1,734</w:t>
            </w: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8960" w:type="dxa"/>
            <w:vAlign w:val="bottom"/>
            <w:gridSpan w:val="4"/>
          </w:tcPr>
          <w:p>
            <w:pPr>
              <w:spacing w:after="0"/>
              <w:rPr>
                <w:sz w:val="20"/>
                <w:szCs w:val="20"/>
                <w:color w:val="auto"/>
              </w:rPr>
            </w:pPr>
            <w:r>
              <w:rPr>
                <w:rFonts w:ascii="Arial" w:cs="Arial" w:eastAsia="Arial" w:hAnsi="Arial"/>
                <w:sz w:val="18"/>
                <w:szCs w:val="18"/>
                <w:color w:val="auto"/>
              </w:rPr>
              <w:t>Foreign exchange:</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3"/>
        </w:trPr>
        <w:tc>
          <w:tcPr>
            <w:tcW w:w="8960" w:type="dxa"/>
            <w:vAlign w:val="bottom"/>
            <w:gridSpan w:val="4"/>
          </w:tcPr>
          <w:p>
            <w:pPr>
              <w:spacing w:after="0"/>
              <w:rPr>
                <w:sz w:val="20"/>
                <w:szCs w:val="20"/>
                <w:color w:val="auto"/>
              </w:rPr>
            </w:pPr>
            <w:r>
              <w:rPr>
                <w:rFonts w:ascii="Arial" w:cs="Arial" w:eastAsia="Arial" w:hAnsi="Arial"/>
                <w:sz w:val="18"/>
                <w:szCs w:val="18"/>
                <w:color w:val="auto"/>
              </w:rPr>
              <w:t>Commodity and alternative investment:</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3"/>
          </w:tcPr>
          <w:p>
            <w:pPr>
              <w:ind w:left="420"/>
              <w:spacing w:after="0"/>
              <w:rPr>
                <w:sz w:val="20"/>
                <w:szCs w:val="20"/>
                <w:color w:val="auto"/>
              </w:rPr>
            </w:pPr>
            <w:r>
              <w:rPr>
                <w:rFonts w:ascii="Arial" w:cs="Arial" w:eastAsia="Arial" w:hAnsi="Arial"/>
                <w:sz w:val="18"/>
                <w:szCs w:val="18"/>
                <w:color w:val="auto"/>
              </w:rPr>
              <w:t>CBOT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647</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Daily Volume of Total Products: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tcPr>
          <w:p>
            <w:pPr>
              <w:ind w:left="420"/>
              <w:spacing w:after="0"/>
              <w:rPr>
                <w:sz w:val="20"/>
                <w:szCs w:val="20"/>
                <w:color w:val="auto"/>
              </w:rPr>
            </w:pPr>
            <w:r>
              <w:rPr>
                <w:rFonts w:ascii="Arial" w:cs="Arial" w:eastAsia="Arial" w:hAnsi="Arial"/>
                <w:sz w:val="18"/>
                <w:szCs w:val="18"/>
                <w:color w:val="auto"/>
              </w:rPr>
              <w:t>CME</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6,900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5,343</w:t>
            </w: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4,234</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8960" w:type="dxa"/>
            <w:vAlign w:val="bottom"/>
            <w:gridSpan w:val="4"/>
          </w:tcPr>
          <w:p>
            <w:pPr>
              <w:spacing w:after="0"/>
              <w:rPr>
                <w:sz w:val="20"/>
                <w:szCs w:val="20"/>
                <w:color w:val="auto"/>
              </w:rPr>
            </w:pPr>
            <w:r>
              <w:rPr>
                <w:rFonts w:ascii="Arial" w:cs="Arial" w:eastAsia="Arial" w:hAnsi="Arial"/>
                <w:sz w:val="18"/>
                <w:szCs w:val="18"/>
                <w:color w:val="auto"/>
              </w:rPr>
              <w:t>Electronic Volume:</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5,288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3,808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3"/>
          </w:tcPr>
          <w:p>
            <w:pPr>
              <w:ind w:left="420"/>
              <w:spacing w:after="0"/>
              <w:rPr>
                <w:sz w:val="20"/>
                <w:szCs w:val="20"/>
                <w:color w:val="auto"/>
              </w:rPr>
            </w:pPr>
            <w:r>
              <w:rPr>
                <w:rFonts w:ascii="Arial" w:cs="Arial" w:eastAsia="Arial" w:hAnsi="Arial"/>
                <w:sz w:val="18"/>
                <w:szCs w:val="18"/>
                <w:color w:val="auto"/>
              </w:rPr>
              <w:t>CBOT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3,373</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Volume as a Percentage of Total Average Daily Volume</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7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8960" w:type="dxa"/>
            <w:vAlign w:val="bottom"/>
            <w:gridSpan w:val="4"/>
          </w:tcPr>
          <w:p>
            <w:pPr>
              <w:spacing w:after="0"/>
              <w:rPr>
                <w:sz w:val="20"/>
                <w:szCs w:val="20"/>
                <w:color w:val="auto"/>
              </w:rPr>
            </w:pPr>
            <w:r>
              <w:rPr>
                <w:rFonts w:ascii="Arial" w:cs="Arial" w:eastAsia="Arial" w:hAnsi="Arial"/>
                <w:sz w:val="18"/>
                <w:szCs w:val="18"/>
                <w:color w:val="auto"/>
              </w:rPr>
              <w:t>n.m.  not meaningful</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increase in interest rate trading volume is due primarily to the addition of CBOT interest rate products subsequent to the merger. CBOT interest rate products volume is attributable primarily to 10-year and 5-year U.S. Treasury note futures and options, which had average daily volume of 1.7 million and 0.8 million contracts, respectively, from July 13, 2007 through the end of the year. Average daily volume for 10-year and 5-year U.S. Treasury note futures and options was 1.3 million and 0.5 million contracts, respectively, for the last six months of 2006. CBOT product volume for 2006 is provided for comparative purposes only and does not relate to revenues recognized by CME Group. Overall trading volume growth in interest rate products also resulted from uncertainty surrounding inflation and market interest rates as well as concerns about the sub-prime debt market, which generated additional market volatility. CME Eurodollar futures traded electronically increased to an average of 2.2 million contracts per day in 2007, an increase of 30% when compared with 2006. Additionally, volume for CME Eurodollar options traded via open outcry increased 14% to an average of 1.1 million contracts per day in 2007.</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jc w:val="both"/>
        <w:ind w:left="460" w:right="280"/>
        <w:spacing w:after="0" w:line="259" w:lineRule="auto"/>
        <w:rPr>
          <w:sz w:val="20"/>
          <w:szCs w:val="20"/>
          <w:color w:val="auto"/>
        </w:rPr>
      </w:pPr>
      <w:r>
        <w:rPr>
          <w:rFonts w:ascii="Arial" w:cs="Arial" w:eastAsia="Arial" w:hAnsi="Arial"/>
          <w:sz w:val="18"/>
          <w:szCs w:val="18"/>
          <w:color w:val="auto"/>
        </w:rPr>
        <w:t>Trading volume for equity products increased for the year due primarily to a sharp rise in volatility in the equity markets resulting from sub-prime debt market and inflationary concerns, especially during the second half of 2007. Average volatility, as measured by the CBOE Volatility Index, increased by 77% in the last six months of 2007 compared with the same period in 2006.</w:t>
      </w:r>
    </w:p>
    <w:p>
      <w:pPr>
        <w:spacing w:after="0" w:line="59"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Average daily volume of our E-mini equity products increased by 50% to 2.4 million contracts in 2007 compared with 2006. This included an increase in average daily volume for E-mini S&amp;P 500 futures and options contracts of 60% to 1.7 million contracts in 2007.</w:t>
      </w:r>
    </w:p>
    <w:p>
      <w:pPr>
        <w:spacing w:after="0" w:line="51"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As announced in June 2007, our license to list Russell-based contracts will terminate in September 2008 when the last contracts currently traded expire. Average daily volume for the Russell-based contracts was 252,000 for 2007. On June 19, 2007, we launched new E-mini S&amp;P small cap futures and options contracts, based on the S&amp;P 600 Index, to offer a comparable alternative to the Russell-based contracts.</w:t>
      </w:r>
    </w:p>
    <w:p>
      <w:pPr>
        <w:spacing w:after="0" w:line="2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In August 2007, we renewed our licensing agreement with Dow Jones. The agreement enables us to continue to exclusively offer futures and options on futures products based on the Dow Jones Industrial Average (DJIA) and other Dow Jones indexes. The new agreement is effective January 1, 2008 through December 31, 2014 and also includes a provision for a five-year renewal term and successive annual renewal terms thereafter.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increase in trading of foreign exchange products was fueled in part by the decline of the U.S. dollar relative to other major currencies. We believe that market reactions to events in the fixed income market also contributed to volume growth during the year. In 2007, 92% of our foreign exchange volume traded electronically compared with 88% during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Commodities and Alternative Investments</w:t>
      </w:r>
    </w:p>
    <w:p>
      <w:pPr>
        <w:spacing w:after="0" w:line="9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Trading volume growth during 2007 resulted primarily from the additional volume generated from CBOT commodities subsequent to the merger. CBOT commodities consist primarily of corn and soybean futures and options.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increase in average daily volume in 2007 was partially offset by a decrease in the average rate, or revenue, per contract. All amounts in the following table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1,341.1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1,426.2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864.4</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73"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The average rate per contract decreased in 2007 due primarily to growth in member trading when compared with 2006. Member trading volume increased faster than non-member trading in 2007. We believe that higher volumes by automated trading systems, which typically receive member rates, contributed to this increase in member trading. In addition, the average rate per contract of the E-mini S&amp;P 500 futures and options contracts decreased due to incremental volume reaching the CME Globex surcharge cap, resulting in a decrease in the overall average rate per contract.</w:t>
      </w:r>
    </w:p>
    <w:p>
      <w:pPr>
        <w:spacing w:after="0" w:line="32"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decrease in average rate per contract was partially offset by the addition of CBOT products to our existing product lines. The average rate per contract for CBOT products was $0.657 for the period July 13 through December 31, 2007. The increase in average rate per contract is attributable primarily to an increase in commodities volume, which has a higher average rate per contract, during the fourth quarter of 2007. Additionally, the percentage of total volume by product line shifted during the year from CME interest rate products to E-mini equity products, which have a higher rate per contract. As a percentage of total volume, E-mini equity volume increased by 5% in 2007 when compared with 2006 while interest rate product volume decreased by 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on behalf of their customers. We currently have approximately 120 clearing firms. The increase in the number of clearing firms compared with the prior year is due to the addition of CBOT-only clearing firms as a result of our merger. One firm represented approximately 11% of our clearing and transaction fee revenue for 2007. Should a clearing firm discontinue operations, we believe the customer portion of that firm’s trading activity would likely transfer to another clearing firm of the exchange. Therefore, we do not believe this concentration exposes us to significant risk from the loss of revenue earned from the particular firm.</w:t>
      </w:r>
    </w:p>
    <w:p>
      <w:pPr>
        <w:spacing w:after="0" w:line="138"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Quotation data fees revenue increased mostly due to additional revenue of approximately $44.1 million contributed by market data</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provided to existing CBOT customers subsequent to the merger.</w:t>
      </w:r>
    </w:p>
    <w:p>
      <w:pPr>
        <w:spacing w:after="0" w:line="12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addition, a fee increase in CME market data fees on January 1, 2007 also contributed to growth in revenue. Users of CME’s basic service paid $50 per month in 2007 for each market data screen, or device, compared with $40 per month in 2006. The higher rate combined with increases in other quotation data services contributed to additional revenue of $19.2 million in 2007 compared with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2008, all users of our basic services will pay $55 per month for each market data screen, or device.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two largest resellers of our market data generated approximately 67% of our quotation data fees revenue in 2007. However, we consider exposure to significant risk of revenue loss to be minimal despite this concentration. In the event one of these vendors no longer subscribes to our market data, we believe the majority of that vendor’s customers would likely subscribe to our market data through another reseller.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 xml:space="preserve">Processing Services. </w:t>
      </w:r>
      <w:r>
        <w:rPr>
          <w:rFonts w:ascii="Arial" w:cs="Arial" w:eastAsia="Arial" w:hAnsi="Arial"/>
          <w:sz w:val="16"/>
          <w:szCs w:val="16"/>
          <w:color w:val="auto"/>
        </w:rPr>
        <w:t>The increase in revenues is attributable primarily to an increase in NYMEX volume. Revenues generated from trade matching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to NYMEX, which began at the end of the second quarter of 2006, increased by $42.1 million in 2007 when compared with 2006. The total volume of NYMEX products available on the CME Globex platform increased to 191.5 million contracts in 2007 from 35.6 million contracts in 2006.</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increase was partially offset by a decrease in revenue resulting from the elimination of fees generated by the clearing agreement with CBOT, which terminated as a result of our merger with CBOT Holdings. The decrease in processing services revenue resulting from this termination was $27.6 million in 2007 when compared with 2006.</w:t>
      </w:r>
    </w:p>
    <w:p>
      <w:pPr>
        <w:spacing w:after="0" w:line="13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Access and Communication Fees. </w:t>
      </w:r>
      <w:r>
        <w:rPr>
          <w:rFonts w:ascii="Arial" w:cs="Arial" w:eastAsia="Arial" w:hAnsi="Arial"/>
          <w:sz w:val="16"/>
          <w:szCs w:val="16"/>
          <w:color w:val="auto"/>
        </w:rPr>
        <w:t>The telecommunications services provided to CBOT customers as well as connectivity charges for the e-CBOT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contributed incremental revenue of approximately $4.8 million in 2007. In addition, revenue growth in 2007 was also attributable to customers upgrading to higher bandwidth connections and expansion of our server co-location program. The co-location program allows customers to connect their trading applications directly to the CME Globex electronic platform by housing certain customer systems in a CME-specified data facility.</w:t>
      </w:r>
    </w:p>
    <w:p>
      <w:pPr>
        <w:spacing w:after="0" w:line="10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Rental income and associated revenues from building operations acquired as a result of the merger with CBOT Holdings totaled $11.2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2007. Other incremental revenues from CBOT totaled $2.3 million. Additionally, the increase in other revenues is also attributable to a $2.6 million increase in GFX trading gains in 2007 when compared with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83"/>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500" w:type="dxa"/>
            <w:vAlign w:val="bottom"/>
          </w:tcPr>
          <w:p>
            <w:pPr>
              <w:jc w:val="right"/>
              <w:spacing w:after="0"/>
              <w:rPr>
                <w:sz w:val="20"/>
                <w:szCs w:val="20"/>
                <w:color w:val="auto"/>
              </w:rPr>
            </w:pPr>
            <w:r>
              <w:rPr>
                <w:rFonts w:ascii="Arial" w:cs="Arial" w:eastAsia="Arial" w:hAnsi="Arial"/>
                <w:sz w:val="18"/>
                <w:szCs w:val="18"/>
                <w:color w:val="auto"/>
              </w:rPr>
              <w:t>43.5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820" w:type="dxa"/>
            <w:vAlign w:val="bottom"/>
            <w:gridSpan w:val="3"/>
          </w:tcPr>
          <w:p>
            <w:pPr>
              <w:ind w:left="5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820" w:type="dxa"/>
            <w:vAlign w:val="bottom"/>
            <w:gridSpan w:val="3"/>
          </w:tcPr>
          <w:p>
            <w:pPr>
              <w:ind w:left="5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105.7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820" w:type="dxa"/>
            <w:vAlign w:val="bottom"/>
            <w:gridSpan w:val="3"/>
          </w:tcPr>
          <w:p>
            <w:pPr>
              <w:ind w:left="5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820" w:type="dxa"/>
            <w:vAlign w:val="bottom"/>
            <w:gridSpan w:val="3"/>
          </w:tcPr>
          <w:p>
            <w:pPr>
              <w:ind w:left="5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820" w:type="dxa"/>
            <w:vAlign w:val="bottom"/>
            <w:gridSpan w:val="3"/>
          </w:tcPr>
          <w:p>
            <w:pPr>
              <w:ind w:left="5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468.9</w:t>
            </w:r>
          </w:p>
        </w:tc>
        <w:tc>
          <w:tcPr>
            <w:tcW w:w="8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not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and Benefits. </w:t>
      </w:r>
      <w:r>
        <w:rPr>
          <w:rFonts w:ascii="Arial" w:cs="Arial" w:eastAsia="Arial" w:hAnsi="Arial"/>
          <w:sz w:val="16"/>
          <w:szCs w:val="16"/>
          <w:color w:val="auto"/>
        </w:rPr>
        <w:t>The increase in compensation and benefits expense during 2007 compared with 2006 consisted primarily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Increases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60" w:type="dxa"/>
            <w:vAlign w:val="bottom"/>
            <w:gridSpan w:val="2"/>
          </w:tcPr>
          <w:p>
            <w:pPr>
              <w:spacing w:after="0"/>
              <w:rPr>
                <w:sz w:val="20"/>
                <w:szCs w:val="20"/>
                <w:color w:val="auto"/>
              </w:rPr>
            </w:pPr>
            <w:r>
              <w:rPr>
                <w:rFonts w:ascii="Arial" w:cs="Arial" w:eastAsia="Arial" w:hAnsi="Arial"/>
                <w:sz w:val="18"/>
                <w:szCs w:val="18"/>
                <w:color w:val="auto"/>
              </w:rPr>
              <w:t>Bonus</w:t>
            </w: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60" w:type="dxa"/>
            <w:vAlign w:val="bottom"/>
            <w:gridSpan w:val="2"/>
          </w:tcPr>
          <w:p>
            <w:pPr>
              <w:spacing w:after="0"/>
              <w:rPr>
                <w:sz w:val="20"/>
                <w:szCs w:val="20"/>
                <w:color w:val="auto"/>
              </w:rPr>
            </w:pPr>
            <w:r>
              <w:rPr>
                <w:rFonts w:ascii="Arial" w:cs="Arial" w:eastAsia="Arial" w:hAnsi="Arial"/>
                <w:sz w:val="18"/>
                <w:szCs w:val="18"/>
                <w:color w:val="auto"/>
              </w:rPr>
              <w:t>Change in average salaries, benefits and employer taxes</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00" w:right="360" w:hanging="325"/>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Average headcount increased by 23%, or about 320 employees, in 2007. This increase resulted primarily from the addition of approximately 690 employees as a result of our merger with CBOT Holdings and was offset by a workforce reduction of about 180 employees during the third and fourth quarters of 2007. As of December 31, 2007 and 2006, we had approximately 1,970 and 1,430 employees, respectively.</w:t>
      </w:r>
    </w:p>
    <w:p>
      <w:pPr>
        <w:spacing w:after="0" w:line="25" w:lineRule="exact"/>
        <w:rPr>
          <w:rFonts w:ascii="Arial" w:cs="Arial" w:eastAsia="Arial" w:hAnsi="Arial"/>
          <w:sz w:val="16"/>
          <w:szCs w:val="16"/>
          <w:color w:val="auto"/>
        </w:rPr>
      </w:pPr>
    </w:p>
    <w:p>
      <w:pPr>
        <w:ind w:left="900" w:right="8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Bonus expense accrued under the provisions of our annual incentive plan increased in 2007 mostly as a result of a larger target pool due to growth in headcount; improved performance of our company when compared with the cash earnings target, and increased salary levels.</w:t>
      </w:r>
    </w:p>
    <w:p>
      <w:pPr>
        <w:spacing w:after="0" w:line="4"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Stock-based compensation increased primarily due to the full impact in 2007 of the expense related to the options granted in June 2006 and additional expense related to the June 2007 grant. In addition, we recognized additional expense for the unvested stock options previously granted to CBOT Holdings’ employees.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Subsequent to our merger, we approved and initiated a plan to close duplicate facilities and reduce our workforce in order to improve operating efficiencies. In addition to the positions we have eliminated through December 2007, we expect to eliminate approximately 200 positions by June 2008. We expect these reductions to contribute to a decrease in compensation and benefits expense relative to the current period.</w:t>
      </w:r>
    </w:p>
    <w:p>
      <w:pPr>
        <w:spacing w:after="0" w:line="1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Communications. </w:t>
      </w:r>
      <w:r>
        <w:rPr>
          <w:rFonts w:ascii="Arial" w:cs="Arial" w:eastAsia="Arial" w:hAnsi="Arial"/>
          <w:sz w:val="18"/>
          <w:szCs w:val="18"/>
          <w:color w:val="auto"/>
        </w:rPr>
        <w:t>This expense increased primarily as a result of our merger with CBOT Holdings. Costs incurred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e-CBOT operations and customer connectivity resulted in incremental expense in 2007. Continued growth in existing customer and data center connections and bandwidth upgrades also contributed to the increase in expense in 2007.</w:t>
      </w:r>
    </w:p>
    <w:p>
      <w:pPr>
        <w:spacing w:after="0" w:line="132"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b w:val="1"/>
          <w:bCs w:val="1"/>
          <w:color w:val="auto"/>
        </w:rPr>
        <w:t xml:space="preserve">Technology Support Services. </w:t>
      </w:r>
      <w:r>
        <w:rPr>
          <w:rFonts w:ascii="Arial" w:cs="Arial" w:eastAsia="Arial" w:hAnsi="Arial"/>
          <w:sz w:val="16"/>
          <w:szCs w:val="16"/>
          <w:color w:val="auto"/>
        </w:rPr>
        <w:t>There was an increase of approximately $15.1 million due primarily to the integration and support of the e-CBOT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platform in 2007. Additional investments in technology, including an upgrade to our network and mainframe system in 2006, led to increased ongoing maintenance costs as part of a planned system expansion to increase capacity for peak volumes of transactions processed electronically.</w:t>
      </w:r>
    </w:p>
    <w:p>
      <w:pPr>
        <w:spacing w:after="0" w:line="97"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Professional Fees and Outside Services. </w:t>
      </w:r>
      <w:r>
        <w:rPr>
          <w:rFonts w:ascii="Arial" w:cs="Arial" w:eastAsia="Arial" w:hAnsi="Arial"/>
          <w:sz w:val="16"/>
          <w:szCs w:val="16"/>
          <w:color w:val="auto"/>
        </w:rPr>
        <w:t>Technology-related and other professional fees, net of amounts capitalized for internally developed software,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by $11.2 million in 2007 compared with 2006. The increase was due primarily to consulting services used to supplement our merger integration efforts as well as non-capitalizable software development costs and expenses incurred to support our strategic initiatives.</w:t>
      </w:r>
    </w:p>
    <w:p>
      <w:pPr>
        <w:spacing w:after="0" w:line="10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Additionally, legal fees increased $6.3 million in 2007 due to litigation costs related to the LAMPERS and CBOE proceedings resulting from our merger with CBOT Holdings, as well as the ongoing antitrust suit filed by Eurex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total, this expense category includes $8.9 million in merger-related costs in 2007.</w:t>
      </w:r>
    </w:p>
    <w:p>
      <w:pPr>
        <w:spacing w:after="0" w:line="16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 xml:space="preserve">Amortization of Purchased Intangibles. </w:t>
      </w:r>
      <w:r>
        <w:rPr>
          <w:rFonts w:ascii="Arial" w:cs="Arial" w:eastAsia="Arial" w:hAnsi="Arial"/>
          <w:sz w:val="16"/>
          <w:szCs w:val="16"/>
          <w:color w:val="auto"/>
        </w:rPr>
        <w:t>The increase in expense during 2007 is attributable to intangible assets obtained in our merger with CBOT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 assets subject to amortization consist primarily of clearing firm relationships, market data customer relationships, the Dow Jones licensing agreement and lease-related intangibles. Amortization of purchased intangibles in 2006 relates to intangible assets obtained as a result of our business acquisition of Swapstream and our acquisition of assets from Liquidity Direct Technology, LLC.</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The increase in expense is related primarily to additional assets obtained in our recent merger with CBOT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expense attributable to the addition of these assets was estimated as $18.6 million in 2007. This amount includes the impact of purchase accounting valuation adjustments. In addition, we have shortened the useful lives of various technology-related and trading floor assets due to our plans to consolidate some electronic trading systems and trading floor operations. This resulted in incremental expense of $7.9 million in 2007. We expect this acceleration of depreciation to result in $8.0 million of expense in 2008. In addition, depreciation and amortization of 2007 and 2006 property additions exceeded the depreciation and amortization of assets that have become fully depreciated or retired since January 1, 2006, contributing to the increase in depreciation and amortization expense for 2007.</w:t>
      </w:r>
    </w:p>
    <w:p>
      <w:pPr>
        <w:spacing w:after="0" w:line="14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Property additions, excluding merger-related additions, for 2007 and 2006 are summarized below. Technology-related assets include purchases of computers and related equipment, software, the cost of developing internal use software and the build-out of our data centers. While total property additions increased in 2007, technology-related spending decreased as a percentage of total additions due to an increase in spending for the development of our newly-leased Chicago office space.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$163.7</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$88.2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Occupancy and Building Operations. </w:t>
      </w:r>
      <w:r>
        <w:rPr>
          <w:rFonts w:ascii="Arial" w:cs="Arial" w:eastAsia="Arial" w:hAnsi="Arial"/>
          <w:sz w:val="18"/>
          <w:szCs w:val="18"/>
          <w:color w:val="auto"/>
        </w:rPr>
        <w:t>The addition of three commercial real estate properties as a result of our recent merger resulted in incremental expense of</w:t>
      </w:r>
      <w:r>
        <w:rPr>
          <w:rFonts w:ascii="Arial" w:cs="Arial" w:eastAsia="Arial" w:hAnsi="Arial"/>
          <w:sz w:val="18"/>
          <w:szCs w:val="18"/>
          <w:b w:val="1"/>
          <w:bCs w:val="1"/>
          <w:color w:val="auto"/>
        </w:rPr>
        <w:t xml:space="preserve"> </w:t>
      </w:r>
      <w:r>
        <w:rPr>
          <w:rFonts w:ascii="Arial" w:cs="Arial" w:eastAsia="Arial" w:hAnsi="Arial"/>
          <w:sz w:val="18"/>
          <w:szCs w:val="18"/>
          <w:color w:val="auto"/>
        </w:rPr>
        <w:t>$8.4 million in 2007 relating primarily to utilities, maintenance and real estate tax expense. In addition, we entered into two leases for additional office space in Chicago and London during the third quarter of 2006. These new leases contributed to an increase of $10.2 million in rent, utilities and real estate tax expense in 2007.</w:t>
      </w:r>
    </w:p>
    <w:p>
      <w:pPr>
        <w:spacing w:after="0" w:line="14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August 2007, we renegotiated the leases for office space and trading floor facilities at our headquarters. Under the terms of our new lease, which extends our occupancy through 2022, we will be reducing our rented space after November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Licensing and Other Fee Agreements. </w:t>
      </w:r>
      <w:r>
        <w:rPr>
          <w:rFonts w:ascii="Arial" w:cs="Arial" w:eastAsia="Arial" w:hAnsi="Arial"/>
          <w:sz w:val="18"/>
          <w:szCs w:val="18"/>
          <w:color w:val="auto"/>
        </w:rPr>
        <w:t>Higher trading volume for licensed products, particularly E-mini S&amp;P products, resulted in $8.8 million of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in 2007. Also contributing to an increase in this expense were licensing and market maker fees of approximately $4.1 million resulting from our recent merger with CBOT Holdings. These increases were partially offset by a $2.7 million reduction in costs incurred under a fee sharing arrangement with SGX, which ceased in February 2007 under the terms of our renewed agreement.</w:t>
      </w:r>
    </w:p>
    <w:p>
      <w:pPr>
        <w:spacing w:after="0" w:line="14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renewed our exclusive product licensing agreement with Dow Jones in September 2007. The new agreement is effective from January 2008 through December 2014 and includes an upfront payment as well as minimum annual payments. The upfront payment, which was negotiated in exchange for a reduced rate per contract, will be recognized in equal amounts each month over the term of the agreement.</w:t>
      </w:r>
    </w:p>
    <w:p>
      <w:pPr>
        <w:spacing w:after="0" w:line="134"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Restructuring. </w:t>
      </w:r>
      <w:r>
        <w:rPr>
          <w:rFonts w:ascii="Arial" w:cs="Arial" w:eastAsia="Arial" w:hAnsi="Arial"/>
          <w:sz w:val="18"/>
          <w:szCs w:val="18"/>
          <w:color w:val="auto"/>
        </w:rPr>
        <w:t>This expense consists primarily of severance to transitional CBOT employees, severance to CME employees, retention bonuses and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as well as outplacement costs and post-employment healthcare subsidies. Approximately $3.5 million of additional restructuring expense will be incurred in 2008.</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The increase in expense for 2007 is attributable primarily to $8.0 million of marketing, advertising and public relations costs incurred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global brand campaign and efforts to redesign and expand our customer education programs. Included in the $8.0 million increase for 2007 was $3.9 million of merger-related re-branding and print advertising costs. Also contributing to the increase in other expense for the year was $6.3 million of settlement costs related to the LAMPERS class action lawsuit. Finally, a higher level of operating expenses associated with the combined company resulted in an increase in this expense for the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121.5</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94.0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(114.5)</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exercise right privileges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Equity in losses of unconsolidated subsidiaries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(6.9)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$ 50.6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not meaningful</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Investment Income. </w:t>
      </w:r>
      <w:r>
        <w:rPr>
          <w:rFonts w:ascii="Arial" w:cs="Arial" w:eastAsia="Arial" w:hAnsi="Arial"/>
          <w:sz w:val="18"/>
          <w:szCs w:val="18"/>
          <w:color w:val="auto"/>
        </w:rPr>
        <w:t>The increase in investment income in 2007 when compared with 2006 is attributable primarily to the investment of additional cash</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from operations during the year as well as rising short-term interest rates. In late 2007, cash was utilized for a share repurchase and interest rates began to decline resulting in a decline in the investment income growth rate we had experienced earlier in the year. Funds from maturing investments have been reinvested in liquid, short-term investments due to the uncertainty surrounding long-term interest rates and to provide flexibility in pursuing strategic opportunities.</w:t>
      </w:r>
    </w:p>
    <w:p>
      <w:pPr>
        <w:spacing w:after="0" w:line="14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Annualized average rates of return and average investment balances indicated in the table below include short-term investments classified as cash and cash equivalents, marketable securities and a portion of clearing firms’ cash performance bonds and security deposits, but exclude the impact of our non-qualified deferred compensation plan and insurance contracts. We exclude the impact of our non-qualified deferred compensation plan from this analysis because earnings from the plan are offset by an equal amount of expense in compensation and benefits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4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4040" w:type="dxa"/>
            <w:vAlign w:val="bottom"/>
            <w:gridSpan w:val="3"/>
          </w:tcPr>
          <w:p>
            <w:pPr>
              <w:jc w:val="right"/>
              <w:ind w:right="300"/>
              <w:spacing w:after="0"/>
              <w:rPr>
                <w:sz w:val="20"/>
                <w:szCs w:val="20"/>
                <w:color w:val="auto"/>
              </w:rPr>
            </w:pPr>
            <w:r>
              <w:rPr>
                <w:rFonts w:ascii="Arial" w:cs="Arial" w:eastAsia="Arial" w:hAnsi="Arial"/>
                <w:sz w:val="18"/>
                <w:szCs w:val="18"/>
                <w:color w:val="auto"/>
              </w:rPr>
              <w:t>$1,563.9</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$1,294.1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269.8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income due to balance</w:t>
            </w:r>
          </w:p>
        </w:tc>
        <w:tc>
          <w:tcPr>
            <w:tcW w:w="3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Increase in income due to rate</w:t>
            </w:r>
          </w:p>
        </w:tc>
        <w:tc>
          <w:tcPr>
            <w:tcW w:w="3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color w:val="auto"/>
        </w:rPr>
        <w:t xml:space="preserve">Securities Lending. </w:t>
      </w:r>
      <w:r>
        <w:rPr>
          <w:rFonts w:ascii="Arial" w:cs="Arial" w:eastAsia="Arial" w:hAnsi="Arial"/>
          <w:sz w:val="18"/>
          <w:szCs w:val="18"/>
          <w:color w:val="auto"/>
        </w:rPr>
        <w:t>During 2007, we expanded lending relationships to include additional banks, which led to an increase in the number of eligible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lending. Beginning in late August 2007, we temporarily suspended our securities lending program due to high volatility in the credit markets and extreme market demand for U.S. Treasury securities, resulting in a decline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revenue and expense growth rate we had experienced earlier in the year. We resumed the program in mid-September once market volatility subsided. Despite the temporary suspension of the program in 2007, the expansion of lending relationships resulted in an increase in the average daily balance of funds invested when compared with 2006. The spread between the average rate earned and the average rate paid increased during 2007 due to the combined effect of changes in the federal discount rate, which correlates closely with the interest expense, and an increase in market demand for the securities we had available to lend through this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$ 1.9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  0.4</w:t>
            </w:r>
          </w:p>
        </w:tc>
        <w:tc>
          <w:tcPr>
            <w:tcW w:w="0" w:type="dxa"/>
            <w:vAlign w:val="bottom"/>
          </w:tcPr>
          <w:p>
            <w:pPr>
              <w:spacing w:after="0"/>
              <w:rPr>
                <w:sz w:val="1"/>
                <w:szCs w:val="1"/>
                <w:color w:val="auto"/>
              </w:rPr>
            </w:pPr>
          </w:p>
        </w:tc>
      </w:tr>
      <w:tr>
        <w:trPr>
          <w:trHeight w:val="322"/>
        </w:trPr>
        <w:tc>
          <w:tcPr>
            <w:tcW w:w="5960" w:type="dxa"/>
            <w:vAlign w:val="bottom"/>
            <w:gridSpan w:val="3"/>
          </w:tcPr>
          <w:p>
            <w:pPr>
              <w:spacing w:after="0"/>
              <w:rPr>
                <w:sz w:val="20"/>
                <w:szCs w:val="20"/>
                <w:color w:val="auto"/>
              </w:rPr>
            </w:pPr>
            <w:r>
              <w:rPr>
                <w:rFonts w:ascii="Arial" w:cs="Arial" w:eastAsia="Arial" w:hAnsi="Arial"/>
                <w:sz w:val="18"/>
                <w:szCs w:val="18"/>
                <w:color w:val="auto"/>
              </w:rPr>
              <w:t>Annualized average rate earned</w:t>
            </w:r>
          </w:p>
        </w:tc>
        <w:tc>
          <w:tcPr>
            <w:tcW w:w="4000" w:type="dxa"/>
            <w:vAlign w:val="bottom"/>
            <w:gridSpan w:val="3"/>
          </w:tcPr>
          <w:p>
            <w:pPr>
              <w:jc w:val="right"/>
              <w:ind w:right="320"/>
              <w:spacing w:after="0"/>
              <w:rPr>
                <w:sz w:val="20"/>
                <w:szCs w:val="20"/>
                <w:color w:val="auto"/>
              </w:rPr>
            </w:pPr>
            <w:r>
              <w:rPr>
                <w:rFonts w:ascii="Arial" w:cs="Arial" w:eastAsia="Arial" w:hAnsi="Arial"/>
                <w:sz w:val="18"/>
                <w:szCs w:val="18"/>
                <w:color w:val="auto"/>
              </w:rPr>
              <w:t>5.27%</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3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3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3"/>
            <w:vMerge w:val="continue"/>
          </w:tcPr>
          <w:p>
            <w:pPr>
              <w:spacing w:after="0"/>
              <w:rPr>
                <w:sz w:val="19"/>
                <w:szCs w:val="19"/>
                <w:color w:val="auto"/>
              </w:rPr>
            </w:pPr>
          </w:p>
        </w:tc>
        <w:tc>
          <w:tcPr>
            <w:tcW w:w="3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0.31</w:t>
            </w:r>
          </w:p>
        </w:tc>
        <w:tc>
          <w:tcPr>
            <w:tcW w:w="46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0.10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 xml:space="preserve">Interest Expense. </w:t>
      </w:r>
      <w:r>
        <w:rPr>
          <w:rFonts w:ascii="Arial" w:cs="Arial" w:eastAsia="Arial" w:hAnsi="Arial"/>
          <w:sz w:val="15"/>
          <w:szCs w:val="15"/>
          <w:color w:val="auto"/>
        </w:rPr>
        <w:t>In September 2007, we initiated a commercial paper program with various institutions under which we may issue and sell unsecured short-term promissory notes. During 2007, we issued $1.2 billion in par value of commercial paper notes. At December 31, 2007, $164.4 million of debt remained outstanding. The weighted average balance of notes outstanding for the full year was $64.2 million. Interest rates on notes issued ranged from 4.50% to 5.38%.</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Guarantee of Exercise Right Privileges. </w:t>
      </w:r>
      <w:r>
        <w:rPr>
          <w:rFonts w:ascii="Arial" w:cs="Arial" w:eastAsia="Arial" w:hAnsi="Arial"/>
          <w:sz w:val="18"/>
          <w:szCs w:val="18"/>
          <w:color w:val="auto"/>
        </w:rPr>
        <w:t>Under the terms of the merger with CBOT Holdings, eligible holders of CBOE ERPs had until August 24, 2007 to elect</w:t>
      </w:r>
      <w:r>
        <w:rPr>
          <w:rFonts w:ascii="Arial" w:cs="Arial" w:eastAsia="Arial" w:hAnsi="Arial"/>
          <w:sz w:val="18"/>
          <w:szCs w:val="18"/>
          <w:b w:val="1"/>
          <w:bCs w:val="1"/>
          <w:color w:val="auto"/>
        </w:rPr>
        <w:t xml:space="preserve"> </w:t>
      </w:r>
      <w:r>
        <w:rPr>
          <w:rFonts w:ascii="Arial" w:cs="Arial" w:eastAsia="Arial" w:hAnsi="Arial"/>
          <w:sz w:val="18"/>
          <w:szCs w:val="18"/>
          <w:color w:val="auto"/>
        </w:rPr>
        <w:t>to sell us their ERPs for $250,000 per privilege. Upon resolution of the lawsuit between CBOT and CBOE, qualified holders that did not elect to sell are entitled to a maximum guaranteed payment of $250,000 per privilege. If the value received by the ERP holder upon resolution of the lawsuit is less than $250,000, we will pay the difference.</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recorded expense equal to the estimated fair value of the guarantee on 1,331 ERPs outstanding at the close of the merger. In August 2007, 159 ERPs were tendered for sale to us. We have reflected changes in the estimated fair value of the guarantee on the ERPs that remain outstanding and adjusted our expense accordingly. We will continue to recognize changes in the fair value of the outstanding guarantee as income or expense on a quarterly basis until the lawsuit is resolved.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tendering of these rights, the maximum potential aggregate payment to the remaining holders under the guarantee is $293.0 million.</w:t>
      </w:r>
    </w:p>
    <w:p>
      <w:pPr>
        <w:spacing w:after="0" w:line="188"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Equity in Losses of Unconsolidated Subsidiaries. </w:t>
      </w:r>
      <w:r>
        <w:rPr>
          <w:rFonts w:ascii="Arial" w:cs="Arial" w:eastAsia="Arial" w:hAnsi="Arial"/>
          <w:sz w:val="16"/>
          <w:szCs w:val="16"/>
          <w:color w:val="auto"/>
        </w:rPr>
        <w:t>The increase resulted primarily from incremental losses of $7.1 million from our investment in FXMS for</w:t>
      </w:r>
      <w:r>
        <w:rPr>
          <w:rFonts w:ascii="Arial" w:cs="Arial" w:eastAsia="Arial" w:hAnsi="Arial"/>
          <w:sz w:val="16"/>
          <w:szCs w:val="16"/>
          <w:b w:val="1"/>
          <w:bCs w:val="1"/>
          <w:color w:val="auto"/>
        </w:rPr>
        <w:t xml:space="preserve"> </w:t>
      </w:r>
      <w:r>
        <w:rPr>
          <w:rFonts w:ascii="Arial" w:cs="Arial" w:eastAsia="Arial" w:hAnsi="Arial"/>
          <w:sz w:val="16"/>
          <w:szCs w:val="16"/>
          <w:color w:val="auto"/>
        </w:rPr>
        <w:t>2007. FXMS, our joint venture with Reuters, was established in the second half of 2006 and began operations in February 2007.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effective tax rate increased to 39.9% in 2007 from 39.4% in 2006. The increase was due primarily to the inability to recognize the benefit of the net operating losses generated by our Swapstream operations, which we acquired in August 2006. The valuation allowance recorded against Swapstream’s accumulated net operating losses will not be derecognized until there is a pattern of operating income from these operations. The increase in the effective tax rate was partially offset by an increase in tax-advantaged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2006 COMPARED WITH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Financial Highlights</w:t>
      </w:r>
    </w:p>
    <w:p>
      <w:pPr>
        <w:spacing w:after="0" w:line="96" w:lineRule="exact"/>
        <w:rPr>
          <w:sz w:val="20"/>
          <w:szCs w:val="20"/>
          <w:color w:val="auto"/>
        </w:rPr>
      </w:pPr>
    </w:p>
    <w:p>
      <w:pPr>
        <w:ind w:left="900" w:right="6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operating revenues grew by 22% in 2006 primarily as a result of increased clearing and transaction fees revenue, and to a lesser extent, processing services and quotation data fees.</w:t>
      </w:r>
    </w:p>
    <w:p>
      <w:pPr>
        <w:spacing w:after="0" w:line="50" w:lineRule="exact"/>
        <w:rPr>
          <w:rFonts w:ascii="Arial" w:cs="Arial" w:eastAsia="Arial" w:hAnsi="Arial"/>
          <w:sz w:val="18"/>
          <w:szCs w:val="18"/>
          <w:color w:val="auto"/>
        </w:rPr>
      </w:pPr>
    </w:p>
    <w:p>
      <w:pPr>
        <w:jc w:val="both"/>
        <w:ind w:left="900" w:right="6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Total operating expenses increased by 14% in 2006 when compared with 2005. The increase was due primarily to higher compensation and benefits costs as well as increased technology spending resulting from capacity expansion and processing speed enhancements. Higher rates on licensed S&amp;P and NASDAQ products and increased professional and outside services fees also contributed to the increase in expenses.</w:t>
      </w:r>
    </w:p>
    <w:p>
      <w:pPr>
        <w:spacing w:after="0" w:line="25"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margin, which we define as operating income expressed as a percentage of total revenues, increased to 57% in 2006 from 54% in 2005 as the growth of operating revenues outpaced increases in operating expenses.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non-operating income was due primarily to an increase in investment income, which resulted from a rise in average operating funds available for investment and increases in market interest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earnings increased by approximately $111.0 million to $402.8 million for 2006 compared with 2005. We have included a reconciliation of cash earnings, a non-GAAP measure, in Liquidity and Capital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$696.2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71.8</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90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1,089.9</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889.8</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The increase was due to trading volume growth partially offset by a decrease in the average rate per contract.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9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In 2006, our volume surpassed one billion contracts traded for the second consecutive year driven by growth of 25% or more in all product lines. Technology enhancements, including the migration of our CME Globex trading platform to new Hewlett Packard Integrity NonStop servers that incorporate Intel Itanium processors, significantly increased trade-matching speed which reduced our average response time on transactions and resulted in increased usage by automated trading systems. Growth in hedge funds, interest rate uncertainty and occasional daily volatility in equity markets also contributed to trading volume growth.</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trading volume. All amounts exclude TRAKRS, Swapstream and auction-traded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3,078</w:t>
            </w:r>
          </w:p>
        </w:tc>
        <w:tc>
          <w:tcPr>
            <w:tcW w:w="4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2,380</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3"/>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1,734</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1,389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4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334</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and alternative investment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9100" w:type="dxa"/>
            <w:vAlign w:val="bottom"/>
            <w:gridSpan w:val="3"/>
            <w:vMerge w:val="restart"/>
          </w:tcPr>
          <w:p>
            <w:pPr>
              <w:spacing w:after="0"/>
              <w:rPr>
                <w:sz w:val="20"/>
                <w:szCs w:val="20"/>
                <w:color w:val="auto"/>
              </w:rPr>
            </w:pPr>
            <w:r>
              <w:rPr>
                <w:rFonts w:ascii="Arial" w:cs="Arial" w:eastAsia="Arial" w:hAnsi="Arial"/>
                <w:sz w:val="18"/>
                <w:szCs w:val="18"/>
                <w:color w:val="auto"/>
              </w:rPr>
              <w:t>Average Daily Volume of Total Products</w:t>
            </w: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100" w:type="dxa"/>
            <w:vAlign w:val="bottom"/>
            <w:gridSpan w:val="3"/>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5,343</w:t>
            </w:r>
          </w:p>
        </w:tc>
        <w:tc>
          <w:tcPr>
            <w:tcW w:w="46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4,158</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Volume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3,808</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2,895</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Electronic Volume as a Percentage of Total Average Daily Volume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Interest rate product volume increased in 2006 due primarily to uncertain market expectations surrounding interest rates, including those created by changes in Federal Reserve monetary policy, expansion in the use of our electronic trading platform as a result of technological enhancement and increased use of automated trading systems. The volume of interest rate products traded electronically increased by 34% to 1.8 million contracts per day in 2006. Trends favoring the trading of derivative products also contributed to the increase in volume.</w:t>
      </w:r>
    </w:p>
    <w:p>
      <w:pPr>
        <w:spacing w:after="0" w:line="32"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The average daily volume of CME Eurodollar options, which are traded predominantly through open outcry, increased by 44% to 1.1 million contracts in 2006. In conjunction with the increase in Eurodollar options volume, the average daily volume of CME Eurodollar options traded electronically also increased to 77,000 contracts in 2006 from 28,000 contracts in 2005. In April 2006, we launched a new incentive program to increase electronic trading of CME Eurodollar options. The program, which was initially effective through December 2006, was extended through June 2007. The program provided a reduced fee schedule for customers meeting percentage thresholds for electronic trading of CME Eurodollar options.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The increase in equity product volume for the year was due primarily to technological enhancements, increased usage of equity option products, occasional significant daily fluctuations in stock market volatility, as measured by the CBOE Volatility Index, and efforts to attract new customers.</w:t>
      </w:r>
    </w:p>
    <w:p>
      <w:pPr>
        <w:spacing w:after="0" w:line="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Average daily volume of our E-mini equity products increased by 25% to 1.6 million contracts in 2006 compared with 2005. In particular, E-mini S&amp;P 500 volume increased 27% to 1.1 million contracts. Volume for our electronically traded E-mini equity options increased to 45,000 contracts per day in 2006 from 18,000 contracts per day in 2005.</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In December 2006, foreign exchange volume set a monthly volume record with 621,000 contracts traded per day. The increase in trading of foreign exchange products resulted from the previously mentioned technological enhancements which facilitated faster execution of trades, additional liquidity and fee incentive programs, including those specifically targeted to attract commodity trading advisors and large hedge funds. In 2006, 88% of our foreign exchange volume traded through the CME Globex platform compared with 81% during 2005.</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Trading in commodity and alternative investment products increased as a result of the growing appeal of commodities as an asset class, which has attracted additional trading activity in live cattle and lean hog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impact of the 28% increase in average daily trading volume during 2006 was partially offset by a decrease in the average rate, or revenue, per contract. All amounts in the following table exclude TRAKRS, Swapstream and auction-traded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1,341.1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864.4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695.7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2006, the average rate per contract decreased when compared with 2005 due primarily to the following factors:</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Incentives and discounts increased as a result of volume growth, reducing the average rate per contract by $0.021;</w:t>
      </w:r>
    </w:p>
    <w:p>
      <w:pPr>
        <w:spacing w:after="0" w:line="90"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number of inactive clearing firms and trading volume from automated trading systems that receive lower-priced member rates increased resulting in a slight rise in the percentage of trades executed by member customers to 80% of total volume from 79% in 2005;</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Higher-priced privately negotiated trades, as a percentage of total volume, decreased to 1.0% during 2006 compared with 1.2% in 2005; and</w:t>
      </w:r>
    </w:p>
    <w:p>
      <w:pPr>
        <w:spacing w:after="0" w:line="113" w:lineRule="exact"/>
        <w:rPr>
          <w:rFonts w:ascii="Arial" w:cs="Arial" w:eastAsia="Arial" w:hAnsi="Arial"/>
          <w:sz w:val="16"/>
          <w:szCs w:val="16"/>
          <w:color w:val="auto"/>
        </w:rPr>
      </w:pPr>
    </w:p>
    <w:p>
      <w:pPr>
        <w:ind w:left="900" w:right="26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average daily volume of CME Eurodollar options traded through open outcry, one of our lowest priced products, increased by 38%. This represented 19% of total volume in 2006 compared with 17% in 2005. Clearing and transaction fees from CME Eurodollar options traded through open outcry averaged $0.33 per contract in 2006 and 2005.</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decreases were partially offset by broad-based pricing increases implemented in August 2005, which contributed incremental revenue of approximately $13.0 million when compared with 2005. Additionally, the rate per contract was favorably impacted by a higher percentage of trades executed through the CME Globex platform for which additional fees are assessed.</w:t>
      </w:r>
    </w:p>
    <w:p>
      <w:pPr>
        <w:spacing w:after="0" w:line="13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The growth in revenue resulted primarily from a fee increase that was implemented on January 1, 2006. Users of our basic service paid</w:t>
      </w:r>
      <w:r>
        <w:rPr>
          <w:rFonts w:ascii="Arial" w:cs="Arial" w:eastAsia="Arial" w:hAnsi="Arial"/>
          <w:sz w:val="18"/>
          <w:szCs w:val="18"/>
          <w:b w:val="1"/>
          <w:bCs w:val="1"/>
          <w:color w:val="auto"/>
        </w:rPr>
        <w:t xml:space="preserve"> </w:t>
      </w:r>
      <w:r>
        <w:rPr>
          <w:rFonts w:ascii="Arial" w:cs="Arial" w:eastAsia="Arial" w:hAnsi="Arial"/>
          <w:sz w:val="18"/>
          <w:szCs w:val="18"/>
          <w:color w:val="auto"/>
        </w:rPr>
        <w:t>$40 per month for each market data screen, or device in 2006. The monthly charge in effect during 2005 was $35. This higher rate contributed to a $10.4 million increase in subscriber fees for 2006 compared with 2005 and was partially offset by a $1.5 million decrease in assessments, which result from our periodic audits of usage data previously provided by our customers.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Processing Services. </w:t>
      </w:r>
      <w:r>
        <w:rPr>
          <w:rFonts w:ascii="Arial" w:cs="Arial" w:eastAsia="Arial" w:hAnsi="Arial"/>
          <w:sz w:val="16"/>
          <w:szCs w:val="16"/>
          <w:color w:val="auto"/>
        </w:rPr>
        <w:t>Revenue increased primarily as a result of increased trading volume at CBOT and higher volume executed on the CME Globex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under our agreement with NYMEX. CBOT’s average daily trading volume was 3.2 million contracts for 2006, an increase of 20% over the 2.7 million contracts traded in 2005. This increased volume at CBOT generated incremental revenue of $11.6 million in 2006. Revenue from services provided to NYMEX increased by $9.8 million in 2006 when compared with 2005. Our prior agreement with NYMEX ended in November 2005. Trading under our new 10-year agreement began in June 2006. The new agreement added metals futures products and expanded the number of energy futures products, including the addition of physically delivered WTI futures products, which we now list for NYMEX on the CME Globex platform. As a result, the average daily volume of NYMEX electronic trading increased significantly on our platform during 2006.</w:t>
      </w:r>
    </w:p>
    <w:p>
      <w:pPr>
        <w:spacing w:after="0" w:line="11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Access Fees. </w:t>
      </w:r>
      <w:r>
        <w:rPr>
          <w:rFonts w:ascii="Arial" w:cs="Arial" w:eastAsia="Arial" w:hAnsi="Arial"/>
          <w:sz w:val="18"/>
          <w:szCs w:val="18"/>
          <w:color w:val="auto"/>
        </w:rPr>
        <w:t>Growth in revenue resulted from the expiration, in July 2006, of an incentive program to encourage our customers to switch to a higher bandwidth</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$203.0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$179.6</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Communications</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31.6</w:t>
            </w:r>
          </w:p>
        </w:tc>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Professional fees and outside services</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33.2</w:t>
            </w:r>
          </w:p>
        </w:tc>
        <w:tc>
          <w:tcPr>
            <w:tcW w:w="500" w:type="dxa"/>
            <w:vAlign w:val="bottom"/>
          </w:tcPr>
          <w:p>
            <w:pPr>
              <w:jc w:val="right"/>
              <w:spacing w:after="0"/>
              <w:rPr>
                <w:sz w:val="20"/>
                <w:szCs w:val="20"/>
                <w:color w:val="auto"/>
              </w:rPr>
            </w:pPr>
            <w:r>
              <w:rPr>
                <w:rFonts w:ascii="Arial" w:cs="Arial" w:eastAsia="Arial" w:hAnsi="Arial"/>
                <w:sz w:val="18"/>
                <w:szCs w:val="18"/>
                <w:color w:val="auto"/>
              </w:rPr>
              <w:t>26.1</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72.8</w:t>
            </w: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Licensing and other fee agreements</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25.7</w:t>
            </w: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80" w:type="dxa"/>
            <w:vAlign w:val="bottom"/>
            <w:gridSpan w:val="4"/>
          </w:tcPr>
          <w:p>
            <w:pPr>
              <w:spacing w:after="0"/>
              <w:rPr>
                <w:sz w:val="20"/>
                <w:szCs w:val="20"/>
                <w:color w:val="auto"/>
              </w:rPr>
            </w:pPr>
            <w:r>
              <w:rPr>
                <w:rFonts w:ascii="Arial" w:cs="Arial" w:eastAsia="Arial" w:hAnsi="Arial"/>
                <w:sz w:val="18"/>
                <w:szCs w:val="18"/>
                <w:color w:val="auto"/>
              </w:rPr>
              <w:t>Total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468.9</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$ 411.8</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500" w:type="dxa"/>
            <w:vAlign w:val="bottom"/>
            <w:gridSpan w:val="8"/>
          </w:tcPr>
          <w:p>
            <w:pPr>
              <w:spacing w:after="0"/>
              <w:rPr>
                <w:sz w:val="20"/>
                <w:szCs w:val="20"/>
                <w:color w:val="auto"/>
              </w:rPr>
            </w:pPr>
            <w:r>
              <w:rPr>
                <w:rFonts w:ascii="Arial" w:cs="Arial" w:eastAsia="Arial" w:hAnsi="Arial"/>
                <w:sz w:val="18"/>
                <w:szCs w:val="18"/>
                <w:b w:val="1"/>
                <w:bCs w:val="1"/>
                <w:color w:val="auto"/>
                <w:w w:val="89"/>
              </w:rPr>
              <w:t xml:space="preserve">Compensation and Benefits. </w:t>
            </w:r>
            <w:r>
              <w:rPr>
                <w:rFonts w:ascii="Arial" w:cs="Arial" w:eastAsia="Arial" w:hAnsi="Arial"/>
                <w:sz w:val="18"/>
                <w:szCs w:val="18"/>
                <w:color w:val="auto"/>
                <w:w w:val="89"/>
              </w:rPr>
              <w:t>The increase in compensation and benefits expense during 2006 relative to 2005 consisted primarily of the following:</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0"/>
              </w:rPr>
              <w:t>Increases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Change in average salaries, benefits and employer taxes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Bonus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 for software development and reimbursable costs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40" w:hanging="452"/>
        <w:spacing w:after="0" w:line="30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Average headcount increased by 7%, or approximately 90 employees, in 2006 compared with 2005 primarily as a result of increased hiring to support technology initiatives. Our acquisition of Swapstream, which was completed in August 2006, also contributed to the increase in average headcount for the year. At December 31, 2006 and 2005, we had approximately 1,430 and 1,320 employees, respectively.</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Bonus expense accrued under the provisions of our annual incentive plan increased due primarily to growth in our employee headcount and salary increases for existing employees.</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increased primarily as a result of additional expense from options granted in June 2006 and the full impact in 2006 of the expense related to the June 2005 grant. In addition, the fair value per share of options granted in June 2006 increased when compared with the fair value of options granted in June 2005.</w:t>
      </w:r>
    </w:p>
    <w:p>
      <w:pPr>
        <w:spacing w:after="0" w:line="59" w:lineRule="exact"/>
        <w:rPr>
          <w:rFonts w:ascii="Arial" w:cs="Arial" w:eastAsia="Arial" w:hAnsi="Arial"/>
          <w:sz w:val="18"/>
          <w:szCs w:val="18"/>
          <w:color w:val="auto"/>
        </w:rPr>
      </w:pPr>
    </w:p>
    <w:p>
      <w:pPr>
        <w:ind w:left="460" w:right="70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were partially offset by increased capitalization of compensation and benefits expense relating to software development. The increase in capitalized software costs resulted primarily from development needed to provide trading and other services to FXMS.</w:t>
      </w:r>
    </w:p>
    <w:p>
      <w:pPr>
        <w:spacing w:after="0" w:line="79"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Technology Support Services. </w:t>
      </w:r>
      <w:r>
        <w:rPr>
          <w:rFonts w:ascii="Arial" w:cs="Arial" w:eastAsia="Arial" w:hAnsi="Arial"/>
          <w:sz w:val="18"/>
          <w:szCs w:val="18"/>
          <w:color w:val="auto"/>
        </w:rPr>
        <w:t>We experienced growth of 20% in the average number of transactions processed electronically during 2006 when compared with</w:t>
      </w:r>
      <w:r>
        <w:rPr>
          <w:rFonts w:ascii="Arial" w:cs="Arial" w:eastAsia="Arial" w:hAnsi="Arial"/>
          <w:sz w:val="18"/>
          <w:szCs w:val="18"/>
          <w:b w:val="1"/>
          <w:bCs w:val="1"/>
          <w:color w:val="auto"/>
        </w:rPr>
        <w:t xml:space="preserve"> </w:t>
      </w:r>
      <w:r>
        <w:rPr>
          <w:rFonts w:ascii="Arial" w:cs="Arial" w:eastAsia="Arial" w:hAnsi="Arial"/>
          <w:sz w:val="18"/>
          <w:szCs w:val="18"/>
          <w:color w:val="auto"/>
        </w:rPr>
        <w:t>2005. As a result of the continued growth in transactions processed, additional maintenance and service contracts were required to support increases in hardware and software purchases.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Professional Fees and Outside Services. </w:t>
      </w:r>
      <w:r>
        <w:rPr>
          <w:rFonts w:ascii="Arial" w:cs="Arial" w:eastAsia="Arial" w:hAnsi="Arial"/>
          <w:sz w:val="18"/>
          <w:szCs w:val="18"/>
          <w:color w:val="auto"/>
        </w:rPr>
        <w:t>Legal fees increased $4.1 million in 2006 when compared with 2005 due primarily to the structuring and establishment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FXMS and litigation costs related to the ongoing antitrust lawsuit filed by Eurex U.S. in 2003.</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other professional fees increased $3.4 million in 2006 due primarily to the use of consulting services to support several clearing and trading systems projects as well as enhancements to the CME Globex platform’s functionality, including the ability to execute complex options trading strategies. During the fourth quarter, merger-related integration planning also contributed to an increase in professional fees.</w:t>
      </w:r>
    </w:p>
    <w:p>
      <w:pPr>
        <w:spacing w:after="0" w:line="13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During the second quarter of 2006, we began an 18-month process of migrating the electronic trading of products to new</w:t>
      </w:r>
      <w:r>
        <w:rPr>
          <w:rFonts w:ascii="Arial" w:cs="Arial" w:eastAsia="Arial" w:hAnsi="Arial"/>
          <w:sz w:val="16"/>
          <w:szCs w:val="16"/>
          <w:b w:val="1"/>
          <w:bCs w:val="1"/>
          <w:color w:val="auto"/>
        </w:rPr>
        <w:t xml:space="preserve"> </w:t>
      </w:r>
      <w:r>
        <w:rPr>
          <w:rFonts w:ascii="Arial" w:cs="Arial" w:eastAsia="Arial" w:hAnsi="Arial"/>
          <w:sz w:val="16"/>
          <w:szCs w:val="16"/>
          <w:color w:val="auto"/>
        </w:rPr>
        <w:t>Hewlett Packard Integrity NonStop servers that incorporate Intel Itanium processors. As a result of the migration, we reassessed and shortened the estimated useful lives on our existing processors which resulted in additional depreciation expense of $1.9 million in 2006 when compared with 2005. In addition, depreciation and amortization of 2005 and 2006 property additions exceeded the depreciation and amortization of assets that have become fully depreciated or retired since January 1, 2005, resulting in an increase in 2006 depreciation and amortization expense.</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Property additions for 2006 and 2005 are summarized below. Technology-related assets include purchases of computers and related equipment, software, the cost of developing internal use software and costs associated with the expansion of our data centers.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$87.6</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272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 xml:space="preserve">Occupancy and Building Operations. </w:t>
      </w:r>
      <w:r>
        <w:rPr>
          <w:rFonts w:ascii="Arial" w:cs="Arial" w:eastAsia="Arial" w:hAnsi="Arial"/>
          <w:sz w:val="18"/>
          <w:szCs w:val="18"/>
          <w:color w:val="auto"/>
        </w:rPr>
        <w:t>We entered into two new leases for additional space in Chicago and London during 2006. The Chicago lease,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began in August 2006, provides us with an opportunity to reorganize and maximize the utilization of our facilities in the downtown area. The London lease, which began in November 2006, allowed us to consolidate our existing London office with Swapstream’s facilities. The new leases resulted in additional rent expense of $1.1 million in 2006.</w:t>
      </w:r>
    </w:p>
    <w:p>
      <w:pPr>
        <w:spacing w:after="0" w:line="13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Licensing and Other Fee Agreements. </w:t>
      </w:r>
      <w:r>
        <w:rPr>
          <w:rFonts w:ascii="Arial" w:cs="Arial" w:eastAsia="Arial" w:hAnsi="Arial"/>
          <w:sz w:val="16"/>
          <w:szCs w:val="16"/>
          <w:color w:val="auto"/>
        </w:rPr>
        <w:t>A large portion of the increase in this expense was attributable to an increase in licensing rates for S&amp;P E-mini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and, to a lesser extent, NASDAQ E-mini products. Rate increases went into effect in June 2005 for NASDAQ products and September 2005 for S&amp;P products in return for extending our exclusive rights to offer these products. Renegotiated licensing rates resulted in $6.5 million of incremental expense compared with 2005. Also, higher average daily trading volume for licensed products resulted in additional expense of $2.4 million in 2006. Higher volumes were attributable primarily to E-mini products based on the S&amp;P 500 and NASDAQ-100.</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These increases in expense were partially offset by a $0.9 million decrease in fees paid to market maker program participants. The reduction in market maker fees was due primarily to the expiration of the Russell 1000 program in December 2005.</w:t>
      </w:r>
    </w:p>
    <w:p>
      <w:pPr>
        <w:spacing w:after="0" w:line="126"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In 2006, this expense increased primarily as a result of the preparation for and launch of a new global brand advertising campaign.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promotion of new products and production of CME’s quarterly magazine, which launched in the third quarter of 2005, also contributed to an increase in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$ 55.8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480" w:type="dxa"/>
            <w:vAlign w:val="bottom"/>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58.7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expense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color w:val="auto"/>
              </w:rPr>
              <w:t>Total Non-Operating</w:t>
            </w: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222"/>
        </w:trPr>
        <w:tc>
          <w:tcPr>
            <w:tcW w:w="9120" w:type="dxa"/>
            <w:vAlign w:val="bottom"/>
            <w:gridSpan w:val="3"/>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$ 50.6</w:t>
            </w:r>
          </w:p>
        </w:tc>
        <w:tc>
          <w:tcPr>
            <w:tcW w:w="22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$ 30.4</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 xml:space="preserve">Investment Income. </w:t>
      </w:r>
      <w:r>
        <w:rPr>
          <w:rFonts w:ascii="Arial" w:cs="Arial" w:eastAsia="Arial" w:hAnsi="Arial"/>
          <w:sz w:val="18"/>
          <w:szCs w:val="18"/>
          <w:color w:val="auto"/>
        </w:rPr>
        <w:t>Rising market interest rates as well as increased funds available for investment resulted in increased investment income in 2006 when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with 2005. Increases in investment income were partially offset by an increase in tax-advantaged investments, as a percentage of the total portfolio, during 2006. The annualized average rate of return and average investment balance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indicated in the table below include short-term investments classified as cash and cash equivalents, marketable securities and clearing firms’ cash performance bonds and security deposits, but exclude the first IEFs and our non-qualified deferred compensation plan. Non-qualified deferred compensation plan earnings are excluded from this analysis as there is an equal and offsetting amount in compensation and benefits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4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$1,294.1</w:t>
            </w:r>
          </w:p>
        </w:tc>
        <w:tc>
          <w:tcPr>
            <w:tcW w:w="300" w:type="dxa"/>
            <w:vAlign w:val="bottom"/>
          </w:tcPr>
          <w:p>
            <w:pPr>
              <w:spacing w:after="0"/>
              <w:rPr>
                <w:sz w:val="19"/>
                <w:szCs w:val="19"/>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$951.6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342.5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income due to balance</w:t>
            </w:r>
          </w:p>
        </w:tc>
        <w:tc>
          <w:tcPr>
            <w:tcW w:w="3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Increase in income due to rate</w:t>
            </w:r>
          </w:p>
        </w:tc>
        <w:tc>
          <w:tcPr>
            <w:tcW w:w="3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Increases due to rate and balance changes were partially offset by a decrease of $1.9 million resulting from the discontinuance of our investment in the first IEFs as of December 2005.</w:t>
      </w:r>
    </w:p>
    <w:p>
      <w:pPr>
        <w:spacing w:after="0" w:line="126"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Securities Lending Interest Income and Expense. </w:t>
      </w:r>
      <w:r>
        <w:rPr>
          <w:rFonts w:ascii="Arial" w:cs="Arial" w:eastAsia="Arial" w:hAnsi="Arial"/>
          <w:sz w:val="18"/>
          <w:szCs w:val="18"/>
          <w:color w:val="auto"/>
        </w:rPr>
        <w:t>The average daily balance of funds available for lending increased during 2006 relative to 2005. This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the result of a policy change effective October 1, 2005 that increased the amount of securities available for lending to 70% from 50% of total eligible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$ 1.8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0.1</w:t>
            </w:r>
          </w:p>
        </w:tc>
        <w:tc>
          <w:tcPr>
            <w:tcW w:w="0" w:type="dxa"/>
            <w:vAlign w:val="bottom"/>
          </w:tcPr>
          <w:p>
            <w:pPr>
              <w:spacing w:after="0"/>
              <w:rPr>
                <w:sz w:val="1"/>
                <w:szCs w:val="1"/>
                <w:color w:val="auto"/>
              </w:rPr>
            </w:pPr>
          </w:p>
        </w:tc>
      </w:tr>
      <w:tr>
        <w:trPr>
          <w:trHeight w:val="322"/>
        </w:trPr>
        <w:tc>
          <w:tcPr>
            <w:tcW w:w="5940" w:type="dxa"/>
            <w:vAlign w:val="bottom"/>
            <w:gridSpan w:val="3"/>
          </w:tcPr>
          <w:p>
            <w:pPr>
              <w:spacing w:after="0"/>
              <w:rPr>
                <w:sz w:val="20"/>
                <w:szCs w:val="20"/>
                <w:color w:val="auto"/>
              </w:rPr>
            </w:pPr>
            <w:r>
              <w:rPr>
                <w:rFonts w:ascii="Arial" w:cs="Arial" w:eastAsia="Arial" w:hAnsi="Arial"/>
                <w:sz w:val="18"/>
                <w:szCs w:val="18"/>
                <w:color w:val="auto"/>
              </w:rPr>
              <w:t>Annualized average rate earned</w:t>
            </w:r>
          </w:p>
        </w:tc>
        <w:tc>
          <w:tcPr>
            <w:tcW w:w="4000" w:type="dxa"/>
            <w:vAlign w:val="bottom"/>
            <w:gridSpan w:val="3"/>
          </w:tcPr>
          <w:p>
            <w:pPr>
              <w:jc w:val="right"/>
              <w:ind w:right="320"/>
              <w:spacing w:after="0"/>
              <w:rPr>
                <w:sz w:val="20"/>
                <w:szCs w:val="20"/>
                <w:color w:val="auto"/>
              </w:rPr>
            </w:pPr>
            <w:r>
              <w:rPr>
                <w:rFonts w:ascii="Arial" w:cs="Arial" w:eastAsia="Arial" w:hAnsi="Arial"/>
                <w:sz w:val="18"/>
                <w:szCs w:val="18"/>
                <w:color w:val="auto"/>
              </w:rPr>
              <w:t>5.01%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3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gridSpan w:val="3"/>
          </w:tcPr>
          <w:p>
            <w:pPr>
              <w:spacing w:after="0"/>
              <w:rPr>
                <w:sz w:val="20"/>
                <w:szCs w:val="20"/>
                <w:color w:val="auto"/>
              </w:rPr>
            </w:pPr>
            <w:r>
              <w:rPr>
                <w:rFonts w:ascii="Arial" w:cs="Arial" w:eastAsia="Arial" w:hAnsi="Arial"/>
                <w:sz w:val="18"/>
                <w:szCs w:val="18"/>
                <w:color w:val="auto"/>
              </w:rPr>
              <w:t>Net earned from securities lending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0.11</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Equity in Losses of Unconsolidated Subsidiaries. </w:t>
      </w:r>
      <w:r>
        <w:rPr>
          <w:rFonts w:ascii="Arial" w:cs="Arial" w:eastAsia="Arial" w:hAnsi="Arial"/>
          <w:sz w:val="18"/>
          <w:szCs w:val="18"/>
          <w:color w:val="auto"/>
        </w:rPr>
        <w:t>This includes $6.1 million of losses from our investment in FXMS, which was formed in July 2006,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our proportionate share of losses from OneChicago.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In 2006, the effective tax rate decreased from 39.6% to 39.4% when compared with 2005. The decrease is due primarily to increased investments in tax-advantaged securities, the impact of which was partially offset by the non-deductibility of net operating losses generated by our Swapstream operations subsequent to our acquisition of this business in August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Historically, we have met our operational funding requirements with cash generated by operations. If operations do not provide sufficient funds to meet short-term and long-term capital expenditure requirements, cash and cash equivalents or marketable securities can be reduced to provide the needed funds, assets can be acquired through capital leases, or we can borrow using public or private debt facilities. In addition, we believe we can fund any pending or potential future acquisitions with internally available cash, debt financing or the issuance of equity securities.</w:t>
      </w:r>
    </w:p>
    <w:p>
      <w:pPr>
        <w:spacing w:after="0" w:line="11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February 26, 2008, we completed our transaction with Brazilian Mercantile &amp; Futures Exchange S.A. (BM&amp;F). We issued 1.2 million shares of Class A common stock (approximately a 2% equity interest in the company) in exchange for 101.1 million shares of BM&amp;F (an equity interest of approximately 10%). Neither CME Group nor BM&amp;F may sell its equity interest in the other until February 2012 under the provisions of the agreement. Our investment in BM&amp;F is recorded at a cost of $631.4 million based on our stock price of $531.00 at close on February 25, 2008.</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will also be required for operating leases and non-cancelable purchase obligations as well as commitments reflected as liabilities in our consolidated balance sheet at December 31, 2007. These commitments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Purchase</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Liabilities</w:t>
            </w:r>
          </w:p>
        </w:tc>
        <w:tc>
          <w:tcPr>
            <w:tcW w:w="2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7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$ 21,651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2009-2010</w:t>
            </w: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17,996</w:t>
            </w: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2011-2012</w:t>
            </w: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147,922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232,342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104,992</w:t>
            </w:r>
          </w:p>
        </w:tc>
        <w:tc>
          <w:tcPr>
            <w:tcW w:w="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$ 21,651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Gross unrecognized tax liabilities of $9.7 million determined under FIN No. 48 are not included in the commitments table due to uncertainty about the date of their settlement.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investment in increased system capacity and performance and through technological initiatives on our electronic trading platforms. Each year capital expenditures are incurred for improvements to and expansion of our trading floor facilities, offices, remote data centers, telecommunications capabilities and other operating equipment. We expect 2008 capital expenditures to total between $225.0 million and $235.0 million, excluding leasehold improvements for our new office space that will be funded with landlord allowances. Anticipated capital expenditures for 2008 include approximately $77.0 million of data center build-out costs related primarily to our new data center.</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continue to pay a regular quarterly dividend to our shareholders. The decision to pay a dividend, however, remains within the discretion of our Board of Directors and may be affected by various factors, including our earnings, financial condition, capital requirements, level of indebtedness and other considerations our Board of Directors deems relevant. In 2007, our annual dividend target remained at approximately 30% of the prior year’s cash earnings. For 2008, our annual dividend target will remain at approximately 30% of 2007 cash earnings calculated as if the merger with CBOT Holdings had occurred on January 1, 2007. On January 30, 2008, the Board of Directors declared a regular quarterly dividend of $1.15 per share payable on March 25, 2008 to shareholders of record on March 10, 2008. Assuming no changes in the number of shares outstanding other than the issuance of 1.2 million shares to BM&amp;F, the March 2008 dividend payment will total approximately $62.6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Net cash provided by operating activities was $814.4 million in 2007 compared with $471.7 million in 2006. Net cash provided by operating activities increased due primarily to the increase in net income during 2007. In 2007, net cash provided by operating activities was $155.8 million higher than net income. Adjustments to net income consisted primarily of $105.7 million in depreciation and amortization, $33.9 million of amortization of purchased intangibles, and a $31.2 million increase in other current liabilities, partially offset by a $50.6 million increase in deferred income taxes and a $49.9 million increase in accounts receivable. The increase in depreciation and amortization expense is due primarily to additional assets obtained in our recent merger with CBOT Holdings. Accounts receivable in any period result primarily from the clearing and transaction fees billed in the last month of the reporting period.</w:t>
      </w:r>
    </w:p>
    <w:p>
      <w:pPr>
        <w:spacing w:after="0" w:line="12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Cash used in investing activities was $78.6 million in 2007 compared with $85.9 million in 2006. The decrease in cash used compared with 2006 was due primarily to $116.0 million of cash acquired in our merger with CBOT Holdings and a $30.7 million increase in proceeds from maturities of marketable securities, net of purchases. These increases in cash were partially offset by a $75.8 million increase in property and equipment purchases, $39.8 million used to purchase exercise right privileges, and an increase of $37.2 million in merger-related transaction costs.</w:t>
      </w:r>
    </w:p>
    <w:p>
      <w:pPr>
        <w:spacing w:after="0" w:line="113"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Cash used in financing activities was $859.9 million in 2007 compared with $27.2 million for 2006. The increase in cash used was due primarily to $949.3 million paid to repurchase common stock and a $64.0 million increase in cash dividends to shareholders. This increase in cash used was partially offset by proceeds of debt issuances, net of maturities and debt issuance costs, of $162.9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96"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We maintain a 364-day revolving loan facility, with various financial institutions, which provides for loans of up to $750.0 million. This revolving loan facility serves as a back-up facility for our commercial paper program. Proceeds from the program were used to partially fund our recent tender offer stock repurchase and related fees. On September 5, 2007, we purchased 1.7 million shares of our Class A common stock at a purchase price of $560 per share for a total cost of approximately $950.6 million, including related fees and expenses. Under the terms of the facility, proceeds can also be used to finance the BM&amp;F investment transaction and to pay general corporate purposes of up to $300.0 million.</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clearing house maintains an $800.0 million 364-day line of credit with a consortium of banks to be used in certain situations. The line of credit, which was renewed on October 12, 2007, continues to be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Security deposit collateral was $1.4 billion at December 31,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satisfy our performance bond obligations with SGX, we pledge CME-owned U.S. Treasury securities in lieu of, or in combination with, irrevocable letters of credit. At December 31, 2007, the letters of credit totaled $113.0 million. In addition, we had pledged securities with a fair value of $100.1 million at December 31, 2007.</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the letter of credit is the clearing firm that is used by GFX to execute and maintain its futures positions. The letter of credit will be utilized in the event GFX defaults in meeting performance bond requirements to its clearing firm.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As of December 31, 2007, we did not have any significant off-balance sheet arrangements as defined by the regulations of the Securities and Exchange Commission.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Cash and cash equivalents totaled $845.3 million at December 31, 2007 compared with $969.5 million at December 31, 2006. The balance retained in cash and cash equivalents was a function of anticipated or possible short-term cash needs, prevailing interest rates, our investment policy, alternative investment choices and any dividends that we pay.</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Current net deferred tax assets of $18.4 million and $7.2 million are included in other current assets at December 31, 2007 and December 31, 2006, respectively. Current net deferred tax assets result primarily from stock-based compensation and restructuring liabilities. At December 31, 2006, non-current net deferred tax assets were $30.9 million consisting primarily of depreciation and amortization, software development costs, stock-based compensation and deferred compensation.</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December 31, 2007, non-current net deferred tax liabilities were $3.8 billion. Net deferred tax liabilities are primarily the result of purchase accounting for intangible assets in our merger with CBOT Holdings. Non-current net deferred tax liabilities also include an $11.2 million deferred tax asset for acquired and accumulated net operating losses related to Swapstream. Since Swapstream has not yet developed a pattern of operating income, our assessment at December 31, 2007 is that we do not believe that we currently meet the more-likely-than-not threshold that would allow us to realize the value of acquired and accumulated foreign net operating losses in the future. As a result, the deferred tax benefit arising from these net operating losses has been fully reserved.</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Each clearing firm is required to deposit and maintain a specified performance bond balance, which is determined by parameters established by the risk management department of the clearing house and may fluctuate over time. Performance bond requirements can be satisfied with a variety of approved investments and cash. Cash performance bonds and security deposits are included in our consolidated balance sheets. With the exception of the portion of securities deposited that are utilized in our securities lending program, clearing firm deposits, other than those retained in the form of cash, are not included in our consolidated balance sheets. Securities lending transactions utilize a portion of the securities that clearing firms have deposited to satisfy their proprietary performance bond requirements. Securities lending activity fluctuates based on the amount of securities that clearing firms have deposited and the demand for securities lending activity in the particular securities available to us. As a result of these factors, the balances in cash performance bonds and security deposits, as well as the balances in our securities lending program, may fluctuate significantly over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Cash performance bonds and security deposits and collateral from securities lending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performance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Cash security deposits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Performance Bonds and Security Deposits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Collateral from securities lending activities and payable under securities lending agreements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2,862.0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3,695.0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are required under the Commodity Exchange Act to segregate cash and securities deposited by clearing firms on behalf of customers. In addition, our exchange rules require a segregation of all funds and securities deposited by clearing firms from exchange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operating funds and marketable securities. As with cash performance bonds and security deposits, these balances will fluctuate due to the investment choices available to clearing firms and the change in total deposits required. Securities, at fair value, and IEF funds were deposited for the following purposes at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9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$57,165.5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700" w:type="dxa"/>
            <w:vAlign w:val="bottom"/>
          </w:tcPr>
          <w:p>
            <w:pPr>
              <w:jc w:val="right"/>
              <w:spacing w:after="0"/>
              <w:rPr>
                <w:sz w:val="20"/>
                <w:szCs w:val="20"/>
                <w:color w:val="auto"/>
              </w:rPr>
            </w:pPr>
            <w:r>
              <w:rPr>
                <w:rFonts w:ascii="Arial" w:cs="Arial" w:eastAsia="Arial" w:hAnsi="Arial"/>
                <w:sz w:val="18"/>
                <w:szCs w:val="18"/>
                <w:color w:val="auto"/>
              </w:rPr>
              <w:t>1,440.0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59,141.6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Earnings</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earnings, a non-GAAP measure, is the primary metric used by us to measure our financial performance. It is the basis for calculating dividends to shareholders. It is calculated as net income plus depreciation and amortization expense (excluding amortization of landlord-funded amounts), plus tax-effected stock-based compensation, plus tax-effected amortization of purchased intangibles, less capital expenditures excluding landlord-funded amounts. For 2008, our annual dividend target will be based on 2007 cash earnings calculated as if the merger with CBOT Holdings had occurred on January 1, 2007. The cash earnings amount is calculated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$ 658.5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104.4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net of tax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Amortization of purchased intangibles, net of tax</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1"/>
        </w:trPr>
        <w:tc>
          <w:tcPr>
            <w:tcW w:w="10020" w:type="dxa"/>
            <w:vAlign w:val="bottom"/>
            <w:gridSpan w:val="4"/>
          </w:tcPr>
          <w:p>
            <w:pPr>
              <w:spacing w:after="0"/>
              <w:rPr>
                <w:sz w:val="20"/>
                <w:szCs w:val="20"/>
                <w:color w:val="auto"/>
              </w:rPr>
            </w:pPr>
            <w:r>
              <w:rPr>
                <w:rFonts w:ascii="Arial" w:cs="Arial" w:eastAsia="Arial" w:hAnsi="Arial"/>
                <w:sz w:val="18"/>
                <w:szCs w:val="18"/>
                <w:color w:val="auto"/>
              </w:rPr>
              <w:t>Cash Earnings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$ 643.8</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 cash earnings (a)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020" w:type="dxa"/>
            <w:vAlign w:val="bottom"/>
            <w:gridSpan w:val="4"/>
          </w:tcPr>
          <w:p>
            <w:pPr>
              <w:spacing w:after="0"/>
              <w:rPr>
                <w:sz w:val="20"/>
                <w:szCs w:val="20"/>
                <w:color w:val="auto"/>
              </w:rPr>
            </w:pPr>
            <w:r>
              <w:rPr>
                <w:rFonts w:ascii="Arial" w:cs="Arial" w:eastAsia="Arial" w:hAnsi="Arial"/>
                <w:sz w:val="18"/>
                <w:szCs w:val="18"/>
                <w:color w:val="auto"/>
              </w:rPr>
              <w:t>Pro forma Cash Earnings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$ 836.3</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CBOT Holdings cash earnings reflect CBOT Holdings’ consolidated net income for the period January 1 through July 12, 2007, plus depreciation and amortization expense, plus tax-effected stock-based compensation, less capital expenditures. All adjustments to net income were calculated for the period January 1 through July 12, 2007.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cash earnings calculation, with some modifications, is also used as the basis for determining annual incentive payments to employees.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various market risks, including those caused by changes in interest rates and foreign currency exchange rates.</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Interest Rate Risk. </w:t>
      </w:r>
      <w:r>
        <w:rPr>
          <w:rFonts w:ascii="Arial" w:cs="Arial" w:eastAsia="Arial" w:hAnsi="Arial"/>
          <w:sz w:val="16"/>
          <w:szCs w:val="16"/>
          <w:color w:val="auto"/>
        </w:rPr>
        <w:t>Our investment policy is to preserve principal and liquidity while maximizing return through the investment of available funds.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typically include money market mutual funds, municipal securities, and U.S. Treasury and government agency securities with fixed or variable rate terms. Under our investment policy, we monitor interest rate risk by completing regular reviews of our marketable securities portfolio and its sensitivity to changes in the general level of interest rates, commonly referred to as a portfolio’s duration. We control the duration of the portfolio primarily through the purchase of individual marketable securities having duration consistent with our overall investment policy. In addition, we will generally hold marketable securities to maturity, which will act as a further mitigating factor to interest rate risk. Under our investment policy, the aggregate portfolio duration cannot exceed 24 months.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change in market interest rates would affect interest income as well as the fair value of investments. All of our investments are carried at fair value. For purposes of this analysis, marketable securities exclude the investments of our non-qualified deferred compensation plan. Interest income from short-term cash investments, marketable securities, and cash performance bonds and security deposits was $69.8 million and $53.8 million in 2007 and 2006, respectively. Our marketable securities portfolio experienced a net unrealized gain of $3.1 million in 2007 and a net unrealized gain of $2.1 million in 2006. There were no material realized gains or losses from sales of marketable securities in either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Expected maturities and interest coupon rates for marketable securities, all of which were fixed-rate securities, were as follows at December 31, 2007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Principal</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4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Cash Flows</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5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$180,410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5540" w:type="dxa"/>
            <w:vAlign w:val="bottom"/>
            <w:gridSpan w:val="3"/>
          </w:tcPr>
          <w:p>
            <w:pPr>
              <w:jc w:val="right"/>
              <w:ind w:right="440"/>
              <w:spacing w:after="0"/>
              <w:rPr>
                <w:sz w:val="20"/>
                <w:szCs w:val="20"/>
                <w:color w:val="auto"/>
              </w:rPr>
            </w:pPr>
            <w:r>
              <w:rPr>
                <w:rFonts w:ascii="Arial" w:cs="Arial" w:eastAsia="Arial" w:hAnsi="Arial"/>
                <w:sz w:val="18"/>
                <w:szCs w:val="18"/>
                <w:color w:val="auto"/>
              </w:rPr>
              <w:t>180,242</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2008 expected maturities include $26.7 million in principal amount of zero coupon marketable securities. Excluding zero coupon securities, the 2008 weighted average interest rate would be 3.61%.</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maintain a 364-day revolving loan facility of up to $750.0 million with various financial institutions. This loan facility serves as a back-up facility for our commercial paper program. As of December 31, 2007, we have not utilized this facility. During 2007, commercial paper notes with an aggregate par value of $1.2 billion and maturities ranging from one to 97 days were issued. We believe the short-term nature of these borrowings and the availability of funds from operations mitigates our interest rate risk exposure.</w:t>
      </w:r>
    </w:p>
    <w:p>
      <w:pPr>
        <w:spacing w:after="0" w:line="13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Foreign Exchange Risk. </w:t>
      </w:r>
      <w:r>
        <w:rPr>
          <w:rFonts w:ascii="Arial" w:cs="Arial" w:eastAsia="Arial" w:hAnsi="Arial"/>
          <w:sz w:val="16"/>
          <w:szCs w:val="16"/>
          <w:color w:val="auto"/>
        </w:rPr>
        <w:t>GFX engages primarily in the purchase and sale of our foreign exchange futures contracts on the CME Globex platform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liquidity in these products. GFX subsequently enters into offsetting transactions using futures contracts or spot foreign exchange transactions with approved counterparties in the interbank market to limit its market risk. Any potential impact on the GFX earnings from a change in foreign exchange rates would not be significant. Net intraday position limits, which are established for each trader, totaled $12.0 million in aggregate notional value as of December 31, 2007.</w:t>
      </w:r>
    </w:p>
    <w:p>
      <w:pPr>
        <w:spacing w:after="0" w:line="10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At December 31, 2007, GFX held futures positions with a notional value of $131.7 million, offset by a similar amount of spot foreign exchange positions. The notional value of futures positions at December 31, 2006 totaled $111.8 million. All positions are marked to market on a daily basis using our foreign exchange settlement prices, with resulting gain or loss reflected in other revenues. Net trading gains were $9.2 million and $7.0 million for the years ended December 31, 2007 and 2006, respectively.</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third-party contract relating to our e-CBOT electronic trading platform obligates us to make payments denominated in pounds sterling. As a result, we are exposed to movements in foreign currency exchange rates.</w:t>
      </w:r>
    </w:p>
    <w:p>
      <w:pPr>
        <w:spacing w:after="0" w:line="132" w:lineRule="exact"/>
        <w:rPr>
          <w:sz w:val="20"/>
          <w:szCs w:val="20"/>
          <w:color w:val="auto"/>
        </w:rPr>
      </w:pPr>
    </w:p>
    <w:p>
      <w:pPr>
        <w:jc w:val="both"/>
        <w:ind w:right="440"/>
        <w:spacing w:after="0" w:line="323" w:lineRule="auto"/>
        <w:rPr>
          <w:sz w:val="20"/>
          <w:szCs w:val="20"/>
          <w:color w:val="auto"/>
        </w:rPr>
      </w:pPr>
      <w:r>
        <w:rPr>
          <w:rFonts w:ascii="Arial" w:cs="Arial" w:eastAsia="Arial" w:hAnsi="Arial"/>
          <w:sz w:val="15"/>
          <w:szCs w:val="15"/>
          <w:color w:val="auto"/>
        </w:rPr>
        <w:t>We engage in foreign currency hedging activities in order to reduce our risk from movements in foreign currency exchange rates where practicable to do so. However, where we are not able to enter into foreign currency hedging transactions on terms satisfactory to us, we retain risk associated with movements in foreign currency exchange rates. The primary purpose of our foreign currency hedging activities is to manage the volatility associated with foreign currency purchases of materials and services and liabilities created in the normal course of our business. We do not rely on economic hedges to manage risk.</w:t>
      </w:r>
    </w:p>
    <w:p>
      <w:pPr>
        <w:spacing w:after="0" w:line="98"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We currently utilize foreign currency forward contracts that we have identified as fair value hedges. These are intended to offset the effect of exchange rate fluctuations on firm commitments for purchases of fixed annual and quarterly services denominated in pounds sterling. Forward contracts designated as hedges had a notional amount of approximating $13.3 million (£6.7 million) at December 31, 2007. Certain forward contracts previously designated as hedges have been undesignated as a result of negotiations with vendors which reduced the firm commitments previously hedged. Forward contracts which were undesignated had a notional value of approximately $6.0 million (£3.0 million) at December 31, 2007. The fair value of hedging contracts and non-hedging contracts was $1.8 million and $0.8 million, respectively, at December 31, 2007. Losses related to contracts that no longer qualify for hedge accounting totaled $0.1 million in 2007.</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4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tcPr>
          <w:p>
            <w:pPr>
              <w:jc w:val="center"/>
              <w:ind w:left="1012"/>
              <w:spacing w:after="0"/>
              <w:rPr>
                <w:sz w:val="20"/>
                <w:szCs w:val="20"/>
                <w:color w:val="auto"/>
              </w:rPr>
            </w:pPr>
            <w:r>
              <w:rPr>
                <w:rFonts w:ascii="Arial" w:cs="Arial" w:eastAsia="Arial" w:hAnsi="Arial"/>
                <w:sz w:val="18"/>
                <w:szCs w:val="18"/>
                <w:b w:val="1"/>
                <w:bCs w:val="1"/>
                <w:color w:val="auto"/>
                <w:w w:val="97"/>
              </w:rPr>
              <w:t>CME GROUP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20" w:type="dxa"/>
            <w:vAlign w:val="bottom"/>
          </w:tcPr>
          <w:p>
            <w:pPr>
              <w:jc w:val="center"/>
              <w:ind w:left="1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20" w:type="dxa"/>
            <w:vAlign w:val="bottom"/>
          </w:tcPr>
          <w:p>
            <w:pPr>
              <w:jc w:val="center"/>
              <w:ind w:left="1012"/>
              <w:spacing w:after="0"/>
              <w:rPr>
                <w:sz w:val="20"/>
                <w:szCs w:val="20"/>
                <w:color w:val="auto"/>
              </w:rPr>
            </w:pPr>
            <w:r>
              <w:rPr>
                <w:rFonts w:ascii="Arial" w:cs="Arial" w:eastAsia="Arial" w:hAnsi="Arial"/>
                <w:sz w:val="18"/>
                <w:szCs w:val="18"/>
                <w:color w:val="auto"/>
                <w:w w:val="85"/>
              </w:rPr>
              <w:t>(in thousands, except per share data)</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2,130,156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$100,061 and $ 100,729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$1,392 and $552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4,987,055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4,049,050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Intangible assets – other, net of accumulated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1,796,789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5,049,211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8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8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4,306,505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58,965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2,862,026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2,130,156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4,076,063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2,755,354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3,848,240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8,000,560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2,787,413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Series A junior participating preferred stock, $0.01 par value, 140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w w:val="90"/>
              </w:rPr>
              <w:t>Class A common stock, $0.01 par value, 1,000,000 shares authorized, 53,278 and 34,836 shares issued and outstanding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640"/>
              <w:spacing w:after="0"/>
              <w:rPr>
                <w:sz w:val="20"/>
                <w:szCs w:val="20"/>
                <w:color w:val="auto"/>
              </w:rPr>
            </w:pPr>
            <w:r>
              <w:rPr>
                <w:rFonts w:ascii="Arial" w:cs="Arial" w:eastAsia="Arial" w:hAnsi="Arial"/>
                <w:sz w:val="18"/>
                <w:szCs w:val="18"/>
                <w:color w:val="auto"/>
              </w:rPr>
              <w:t>of December 31, 2007 and 2006, respectively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10,688,766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1,116,209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12,305,637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20,306,197</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4,306,505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1,427,320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866,089</w:t>
            </w:r>
          </w:p>
        </w:tc>
        <w:tc>
          <w:tcPr>
            <w:tcW w:w="4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696,201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Quotation data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Processing services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106,404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90,148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41,519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24,132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1,756,101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1,089,947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263,347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202,966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43,471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31,580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53,142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105,653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72,783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35,651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25,728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62,892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40,521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1,050,493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621,078</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477,946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and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73,059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Securities lending interest expense</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(114,453)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(92,103)</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Guarantee of exercise right privileges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(17,167)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45,309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50,579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1,095,802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437,269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264,309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201,522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658,533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34,696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 and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Shareholders’</w:t>
            </w: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34,099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$261,391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306,857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$833</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(1,312)</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dividends on common stock of $1.84 per share</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(63,260)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(63,260)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43,361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34,545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796,398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1,118,684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$842</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Change in foreign currency translation adjustment, net of tax of $284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409,055</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Adjustment to initially adopt SFAS No. 158, net of tax of $1,174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Sale of membership shares by OneChicago, LLC, net of tax of $1,717</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$2.52 per share</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(87,537)</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279</w:t>
            </w:r>
          </w:p>
        </w:tc>
        <w:tc>
          <w:tcPr>
            <w:tcW w:w="5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60" w:type="dxa"/>
            <w:vAlign w:val="bottom"/>
            <w:shd w:val="clear" w:color="auto" w:fill="CCEEFF"/>
          </w:tcPr>
          <w:p>
            <w:pPr>
              <w:spacing w:after="0"/>
              <w:rPr>
                <w:sz w:val="18"/>
                <w:szCs w:val="18"/>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2006</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34,836</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$405,862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1,116,209</w:t>
            </w:r>
          </w:p>
        </w:tc>
        <w:tc>
          <w:tcPr>
            <w:tcW w:w="160" w:type="dxa"/>
            <w:vAlign w:val="bottom"/>
          </w:tcPr>
          <w:p>
            <w:pPr>
              <w:spacing w:after="0"/>
              <w:rPr>
                <w:sz w:val="19"/>
                <w:szCs w:val="19"/>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1,519,092</w:t>
            </w:r>
          </w:p>
        </w:tc>
        <w:tc>
          <w:tcPr>
            <w:tcW w:w="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2"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Class A</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$1,116,209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Cumulative effect of adopting FIN No. 48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1,112,489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658,533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9"/>
              </w:rPr>
              <w:t>Change in net unrealized loss on securities, net of tax of $1,232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$1,570</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$259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dividends on common stock of $3.44 per share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(151,582)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(151,582)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and stock options issued to complete merger, including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19,816</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11,126,141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11,126,141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(1,695)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(950,642)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42,541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22,846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10,689,299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1,619,440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$ 658,533</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$407,348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$306,857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22,846</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16,359</w:t>
            </w:r>
          </w:p>
        </w:tc>
        <w:tc>
          <w:tcPr>
            <w:tcW w:w="680" w:type="dxa"/>
            <w:vAlign w:val="bottom"/>
          </w:tcPr>
          <w:p>
            <w:pPr>
              <w:jc w:val="right"/>
              <w:spacing w:after="0"/>
              <w:rPr>
                <w:sz w:val="20"/>
                <w:szCs w:val="20"/>
                <w:color w:val="auto"/>
              </w:rPr>
            </w:pPr>
            <w:r>
              <w:rPr>
                <w:rFonts w:ascii="Arial" w:cs="Arial" w:eastAsia="Arial" w:hAnsi="Arial"/>
                <w:sz w:val="18"/>
                <w:szCs w:val="18"/>
                <w:color w:val="auto"/>
              </w:rPr>
              <w:t>12,636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shares issued to Board of Directors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Amortization of purchased intangibles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33,878</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1,267</w:t>
            </w:r>
          </w:p>
        </w:tc>
        <w:tc>
          <w:tcPr>
            <w:tcW w:w="680" w:type="dxa"/>
            <w:vAlign w:val="bottom"/>
          </w:tcPr>
          <w:p>
            <w:pPr>
              <w:jc w:val="right"/>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105,653</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72,783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Loss on disposal of fixed assets</w:t>
            </w:r>
          </w:p>
        </w:tc>
        <w:tc>
          <w:tcPr>
            <w:tcW w:w="1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restructuring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Allowance for doubtful accounts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amortization (accretion) of premiums and discounts on marketable securities</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Amortization of debt issue costs and discount on commercial paper issued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13,995</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6,915</w:t>
            </w:r>
          </w:p>
        </w:tc>
        <w:tc>
          <w:tcPr>
            <w:tcW w:w="680" w:type="dxa"/>
            <w:vAlign w:val="bottom"/>
          </w:tcPr>
          <w:p>
            <w:pPr>
              <w:jc w:val="right"/>
              <w:spacing w:after="0"/>
              <w:rPr>
                <w:sz w:val="20"/>
                <w:szCs w:val="20"/>
                <w:color w:val="auto"/>
              </w:rPr>
            </w:pPr>
            <w:r>
              <w:rPr>
                <w:rFonts w:ascii="Arial" w:cs="Arial" w:eastAsia="Arial" w:hAnsi="Arial"/>
                <w:sz w:val="18"/>
                <w:szCs w:val="18"/>
                <w:color w:val="auto"/>
              </w:rPr>
              <w:t>2,636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(50,583)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Change in assets and liabilities, net of effects from merger with CBOT Holdings:</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(49,926)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(35,878)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8,021</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6,001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1,621</w:t>
            </w: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liabilities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31,233</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18,129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1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11,276</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814,374</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471,696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203,801</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73,668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(129,125)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(29,681)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net</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(163,644)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(87,810)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Purchase of CBOE exercise right privileges</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(39,750)</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acquired in merger with CBOT Holdings</w:t>
            </w:r>
          </w:p>
        </w:tc>
        <w:tc>
          <w:tcPr>
            <w:tcW w:w="2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116,010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Acquisition of Swapstream, net of cash received</w:t>
            </w:r>
          </w:p>
        </w:tc>
        <w:tc>
          <w:tcPr>
            <w:tcW w:w="1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(17,651)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(43,898)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(6,715)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Capital contributions to FXMarketSpace Limited</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(18,973)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(13,876)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Capital contributions to OneChicago, LLC</w:t>
            </w:r>
          </w:p>
        </w:tc>
        <w:tc>
          <w:tcPr>
            <w:tcW w:w="1280" w:type="dxa"/>
            <w:vAlign w:val="bottom"/>
          </w:tcPr>
          <w:p>
            <w:pPr>
              <w:spacing w:after="0"/>
              <w:rPr>
                <w:sz w:val="18"/>
                <w:szCs w:val="18"/>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(78,638)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(85,860)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(82,333)</w:t>
            </w:r>
          </w:p>
        </w:tc>
        <w:tc>
          <w:tcPr>
            <w:tcW w:w="0" w:type="dxa"/>
            <w:vAlign w:val="bottom"/>
          </w:tcPr>
          <w:p>
            <w:pPr>
              <w:spacing w:after="0"/>
              <w:rPr>
                <w:sz w:val="1"/>
                <w:szCs w:val="1"/>
                <w:color w:val="auto"/>
              </w:rPr>
            </w:pPr>
          </w:p>
        </w:tc>
      </w:tr>
      <w:tr>
        <w:trPr>
          <w:trHeight w:val="370"/>
        </w:trPr>
        <w:tc>
          <w:tcPr>
            <w:tcW w:w="7420" w:type="dxa"/>
            <w:vAlign w:val="bottom"/>
            <w:gridSpan w:val="2"/>
          </w:tcPr>
          <w:p>
            <w:pPr>
              <w:jc w:val="right"/>
              <w:ind w:right="1532"/>
              <w:spacing w:after="0"/>
              <w:rPr>
                <w:sz w:val="20"/>
                <w:szCs w:val="20"/>
                <w:color w:val="auto"/>
              </w:rPr>
            </w:pPr>
            <w:r>
              <w:rPr>
                <w:rFonts w:ascii="Arial" w:cs="Arial" w:eastAsia="Arial" w:hAnsi="Arial"/>
                <w:sz w:val="18"/>
                <w:szCs w:val="18"/>
                <w:color w:val="auto"/>
              </w:rPr>
              <w:t>79</w:t>
            </w:r>
          </w:p>
        </w:tc>
        <w:tc>
          <w:tcPr>
            <w:tcW w:w="1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Proceeds from short-term debt, net of debt issuance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1,160,836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(997,983)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dividends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(151,582)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(87,537)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 in merger with CBOT Holdings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Payments for repurchase of common stock, including costs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(949,340)</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39,113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53,724</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43,882</w:t>
            </w:r>
          </w:p>
        </w:tc>
        <w:tc>
          <w:tcPr>
            <w:tcW w:w="680" w:type="dxa"/>
            <w:vAlign w:val="bottom"/>
          </w:tcPr>
          <w:p>
            <w:pPr>
              <w:jc w:val="right"/>
              <w:spacing w:after="0"/>
              <w:rPr>
                <w:sz w:val="20"/>
                <w:szCs w:val="20"/>
                <w:color w:val="auto"/>
              </w:rPr>
            </w:pPr>
            <w:r>
              <w:rPr>
                <w:rFonts w:ascii="Arial" w:cs="Arial" w:eastAsia="Arial" w:hAnsi="Arial"/>
                <w:sz w:val="18"/>
                <w:szCs w:val="18"/>
                <w:color w:val="auto"/>
              </w:rPr>
              <w:t>43,361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(859,928)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(27,223)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(124,192)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358,613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610,891</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969,504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610,891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413,697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$235,886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paid (excluding securities lending program)</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Fair value of stock options and stock issued in connection with merger</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11,144,835</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unrealized securities gains (losses)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3,087</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2,118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Sale of membership shares by OneChicago, LLC</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4,320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5,924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Effective July 12, 2007, Chicago Mercantile Exchange Holdings Inc. (CME Holdings) merged with CBOT Holdings, Inc. (CBOT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 connection with the merger, the combined company was renamed CME Group Inc. (CME Group). CME Group and its subsidiaries are referred to collectively as “the company” in the notes to the consolidated financial statements.</w:t>
      </w:r>
    </w:p>
    <w:p>
      <w:pPr>
        <w:spacing w:after="0" w:line="1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Chicago Mercantile Exchange Inc. (CME) and the Board of Trade of the City of Chicago, Inc. (CBOT), wholly-owned subsidiaries of CME Group, are designated contract markets for the trading of futures and options on futures contracts. CME Group offers a wide range of products including those based on interest rates, equities, foreign exchange, commodities and alternative investments. Trades are executed through CME Group’s electronic trading platforms, open outcry and privately negotiated transactions. Through its in-house Clearing Division, CME Group clears, settles, nets and guarantees performance of all matched transactions in its products and products for which it provides third-party clearing services. CME, CBOT and their subsidiaries are referred to collectively as “the exchange” in the notes to the consolidated financial statements.</w:t>
      </w:r>
    </w:p>
    <w:p>
      <w:pPr>
        <w:spacing w:after="0" w:line="11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financial statements and accompanying notes presented in this report include the consolidated financial results of the former</w:t>
      </w:r>
      <w:r>
        <w:rPr>
          <w:rFonts w:ascii="Arial" w:cs="Arial" w:eastAsia="Arial" w:hAnsi="Arial"/>
          <w:sz w:val="18"/>
          <w:szCs w:val="18"/>
          <w:b w:val="1"/>
          <w:bCs w:val="1"/>
          <w:color w:val="auto"/>
        </w:rPr>
        <w:t xml:space="preserve"> </w:t>
      </w:r>
      <w:r>
        <w:rPr>
          <w:rFonts w:ascii="Arial" w:cs="Arial" w:eastAsia="Arial" w:hAnsi="Arial"/>
          <w:sz w:val="18"/>
          <w:szCs w:val="18"/>
          <w:color w:val="auto"/>
        </w:rPr>
        <w:t>CME Holdings and its subsidiaries for the years ended December 31, 2005 and 2006, and for the period January 1, 2007 through July 12, 2007. The financial results of the former CME Holdings and CBOT Holdings are included in the consolidated financial results of CME Group beginning on July 13, 2007. All intercompany transactions have been eliminated in consolidation.</w:t>
      </w:r>
    </w:p>
    <w:p>
      <w:pPr>
        <w:spacing w:after="0" w:line="1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assets of CME Group consist primarily of cash, marketable securities, investments in its subsidiaries, and exercise right privileges with the Chicago Board Options Exchange, Inc. (CBOE). CME Group’s liabilities consist primarily of commercial paper liabilities and a liability associated with the guaranteed value of outstanding exercise right privileges to eligible 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to the prior years’ financial statements to conform to the presentation in 2007.</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amounts of assets and liabilities as of the date of the financial statements, as well as the amounts of revenues and expenses reported during the period, and to disclose contingent assets and liabilities as of the date of the financial statements. Actual results could differ from those estimates.</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money market mutual funds and highly liquid investments with maturities of three months or less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Certain marketable securities have been classified as available for sale and are carried at fair value based on quoted market prices, with</w:t>
      </w:r>
      <w:r>
        <w:rPr>
          <w:rFonts w:ascii="Arial" w:cs="Arial" w:eastAsia="Arial" w:hAnsi="Arial"/>
          <w:sz w:val="18"/>
          <w:szCs w:val="18"/>
          <w:b w:val="1"/>
          <w:bCs w:val="1"/>
          <w:color w:val="auto"/>
        </w:rPr>
        <w:t xml:space="preserve"> </w:t>
      </w:r>
      <w:r>
        <w:rPr>
          <w:rFonts w:ascii="Arial" w:cs="Arial" w:eastAsia="Arial" w:hAnsi="Arial"/>
          <w:sz w:val="18"/>
          <w:szCs w:val="18"/>
          <w:color w:val="auto"/>
        </w:rPr>
        <w:t>net unrealized gains and losses reported net of tax in accumulated other comprehensive income (loss). Interest on marketable securities is recognized as income when earned and includes accreted discount less amortized premium. Realized gains and losses are calculated using specific identification. Additional securities held in connection with non-qualified deferred compensation plans have been classified as trading securities. These securities are included in marketable securities in the accompanying consolidated balance sheets at fair value, and net realized and unrealized gains and losses as well as dividend income are reflected in investment income.</w:t>
      </w:r>
    </w:p>
    <w:p>
      <w:pPr>
        <w:spacing w:after="0" w:line="139"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Statement of Financial Accounting Standards (SFAS) No. 107, “Disclosures about Fair Value of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disclosure of the fair value of financial instruments. The carrying values of financial instruments included in assets and liabilities in the accompanying consolidated balance sheets are reasonable estimates of their fair values.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In the ordinary course of business, a significant portion of accounts receivable and revenues are from clearing firms that are also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shareholders of the company. Exposure to losses on receivables for clearing and transaction fees and other amounts owed by clearing firms is dependent on each clearing firm’s financial condition as well as the Class A and Class B shares that collateralize fees owed to the exchange. The exchange retains the right to liquidate shares to satisfy a clearing firm’s receivable.</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Performance Bonds and Security Deposits. </w:t>
      </w:r>
      <w:r>
        <w:rPr>
          <w:rFonts w:ascii="Arial" w:cs="Arial" w:eastAsia="Arial" w:hAnsi="Arial"/>
          <w:sz w:val="18"/>
          <w:szCs w:val="18"/>
          <w:color w:val="auto"/>
        </w:rPr>
        <w:t>Performance bonds and security deposits held by the exchange for clearing firms may be in the form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deposits in one of the Interest Earning Facilities (IEFs). Cash performance bonds and security deposits are reflected in the consolidated balance sheets. Cash received may be invested by CME. These investments are primarily overnight transactions in U.S. Government securities acquired through and held by a broker-dealer subsidiary of a bank or through CME’s IEF program. Any interest earned on these investments accrues to CME and is included in investment income in the consolidated statements of income.</w:t>
      </w:r>
    </w:p>
    <w:p>
      <w:pPr>
        <w:spacing w:after="0" w:line="14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Securities deposited by clearing firms consist primarily of short-term U.S. Treasury and U.S. Government agency securities and are not reflected in the accompanying consolidated balance sheets. These securities are held in safekeeping, although a portion of the clearing firms’ proprietary performance bond deposits may be utilized in securities lending transactions. Interest and gain or loss on securities deposited to satisfy performance bond and security deposit requirements accrues to the clearing firm.</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Property and equipment, excluding land, are reported at historical cost, net of accumulated depreciation and amortization. Land is reported at cost.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its recent merger with CBOT Holdings, the company acquired three buildings with over 1.5 million square feet of commercial space. Building and improvements are recorded at cost less accumulated depreciation and amortization since acquisition. Computer software and systems include purchased software and systems, external costs specifically identifiable to the implementation of new systems and certain payroll and payroll-related costs for employees who are directly associated with and devote time to developing computer software for internal use.</w:t>
      </w:r>
    </w:p>
    <w:p>
      <w:pPr>
        <w:spacing w:after="0" w:line="11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Depreciation and amortization expense results from the depreciation of property purchased, as well as the amortization of purchased and internally developed software. Depreciation and amortization are computed using the straight-line method over the estimated useful lives of the assets, as follows: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Land improvements</w:t>
            </w:r>
          </w:p>
        </w:tc>
        <w:tc>
          <w:tcPr>
            <w:tcW w:w="42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Buildings</w:t>
            </w:r>
          </w:p>
        </w:tc>
        <w:tc>
          <w:tcPr>
            <w:tcW w:w="4280" w:type="dxa"/>
            <w:vAlign w:val="bottom"/>
          </w:tcPr>
          <w:p>
            <w:pPr>
              <w:jc w:val="right"/>
              <w:spacing w:after="0"/>
              <w:rPr>
                <w:sz w:val="20"/>
                <w:szCs w:val="20"/>
                <w:color w:val="auto"/>
              </w:rPr>
            </w:pPr>
            <w:r>
              <w:rPr>
                <w:rFonts w:ascii="Arial" w:cs="Arial" w:eastAsia="Arial" w:hAnsi="Arial"/>
                <w:sz w:val="18"/>
                <w:szCs w:val="18"/>
                <w:color w:val="auto"/>
              </w:rPr>
              <w:t>40 years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Building improvements and equipment</w:t>
            </w:r>
          </w:p>
        </w:tc>
        <w:tc>
          <w:tcPr>
            <w:tcW w:w="4280" w:type="dxa"/>
            <w:vAlign w:val="bottom"/>
          </w:tcPr>
          <w:p>
            <w:pPr>
              <w:jc w:val="right"/>
              <w:spacing w:after="0"/>
              <w:rPr>
                <w:sz w:val="20"/>
                <w:szCs w:val="20"/>
                <w:color w:val="auto"/>
              </w:rPr>
            </w:pPr>
            <w:r>
              <w:rPr>
                <w:rFonts w:ascii="Arial" w:cs="Arial" w:eastAsia="Arial" w:hAnsi="Arial"/>
                <w:sz w:val="18"/>
                <w:szCs w:val="18"/>
                <w:color w:val="auto"/>
              </w:rPr>
              <w:t>3 to 7 years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280" w:type="dxa"/>
            <w:vAlign w:val="bottom"/>
          </w:tcPr>
          <w:p>
            <w:pPr>
              <w:jc w:val="right"/>
              <w:spacing w:after="0"/>
              <w:rPr>
                <w:sz w:val="20"/>
                <w:szCs w:val="20"/>
                <w:color w:val="auto"/>
              </w:rPr>
            </w:pPr>
            <w:r>
              <w:rPr>
                <w:rFonts w:ascii="Arial" w:cs="Arial" w:eastAsia="Arial" w:hAnsi="Arial"/>
                <w:sz w:val="18"/>
                <w:szCs w:val="18"/>
                <w:color w:val="auto"/>
              </w:rPr>
              <w:t>2 to 4 years</w:t>
            </w:r>
          </w:p>
        </w:tc>
      </w:tr>
    </w:tbl>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Leasehold improvements are amortized over the lesser of their estimated useful lives or the remaining term of the applicable leases. Leasehold improvements funded by landlord allowances are capitalized in the consolidated balance sheets. Maintenance and repair items as well as certain minor purchases are charged to expense as incurred.</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All leases in which the company is the tenant are accounted for as operating leases under SFAS No. 13 “Accounting for Leases.” Landlord allowances are recorded as a reduction to rent expense on a straight-line basis over the term of the lease.</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The company capitalizes certain costs of developing internal use software in accordance with the American Institute of Certified Public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Position (SOP) 98-1, “Accounting for the Costs of Computer Software Developed or Obtained for Internal Use.” Capitalized costs generally are amortized over three years, commencing when the software is placed in service. Purchased software is amortized over four years. Multi-year software licenses are amortized over the life of the contract, which can range from three to seven years.</w:t>
      </w:r>
    </w:p>
    <w:p>
      <w:pPr>
        <w:spacing w:after="0" w:line="13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Impairment of Long-lived and Intangible Assets. </w:t>
      </w:r>
      <w:r>
        <w:rPr>
          <w:rFonts w:ascii="Arial" w:cs="Arial" w:eastAsia="Arial" w:hAnsi="Arial"/>
          <w:sz w:val="16"/>
          <w:szCs w:val="16"/>
          <w:color w:val="auto"/>
        </w:rPr>
        <w:t>The company reviews its long-lived assets and amortizable intangible assets for impairment whenever events</w:t>
      </w:r>
      <w:r>
        <w:rPr>
          <w:rFonts w:ascii="Arial" w:cs="Arial" w:eastAsia="Arial" w:hAnsi="Arial"/>
          <w:sz w:val="16"/>
          <w:szCs w:val="16"/>
          <w:b w:val="1"/>
          <w:bCs w:val="1"/>
          <w:color w:val="auto"/>
        </w:rPr>
        <w:t xml:space="preserve"> </w:t>
      </w:r>
      <w:r>
        <w:rPr>
          <w:rFonts w:ascii="Arial" w:cs="Arial" w:eastAsia="Arial" w:hAnsi="Arial"/>
          <w:sz w:val="16"/>
          <w:szCs w:val="16"/>
          <w:color w:val="auto"/>
        </w:rPr>
        <w:t>or changes in circumstances indicate that the carrying amounts may not be recoverable based on an examination of undiscounted cash flows. If such assets are considered to be impaired, the impairment to be recognized is measured as the amount by which the carrying amount of the assets exceeds the fair value of the assets. Goodwill and indefinite-lived intangible assets are reviewed for impairment on an annual basis and whenever events or circumstances indicate that their carrying values may not be recoverable. Impairment is recorded if the carrying amount exceeds fair value.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The company accounts for acquisitions using the purchase method as required by SFAS No. 141, “Business Combinations.” Under SFAS No. 141,</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acquiring company allocates the purchase price to the assets acquired and liabilities assumed based on their estimated fair values at the date of the acquisition, including identifiable intangible assets. The purchase price in excess of the fair value of the net assets and liabilities is recorded as goodwill. Among other sources, the company uses independent valuation services to assist in determining the estimated fair values of the assets and liabilities.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SFAS No. 158, “Employers’ Accounting for Defined Benefit Pension and Other Postretirement Plans” requires that the funded status of</w:t>
      </w:r>
      <w:r>
        <w:rPr>
          <w:rFonts w:ascii="Arial" w:cs="Arial" w:eastAsia="Arial" w:hAnsi="Arial"/>
          <w:sz w:val="18"/>
          <w:szCs w:val="18"/>
          <w:b w:val="1"/>
          <w:bCs w:val="1"/>
          <w:color w:val="auto"/>
        </w:rPr>
        <w:t xml:space="preserve"> </w:t>
      </w:r>
      <w:r>
        <w:rPr>
          <w:rFonts w:ascii="Arial" w:cs="Arial" w:eastAsia="Arial" w:hAnsi="Arial"/>
          <w:sz w:val="18"/>
          <w:szCs w:val="18"/>
          <w:color w:val="auto"/>
        </w:rPr>
        <w:t>a defined benefit postretirement plan be recognized in the consolidated balance sheets and changes in that funded status be recognized in the year of change in other comprehensive income. SFAS No. 158 also requires that plan assets and obligations be measured at year end. CME recognized the funded status of its pension plan as an asset in its consolidated balance sheets and recorded a one-time adjustment to accumulated other comprehensive income at December 31, 2006. The exchange recognizes future changes in actuarial gains and losses and prior service costs in the year in which the changes occur through other comprehensive income (loss).</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Revenues and expenses of foreign subsidiaries are translated from their functional currencies into U.S. dollars using weighted-average exchange rates while their assets and liabilities are translated into U.S. dollars using period-end exchange rates. Gains or losses resulting from foreign currency translations are charged or credited to other comprehensive income (loss).</w:t>
      </w:r>
    </w:p>
    <w:p>
      <w:pPr>
        <w:spacing w:after="0" w:line="13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company’s revenue recognition policies comply with Staff Accounting Bulletin No. 101 on revenue recognition. On occasion,</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will pay for services in a lump sum payment. When these circumstances occur, revenue is recognized as services are provided. Revenue recognition policies for specific sources of revenue are discussed below.</w:t>
      </w:r>
    </w:p>
    <w:p>
      <w:pPr>
        <w:spacing w:after="0" w:line="57"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electronic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and other fees. Fees are charged at various rates based on the product traded, the method of trade and the exchange trading privileges of the customer making the trade. Clearing and transaction fees are recognized as revenue when a buy and sell order are matched and the trade is cleared. Therefore, unfilled or cancelled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37"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i w:val="1"/>
          <w:iCs w:val="1"/>
          <w:color w:val="auto"/>
        </w:rPr>
        <w:t xml:space="preserve">Quotation Data Fees. </w:t>
      </w:r>
      <w:r>
        <w:rPr>
          <w:rFonts w:ascii="Arial" w:cs="Arial" w:eastAsia="Arial" w:hAnsi="Arial"/>
          <w:sz w:val="16"/>
          <w:szCs w:val="16"/>
          <w:color w:val="auto"/>
        </w:rPr>
        <w:t>Quotation data fees represent revenue earned for the dissemination of market information. Revenues are accrued each month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number of devices reported by vendors. The exchange conducts periodic audits of the number of devices reported and assesses additional fees as necessary. An allowance is established to cover uncollectible receivables from market data vendors.</w:t>
      </w:r>
    </w:p>
    <w:p>
      <w:pPr>
        <w:spacing w:after="0" w:line="26"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i w:val="1"/>
          <w:iCs w:val="1"/>
          <w:color w:val="auto"/>
        </w:rPr>
        <w:t xml:space="preserve">Processing Services. </w:t>
      </w:r>
      <w:r>
        <w:rPr>
          <w:rFonts w:ascii="Arial" w:cs="Arial" w:eastAsia="Arial" w:hAnsi="Arial"/>
          <w:sz w:val="16"/>
          <w:szCs w:val="16"/>
          <w:color w:val="auto"/>
        </w:rPr>
        <w:t>Processing services includes primarily revenues from clearing and settlement services provided to the CBOT through the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merger on July 12, 2007 and electronic trading on CME Globex for the New York Mercantile Exchange (NYMEX). Although trading under the prior agreement with NYMEX ended in November 2005, trading under a new 10-year agreement began in June 2006.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 by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vendors and customers. They include line charges, access fees for electronic trading platforms and hardware rental charges. The fees vary depending on the type of connection provided. An additional installation fee may be charged depending on the type of service requested and a disconnection fee may also be charged if certain conditions are met. Revenue is recognized monthly as the service is provided. An allowance is established to cover uncollectible receivables relating to access fees.</w:t>
      </w:r>
    </w:p>
    <w:p>
      <w:pPr>
        <w:spacing w:after="0" w:line="62"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Communication fees consist of equipment rental and usage charges to customers and firms that utilize the various telecommunications networks and services in the Chicago facilities. Revenue is billed and recognized on a monthly basis.</w:t>
      </w:r>
    </w:p>
    <w:p>
      <w:pPr>
        <w:spacing w:after="0" w:line="5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Building Revenue. </w:t>
      </w:r>
      <w:r>
        <w:rPr>
          <w:rFonts w:ascii="Arial" w:cs="Arial" w:eastAsia="Arial" w:hAnsi="Arial"/>
          <w:sz w:val="18"/>
          <w:szCs w:val="18"/>
          <w:color w:val="auto"/>
        </w:rPr>
        <w:t>Revenues from the rental of commercial space are recognized over the lease term, using the straight-line method as required under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13 “Accounting for Leases.” Under this method, revenue is recorded evenly over the entire term of occupancy for leases with scheduled rent increases or rent abatements. Also included in revenue are ancillary charges for parking, utilities, and miscellaneous services provided to tenants. Allowances for construction and other tenant costs are considered lease incentives and are recorded as a reduction to rental income on a straight-line basis over the term of the lease.</w:t>
      </w:r>
    </w:p>
    <w:p>
      <w:pPr>
        <w:spacing w:after="0" w:line="62" w:lineRule="exact"/>
        <w:rPr>
          <w:sz w:val="20"/>
          <w:szCs w:val="20"/>
          <w:color w:val="auto"/>
        </w:rPr>
      </w:pPr>
    </w:p>
    <w:p>
      <w:pPr>
        <w:ind w:left="460" w:right="380"/>
        <w:spacing w:after="0" w:line="255" w:lineRule="auto"/>
        <w:rPr>
          <w:sz w:val="20"/>
          <w:szCs w:val="20"/>
          <w:color w:val="auto"/>
        </w:rPr>
      </w:pPr>
      <w:r>
        <w:rPr>
          <w:rFonts w:ascii="Arial" w:cs="Arial" w:eastAsia="Arial" w:hAnsi="Arial"/>
          <w:sz w:val="18"/>
          <w:szCs w:val="18"/>
          <w:i w:val="1"/>
          <w:iCs w:val="1"/>
          <w:color w:val="auto"/>
        </w:rPr>
        <w:t xml:space="preserve">Concentration of Revenue. </w:t>
      </w:r>
      <w:r>
        <w:rPr>
          <w:rFonts w:ascii="Arial" w:cs="Arial" w:eastAsia="Arial" w:hAnsi="Arial"/>
          <w:sz w:val="18"/>
          <w:szCs w:val="18"/>
          <w:color w:val="auto"/>
        </w:rPr>
        <w:t>At December 31, 2007, there were approximately 120 clearing firms. In 2007, one firm represented approximately 11% of</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and transaction fees revenue. No one firm represented more than 10% of our clearing and transaction fees revenue in 2006 or 2005. Should a clearing firm withdraw from either exchange, management believes the customer portion of that firm’s trading activity would likely transfer to another clearing firm. Therefore, management does not believe the company is exposed to significant risk from the loss of revenue received from a particular clearing firm.</w:t>
      </w:r>
    </w:p>
    <w:p>
      <w:pPr>
        <w:spacing w:after="0" w:line="62"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two largest resellers of market data represented approximately 67% of quotation data fees revenue in 2007, 55% in 2006, and 53% in 2005. Should one of these vendors no longer subscribe to the company’s market data, management believes the majority of that firm’s customers would likely subscribe to the market data through another reseller. Therefore, management does not believe the company is exposed to significant risk from a loss of revenue received from any particular market data reseller.</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Stock-Based Payments. </w:t>
      </w:r>
      <w:r>
        <w:rPr>
          <w:rFonts w:ascii="Arial" w:cs="Arial" w:eastAsia="Arial" w:hAnsi="Arial"/>
          <w:sz w:val="18"/>
          <w:szCs w:val="18"/>
          <w:color w:val="auto"/>
        </w:rPr>
        <w:t>The company accounts for stock-based payments under the fair value recognition provisions of SFAS No. 123(R),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All periods presented reflect stock-based compensation expense in accordance with the provisions of the effective guidance applied to all options granted or vested during the periods presented. The company recognizes expense relating to stock-based compensation on an accelerated basis. As a result, the expense associated with each vesting date within a stock grant is recognized over the period of time that each portion of that grant vests. Effective January 1, 2006, SFAS No. 123(R) required the company to estimate expected forfeitures of stock grants instead of the previous practice of accounting for forfeitures as they occur.</w:t>
      </w:r>
    </w:p>
    <w:p>
      <w:pPr>
        <w:spacing w:after="0" w:line="139"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74" w:lineRule="exact"/>
        <w:rPr>
          <w:sz w:val="20"/>
          <w:szCs w:val="20"/>
          <w:color w:val="auto"/>
        </w:rPr>
      </w:pPr>
    </w:p>
    <w:p>
      <w:pPr>
        <w:ind w:right="60"/>
        <w:spacing w:after="0" w:line="311"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Deferred income taxes are determined in accordance with SFAS No. 109, “Accounting for Income Taxes,” and arise from temporary differences</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the tax basis and book basis of assets and liabilities. A valuation allowance is recognized if it is anticipated that some or all of a deferred tax asset may not be realized. In June 2006, the Financial Accounting Standards Board (FASB) issued Financial Interpretation (FIN) No. 48, “Accounting for Uncertainty in Income Taxes – an Interpretation of FASB Statement No. 109,” which clarifies the accounting for uncertainty in income taxes recognized in a company’s financial statements and prescribes that a company should use a more-likely-than-not recognition threshold based on the technical merits of the tax position taken or expected to be taken. The interpretation provides guidance on recognition, classification, interest and penalties, accounting in interim periods, disclosure and transition. As of January 1, 2007, the company adopted FIN No. 48 and recorded an increase to current liabilities and a corresponding decrease to retained earnings as a result of a reassessment of its tax positions. The company classifies interest and penalties related to uncertain tax positions in income tax expense.</w:t>
      </w:r>
    </w:p>
    <w:p>
      <w:pPr>
        <w:spacing w:after="0" w:line="10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Based on materiality, GFX Corporation (GFX), a subsidiary of CME, Swapstream and the company’s real estate operations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reportable segments and, as a result, there is no disclosure of segment information.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WITH CBOT HOLDINGS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Effective July 12, 2007, pursuant to the merger agreement dated October 17, 2006, as amended, CME Holdings completed its merger with CBOT Holdings. The company entered into this merger primarily as a means to diversify and expand its existing product base, further leverage its existing operating model, and better position itself to compete against other U.S. and foreign exchanges as well as the over-the-counter market. These factors are the primary drivers behind the excess of purchase price over the value of the assets acquired and liabilities assumed.</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purchase accounting, CME Holdings is considered the acquirer of CBOT Holdings. The preliminary purchase price consists of the following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w w:val="93"/>
              </w:rPr>
              <w:t>Acquisition of outstanding common stock in exchange for CME Holdings’ common stock (52,843 CBOT Holdings shares x 0.375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ratio x $560.24 per CME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11,101,928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Acquisition of CBOT Holdings’ common stock prior to merger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CBOT Holdings’ stock options assumed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Merger-related transaction costs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11,195,091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Acquisition of common stock. </w:t>
      </w:r>
      <w:r>
        <w:rPr>
          <w:rFonts w:ascii="Arial" w:cs="Arial" w:eastAsia="Arial" w:hAnsi="Arial"/>
          <w:sz w:val="18"/>
          <w:szCs w:val="18"/>
          <w:color w:val="auto"/>
        </w:rPr>
        <w:t>Pursuant to the merger agreement, CBOT Holdings’ shareholders received 0.375 shares of Class A common stock of CME Group</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share of Class A common stock of CBOT Holdings issued and outstanding immediately prior to the effective time of the merger. This resulted in the issuance of 19.8 million shares of CME Group Class A common stock. The share price of $560.24 used to calculate the fair value of stock issued was based on the average closing price of CME Holdings Class A common stock for the five-day period beginning two trading days before and ending two trading days after July 6, 2007 (the merger agreement’s last amendment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acquired 100 shares of CBOT Holdings Class A common stock in early 2007 for cash of $19,000.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Fair value of stock options assumed. </w:t>
      </w:r>
      <w:r>
        <w:rPr>
          <w:rFonts w:ascii="Arial" w:cs="Arial" w:eastAsia="Arial" w:hAnsi="Arial"/>
          <w:sz w:val="16"/>
          <w:szCs w:val="16"/>
          <w:color w:val="auto"/>
        </w:rPr>
        <w:t>At the close of the merger, CBOT Holdings had 291,800 stock options outstanding. Each stock option was converted using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0.375 exchange ratio designated by the merger agreement. The preliminary fair value of stock options assumed was determined using a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$587.80, the closing price of the CME Holdings’ Class A common stock on July 12, 2007. The preliminary fair values of stock options were calculated using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Black-Scholes valuation model with the following assumptions: expected lives of 0.1 to 4.7 years; risk-free interest rate of 5.0%; expected volatility of 29%;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dividend yield of 0.6%. The portion of estimated fair value of unvested stock options related to future service has been allocated to deferred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is being amortized over the remaining vesting period.</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Holdings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Preliminary purchase price allocation. </w:t>
      </w:r>
      <w:r>
        <w:rPr>
          <w:rFonts w:ascii="Arial" w:cs="Arial" w:eastAsia="Arial" w:hAnsi="Arial"/>
          <w:sz w:val="18"/>
          <w:szCs w:val="18"/>
          <w:color w:val="auto"/>
        </w:rPr>
        <w:t>In accordance with SFAS No. 141, “Business Combinations,” the preliminary purchase was allocated to CBOT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net tangible and identifiable intangible assets based on their estimated fair values as of July 12, 2007 as set forth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current assets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Intangible assets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9,802,076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 net</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(3,924,126)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liabilities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stock-based compensation</w:t>
            </w:r>
          </w:p>
        </w:tc>
        <w:tc>
          <w:tcPr>
            <w:tcW w:w="5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and intangible assets</w:t>
            </w: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6,146,592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w:t>
            </w:r>
          </w:p>
        </w:tc>
        <w:tc>
          <w:tcPr>
            <w:tcW w:w="5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5,048,499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5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11,195,091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360" w:type="dxa"/>
            <w:vAlign w:val="bottom"/>
            <w:vMerge w:val="restart"/>
          </w:tcPr>
          <w:p>
            <w:pPr>
              <w:jc w:val="right"/>
              <w:ind w:right="4112"/>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Intangible assets and goodwill are not deductible for tax purposes except for an immaterial portion of goodwill attributable to tax-deductible merger-related transaction costs. The allocation of the purchase price was based on certain preliminary valuations and the estimates and assumptions are subject to change. The company expects to finalize its purchase price allocation within the next six months.</w:t>
      </w:r>
    </w:p>
    <w:p>
      <w:pPr>
        <w:spacing w:after="0" w:line="14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 performing the preliminary purchase price allocation, the company considered many factors including its intentions for the future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assets, analyses of historical financial performance and estimates of future performance. The preliminary fair value of the trade name was estimated using the relief from royalty method. The preliminary fair values for components of lease-related intangibles were derived from income capitalization and sale comparison approaches. The preliminary fair values for all other intangible assets were estimated using a multi-period excess earnings method. The following table sets forth the intangible assets identified in the merger at their preliminary fair values as of July 12, 2007: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Estimated</w:t>
            </w:r>
          </w:p>
        </w:tc>
      </w:tr>
      <w:tr>
        <w:trPr>
          <w:trHeight w:val="161"/>
        </w:trPr>
        <w:tc>
          <w:tcPr>
            <w:tcW w:w="46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740" w:type="dxa"/>
            <w:vAlign w:val="bottom"/>
          </w:tcPr>
          <w:p>
            <w:pPr>
              <w:spacing w:after="0"/>
              <w:rPr>
                <w:sz w:val="14"/>
                <w:szCs w:val="14"/>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Useful Life</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products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$ 7,987,000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Indefinite</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Clearing firm relationships (b)</w:t>
            </w:r>
          </w:p>
        </w:tc>
        <w:tc>
          <w:tcPr>
            <w:tcW w:w="840" w:type="dxa"/>
            <w:vAlign w:val="bottom"/>
          </w:tcPr>
          <w:p>
            <w:pPr>
              <w:jc w:val="right"/>
              <w:spacing w:after="0"/>
              <w:rPr>
                <w:sz w:val="20"/>
                <w:szCs w:val="20"/>
                <w:color w:val="auto"/>
              </w:rPr>
            </w:pPr>
            <w:r>
              <w:rPr>
                <w:rFonts w:ascii="Arial" w:cs="Arial" w:eastAsia="Arial" w:hAnsi="Arial"/>
                <w:sz w:val="18"/>
                <w:szCs w:val="18"/>
                <w:color w:val="auto"/>
              </w:rPr>
              <w:t>1,154,000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data customer relationships (b)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Trade name</w:t>
            </w:r>
          </w:p>
        </w:tc>
        <w:tc>
          <w:tcPr>
            <w:tcW w:w="840" w:type="dxa"/>
            <w:vAlign w:val="bottom"/>
          </w:tcPr>
          <w:p>
            <w:pPr>
              <w:jc w:val="right"/>
              <w:spacing w:after="0"/>
              <w:rPr>
                <w:sz w:val="20"/>
                <w:szCs w:val="20"/>
                <w:color w:val="auto"/>
              </w:rPr>
            </w:pPr>
            <w:r>
              <w:rPr>
                <w:rFonts w:ascii="Arial" w:cs="Arial" w:eastAsia="Arial" w:hAnsi="Arial"/>
                <w:sz w:val="18"/>
                <w:szCs w:val="18"/>
                <w:color w:val="auto"/>
              </w:rPr>
              <w:t>215,000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Indefinite</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Dow Jones licensing agreement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Real estate lease relationships</w:t>
            </w:r>
          </w:p>
        </w:tc>
        <w:tc>
          <w:tcPr>
            <w:tcW w:w="840" w:type="dxa"/>
            <w:vAlign w:val="bottom"/>
          </w:tcPr>
          <w:p>
            <w:pPr>
              <w:jc w:val="right"/>
              <w:spacing w:after="0"/>
              <w:rPr>
                <w:sz w:val="20"/>
                <w:szCs w:val="20"/>
                <w:color w:val="auto"/>
              </w:rPr>
            </w:pPr>
            <w:r>
              <w:rPr>
                <w:rFonts w:ascii="Arial" w:cs="Arial" w:eastAsia="Arial" w:hAnsi="Arial"/>
                <w:sz w:val="18"/>
                <w:szCs w:val="18"/>
                <w:color w:val="auto"/>
              </w:rPr>
              <w:t>23,411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rate and above market leases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Products in development (c)</w:t>
            </w:r>
          </w:p>
        </w:tc>
        <w:tc>
          <w:tcPr>
            <w:tcW w:w="840" w:type="dxa"/>
            <w:vAlign w:val="bottom"/>
          </w:tcPr>
          <w:p>
            <w:pPr>
              <w:jc w:val="right"/>
              <w:spacing w:after="0"/>
              <w:rPr>
                <w:sz w:val="20"/>
                <w:szCs w:val="20"/>
                <w:color w:val="auto"/>
              </w:rPr>
            </w:pPr>
            <w:r>
              <w:rPr>
                <w:rFonts w:ascii="Arial" w:cs="Arial" w:eastAsia="Arial" w:hAnsi="Arial"/>
                <w:sz w:val="18"/>
                <w:szCs w:val="18"/>
                <w:color w:val="auto"/>
              </w:rPr>
              <w:t>2,600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Indefinite</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Open interest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year</w:t>
            </w:r>
          </w:p>
        </w:tc>
        <w:tc>
          <w:tcPr>
            <w:tcW w:w="20" w:type="dxa"/>
            <w:vAlign w:val="bottom"/>
          </w:tcPr>
          <w:p>
            <w:pPr>
              <w:spacing w:after="0"/>
              <w:rPr>
                <w:sz w:val="18"/>
                <w:szCs w:val="18"/>
                <w:color w:val="auto"/>
              </w:rPr>
            </w:pPr>
          </w:p>
        </w:tc>
      </w:tr>
      <w:tr>
        <w:trPr>
          <w:trHeight w:val="222"/>
        </w:trPr>
        <w:tc>
          <w:tcPr>
            <w:tcW w:w="9060" w:type="dxa"/>
            <w:vAlign w:val="bottom"/>
            <w:gridSpan w:val="4"/>
          </w:tcPr>
          <w:p>
            <w:pPr>
              <w:ind w:left="460"/>
              <w:spacing w:after="0"/>
              <w:rPr>
                <w:sz w:val="20"/>
                <w:szCs w:val="20"/>
                <w:color w:val="auto"/>
              </w:rPr>
            </w:pPr>
            <w:r>
              <w:rPr>
                <w:rFonts w:ascii="Arial" w:cs="Arial" w:eastAsia="Arial" w:hAnsi="Arial"/>
                <w:sz w:val="18"/>
                <w:szCs w:val="18"/>
                <w:color w:val="auto"/>
              </w:rPr>
              <w:t>Total Intangible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$ 9,802,076</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Trading products include agricultural, financial and other trading product lines. The majority of these products have traded at CBOT for decades (and in some cases for more than 120 years) and authorizations by the U.S. Commodity Futures Trading Commission to trade these products are perpetual.</w:t>
      </w:r>
    </w:p>
    <w:p>
      <w:pPr>
        <w:ind w:left="460" w:right="4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Clearing firm and market data customer relationships represent the underlying relationships with CBOT’s current clearing firm and market data customer base. Due to their historically insignificant attrition rates, the amortization of clearing firm and market data customer relationships has been calculated on a straight-line basis. This method best reflects the estimated pattern in which the economic benefits from these relationships will be realized.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Products in development include products that have reached technological feasibility.</w:t>
      </w:r>
    </w:p>
    <w:p>
      <w:pPr>
        <w:spacing w:after="0" w:line="16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Pre-merger contingencies. </w:t>
      </w:r>
      <w:r>
        <w:rPr>
          <w:rFonts w:ascii="Arial" w:cs="Arial" w:eastAsia="Arial" w:hAnsi="Arial"/>
          <w:sz w:val="16"/>
          <w:szCs w:val="16"/>
          <w:color w:val="auto"/>
        </w:rPr>
        <w:t>The company has not identified any material unrecorded pre-merger contingencies that were both probable and reasonably estimable.</w:t>
      </w:r>
      <w:r>
        <w:rPr>
          <w:rFonts w:ascii="Arial" w:cs="Arial" w:eastAsia="Arial" w:hAnsi="Arial"/>
          <w:sz w:val="16"/>
          <w:szCs w:val="16"/>
          <w:i w:val="1"/>
          <w:iCs w:val="1"/>
          <w:color w:val="auto"/>
        </w:rPr>
        <w:t xml:space="preserve"> </w:t>
      </w:r>
      <w:r>
        <w:rPr>
          <w:rFonts w:ascii="Arial" w:cs="Arial" w:eastAsia="Arial" w:hAnsi="Arial"/>
          <w:sz w:val="16"/>
          <w:szCs w:val="16"/>
          <w:color w:val="auto"/>
        </w:rPr>
        <w:t>If prior to the end of the one-year purchase price allocation period, information becomes available which indicates that it is probable that such events had occurred and the amounts can be reasonably estimated, adjustments will be made to the purchase price allocation.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 forma results. </w:t>
      </w:r>
      <w:r>
        <w:rPr>
          <w:rFonts w:ascii="Arial" w:cs="Arial" w:eastAsia="Arial" w:hAnsi="Arial"/>
          <w:sz w:val="16"/>
          <w:szCs w:val="16"/>
          <w:color w:val="auto"/>
        </w:rPr>
        <w:t>The following unaudited condensed pro forma consolidated income statements assume that the merger was completed as of January 1, 2006.</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2,123,491</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1,634,981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940,779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47,088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717,597</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Earnings per Common Share – Diluted</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pro forma information has been prepared for comparative purposes only and is not intended to be indicative of past or future results. The pro forma information for all periods presented includes purchase accounting effects on historical CBOT Holdings’ operating results, amortization of purchased intangibles, stock-based compensation expense for unvested stock options assumed, and the impact on investment income of CBOT Holdings’ special dividend, which was paid under the terms of the merger agreement. Pro forma results for the years ended December 31, 2007 and 2006 include CBOT Holdings’ merger-related transaction costs of approximately $63.0 million and $11.0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SECURITIES LENDING</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Securities lending transactions utilize a portion of the securities that clearing firms have deposited to satisfy their proprietary performance bond requirements. At December 31, 2007, the securities lending program utilized some of the securities deposited by 19 clearing firms. At December 31, 2007 and 2006, the par value of securities available totaled $7.3 billion and $7.6 billion, respectively.</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Under its securities lending program, CME lends a security to a third party on an overnight basis and receives collateral in the form of cash. The cash is then invested on an overnight basis to generate interest income. At December 31, 2007, collateral from securities lending was invested in either a bank money market mutual fund or overnight repurchase agreement. The related interest expense represents payment to the borrower of the security for the cash collateral retained during the duration of the lending transaction. Securities on loan are marked to market daily and compared to collateral received.</w:t>
      </w:r>
    </w:p>
    <w:p>
      <w:pPr>
        <w:spacing w:after="0" w:line="11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CME’s policy allows lending of up to 70% of total securities available from clearing firms. At December 31, 2007 and 2006, the fair value of securities on loan was $2.9 billion and $2.1 billion, respectively. The average daily balance of securities on loan for the years ended December 31, 2007, 2006 and 2005 was $2.3 billion, $1.9 billion and $1.8 billion,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 for sale. The amortized cost and fair value of these securities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860" w:type="dxa"/>
            <w:vAlign w:val="bottom"/>
            <w:gridSpan w:val="4"/>
          </w:tcPr>
          <w:p>
            <w:pPr>
              <w:jc w:val="right"/>
              <w:ind w:right="58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740" w:type="dxa"/>
            <w:vAlign w:val="bottom"/>
            <w:gridSpan w:val="4"/>
          </w:tcPr>
          <w:p>
            <w:pPr>
              <w:jc w:val="right"/>
              <w:ind w:right="60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46"/>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8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00" w:type="dxa"/>
            <w:vAlign w:val="bottom"/>
          </w:tcPr>
          <w:p>
            <w:pPr>
              <w:jc w:val="right"/>
              <w:ind w:right="14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$ 165,355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$ 165,765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$ 205,552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$ 203,419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$ 179,882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$ 180,261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$ 253,426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$ 250,718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80" w:type="dxa"/>
            <w:vAlign w:val="bottom"/>
            <w:vMerge w:val="restart"/>
          </w:tcPr>
          <w:p>
            <w:pPr>
              <w:jc w:val="right"/>
              <w:ind w:right="2096"/>
              <w:spacing w:after="0"/>
              <w:rPr>
                <w:sz w:val="20"/>
                <w:szCs w:val="20"/>
                <w:color w:val="auto"/>
              </w:rPr>
            </w:pPr>
            <w:r>
              <w:rPr>
                <w:rFonts w:ascii="Arial" w:cs="Arial" w:eastAsia="Arial" w:hAnsi="Arial"/>
                <w:sz w:val="18"/>
                <w:szCs w:val="18"/>
                <w:color w:val="auto"/>
              </w:rPr>
              <w:t>87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Net unrealized gains (losses) on marketable securities classified as available for sale are reported as a component of comprehensive income (loss) and included in the accompanying consolidated statements of shareholders’ equity. The fair value and the continuous duration of gross unrealized losses on marketable securities with unrealized losses that are not deemed to be other-than-temporarily impaired, at December 31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90"/>
              </w:rPr>
              <w:t>Less than 12 Months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12 Months or Greater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0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6"/>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4"/>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84"/>
              </w:rPr>
              <w:t>$ —</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34,271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4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3"/>
            <w:vMerge w:val="continue"/>
          </w:tcPr>
          <w:p>
            <w:pPr>
              <w:spacing w:after="0"/>
              <w:rPr>
                <w:sz w:val="19"/>
                <w:szCs w:val="19"/>
                <w:color w:val="auto"/>
              </w:rPr>
            </w:pPr>
          </w:p>
        </w:tc>
        <w:tc>
          <w:tcPr>
            <w:tcW w:w="400" w:type="dxa"/>
            <w:vAlign w:val="bottom"/>
          </w:tcPr>
          <w:p>
            <w:pPr>
              <w:jc w:val="right"/>
              <w:ind w:right="21"/>
              <w:spacing w:after="0"/>
              <w:rPr>
                <w:sz w:val="20"/>
                <w:szCs w:val="20"/>
                <w:color w:val="auto"/>
              </w:rPr>
            </w:pPr>
            <w:r>
              <w:rPr>
                <w:rFonts w:ascii="Arial" w:cs="Arial" w:eastAsia="Arial" w:hAnsi="Arial"/>
                <w:sz w:val="18"/>
                <w:szCs w:val="18"/>
                <w:color w:val="auto"/>
                <w:w w:val="84"/>
              </w:rPr>
              <w:t>$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46,986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46,986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2006</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90"/>
              </w:rPr>
              <w:t>Less than 12 Months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12 Months or Greater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0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6"/>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4"/>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84"/>
              </w:rPr>
              <w:t>$ —</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173,550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173,550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4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20,322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3"/>
            <w:vMerge w:val="continue"/>
          </w:tcPr>
          <w:p>
            <w:pPr>
              <w:spacing w:after="0"/>
              <w:rPr>
                <w:sz w:val="19"/>
                <w:szCs w:val="19"/>
                <w:color w:val="auto"/>
              </w:rPr>
            </w:pPr>
          </w:p>
        </w:tc>
        <w:tc>
          <w:tcPr>
            <w:tcW w:w="400" w:type="dxa"/>
            <w:vAlign w:val="bottom"/>
          </w:tcPr>
          <w:p>
            <w:pPr>
              <w:jc w:val="right"/>
              <w:ind w:right="21"/>
              <w:spacing w:after="0"/>
              <w:rPr>
                <w:sz w:val="20"/>
                <w:szCs w:val="20"/>
                <w:color w:val="auto"/>
              </w:rPr>
            </w:pPr>
            <w:r>
              <w:rPr>
                <w:rFonts w:ascii="Arial" w:cs="Arial" w:eastAsia="Arial" w:hAnsi="Arial"/>
                <w:sz w:val="18"/>
                <w:szCs w:val="18"/>
                <w:color w:val="auto"/>
                <w:w w:val="84"/>
              </w:rPr>
              <w:t>$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215,741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215,741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unrealized losses were caused by increases in interest rates that occurred after the marketable securities were purchased. The company has the ability and intent to hold these marketable securities until a recovery of fair value, which may be maturity, and therefore does not consider these investments to be other-than-temporarily impaired at December 31, 2007 or 2006. Unrealized gains on marketable securities totaled $472,000 at December 31, 2007 and $38,000 at December 31, 2006.</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December 31, 2007, all marketable securities with a contractual maturity date were scheduled to mature within one year or less. The amortized cost and the fair value of these securities were $179.9 million and $180.2 million, respectively, at December 31, 2007.</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CME’s policy allows it to pledge U.S. Treasury securities as performance bond collateral in lieu of, or in combination with, irrevocable letters of credit for the mutual offset agreement with Singapore Exchange Limited (SGX) (note 19). CME may pledge up to a maximum of $100.0 million measured as the aggregate fair value at the time of any collateral adjustment. CME retains the earnings on the securities and may substitute letters of credit for these securities at its discretion. The aggregate fair value of pledged securities was $100.1 million and $100.7 million at December 31, 2007 and 2006, respectively. Pledged securities are included within marketable securities in the consolidated balance sheets.</w:t>
      </w:r>
    </w:p>
    <w:p>
      <w:pPr>
        <w:spacing w:after="0" w:line="137"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Trading Securities. </w:t>
      </w:r>
      <w:r>
        <w:rPr>
          <w:rFonts w:ascii="Arial" w:cs="Arial" w:eastAsia="Arial" w:hAnsi="Arial"/>
          <w:sz w:val="16"/>
          <w:szCs w:val="16"/>
          <w:color w:val="auto"/>
        </w:rPr>
        <w:t>CME maintains additional investments in a diverse portfolio of mutual funds related to its non-qualified deferred compensation plan (note</w:t>
      </w:r>
      <w:r>
        <w:rPr>
          <w:rFonts w:ascii="Arial" w:cs="Arial" w:eastAsia="Arial" w:hAnsi="Arial"/>
          <w:sz w:val="16"/>
          <w:szCs w:val="16"/>
          <w:b w:val="1"/>
          <w:bCs w:val="1"/>
          <w:color w:val="auto"/>
        </w:rPr>
        <w:t xml:space="preserve"> </w:t>
      </w:r>
      <w:r>
        <w:rPr>
          <w:rFonts w:ascii="Arial" w:cs="Arial" w:eastAsia="Arial" w:hAnsi="Arial"/>
          <w:sz w:val="16"/>
          <w:szCs w:val="16"/>
          <w:color w:val="auto"/>
        </w:rPr>
        <w:t>16). The fair value of these securities was $23.0 million and $18.8 million at December 31, 2007 and 2006, respectively.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income taxes (note 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Prepaid technology license and maintenance contracts</w:t>
            </w:r>
          </w:p>
        </w:tc>
        <w:tc>
          <w:tcPr>
            <w:tcW w:w="580" w:type="dxa"/>
            <w:vAlign w:val="bottom"/>
          </w:tcPr>
          <w:p>
            <w:pPr>
              <w:jc w:val="right"/>
              <w:spacing w:after="0"/>
              <w:rPr>
                <w:sz w:val="20"/>
                <w:szCs w:val="20"/>
                <w:color w:val="auto"/>
              </w:rPr>
            </w:pPr>
            <w:r>
              <w:rPr>
                <w:rFonts w:ascii="Arial" w:cs="Arial" w:eastAsia="Arial" w:hAnsi="Arial"/>
                <w:sz w:val="18"/>
                <w:szCs w:val="18"/>
                <w:color w:val="auto"/>
              </w:rPr>
              <w:t>12,595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580" w:type="dxa"/>
            <w:vAlign w:val="bottom"/>
          </w:tcPr>
          <w:p>
            <w:pPr>
              <w:jc w:val="right"/>
              <w:spacing w:after="0"/>
              <w:rPr>
                <w:sz w:val="20"/>
                <w:szCs w:val="20"/>
                <w:color w:val="auto"/>
              </w:rPr>
            </w:pPr>
            <w:r>
              <w:rPr>
                <w:rFonts w:ascii="Arial" w:cs="Arial" w:eastAsia="Arial" w:hAnsi="Arial"/>
                <w:sz w:val="18"/>
                <w:szCs w:val="18"/>
                <w:color w:val="auto"/>
              </w:rPr>
              <w:t>5,464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Due from broker</w:t>
            </w:r>
          </w:p>
        </w:tc>
        <w:tc>
          <w:tcPr>
            <w:tcW w:w="580" w:type="dxa"/>
            <w:vAlign w:val="bottom"/>
          </w:tcPr>
          <w:p>
            <w:pPr>
              <w:jc w:val="right"/>
              <w:spacing w:after="0"/>
              <w:rPr>
                <w:sz w:val="20"/>
                <w:szCs w:val="20"/>
                <w:color w:val="auto"/>
              </w:rPr>
            </w:pPr>
            <w:r>
              <w:rPr>
                <w:rFonts w:ascii="Arial" w:cs="Arial" w:eastAsia="Arial" w:hAnsi="Arial"/>
                <w:sz w:val="18"/>
                <w:szCs w:val="18"/>
                <w:color w:val="auto"/>
              </w:rPr>
              <w:t>3,595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contract receivable (note 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55,900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PERFORMANCE BONDS AND SECURITY DEPOSITS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CME clears and guarantees the settlement of CME, CBOT and FXMarketSpace Limited (FXMS) contracts traded in their respective markets. In its guarantor role, CME has precisely equal and offsetting claims to and from clearing firms on opposite sides of each contract, standing as an intermediary on every contract cleared. Clearing firm positions are combined to create a single portfolio for each clearing firm’s regulated and non-regulated accounts with CME for which performance bond and security deposit requirements are calculated. To the extent that funds are not otherwise available to CME to satisfy an obligation under the applicable contract, CME bears counterparty credit risk in the event that future market movements create conditions that could lead to clearing firms failing to meet their obligations to CME. CME reduces its exposure through a risk management program that includes initial and ongoing financial standards for designation as a clearing firm, initial and maintenance performance bond requirements and mandatory security deposits. Each clearing firm is required to deposit and maintain balances in the form of cash, U.S. Government securities, bank letters of credit or other approved investments to satisfy security deposit and performance bond requirements. All obligations and non-cash deposits are marked to market on a daily basis.</w:t>
      </w:r>
    </w:p>
    <w:p>
      <w:pPr>
        <w:spacing w:after="0" w:line="120"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have deposited cash and U.S. Treasury securities.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Beginning in February 2007, CME began clearing the over-the-counter foreign exchange products for FXMS. CME requires the deposit and maintenance of performance bonds and security deposits for these products. The cash portion of these performance bonds and security deposits are reflected in the consolidated balance sheet as of December 31, 2007.</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performance bonds and security deposits are included in the consolidated balance sheets, and these balances may fluctuate significantly over time due to the investment choices available to clearing firms and any change in the amount of deposits required. Securities deposited are not reflected in the consolidated financial statements and CME does not earn any interest on these deposits.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Clearing firms, at their option, may instruct CME to deposit the cash held by CME into one of four IEF programs. The total principal in all IEF programs was</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$19.2 billion at December 31, 2007 and $15.8 billion at December 31, 2006. The security deposits held in the IEF2 program may be used as collateral for CME’s $800.0 million revolving line of credit. The consolidated statements of income reflect management fees earned under the IEF programs of $8.4 million, $8.4 million and $8.6 million during 2007, 2006 and 2005, respectively. These fees are included in other revenues.</w:t>
      </w:r>
    </w:p>
    <w:p>
      <w:pPr>
        <w:spacing w:after="0" w:line="1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CME and the Options Clearing Corporation (OCC) have a cross-margin arrangement, whereby a common clearing firm may maintain a cross-margin account in which the clearing firm’s positions in certain CME futures and options are combined with certain positions cleared by OCC for purposes of calculating performance bond requirements. The performance bond deposits are held jointly by CME and OCC (note 19). Cross-margin cash, securities and letters of credit jointly held with OCC under the cross-margin agreement are reflected at 50% of the total, or CME’s proportionate share per that agreement. In addition, CME has cross-margin agreements with LCH.Clearnet Group (LCH), the Fixed Income Clearing Corporation (FICC) and NYMEX whereby the clearing firms’ offsetting positions with CME and LCH, CME and FICC, or CME and NYMEX, as applicable, are subject to reduced performance bond requirements. Clearing firms maintain separate performance bond deposits with each clearing house, but depending on the net offsetting positions between CME and LCH, CME and FICC, or CME and NYMEX, as applicable, each clearing house may reduce that firm’s performance bond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Each clearing firm is also required to deposit and maintain specified security deposits in the form of cash or approved securities. In the event that performance bonds, security deposits, and other assets required to support clearing membership of a defaulting clearing firm are inadequate to fulfill that clearing firm’s outstanding financial obligation, the entire security deposit fund is available to cover potential losses after first utilizing operating funds of CME in excess of amounts needed for normal operations (surplus funds). Surplus funds totaled $190.9 million at December 31, 2007.</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CME maintains a secured line of credit with a consortium of banks to provide liquidity and capacity to pay settlement variation to all clearing firms, even if a clearing firm may have failed to meet its financial obligations to CME, or in the event of a temporary disruption with the domestic payments system that would delay payment of settlement variation between the CME and the clearing firms (note 12). The amount available under the line of credit totaled $800.0 million at December 31, 2007. Additionally, CME has an option to request an increase in the credit facility to $1.0 billion. Clearing firm security deposits received in the form of U.S. Treasury or Government agency securities, or in money market mutual funds purchased through IEF2, as well as the performance bond assets of any firm that may default on its obligations to CME, can be used to collateralize the secured line of credit.</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CME is required under the Commodity Exchange Act to segregate cash and securities deposited by clearing firms on behalf of their customers. In addition, CME rules require a segregation of all funds deposited by clearing firms from its operating funds.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Cash and securities held as performance bonds and security deposits at fair value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27"/>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7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IEF Funds</w:t>
            </w:r>
          </w:p>
        </w:tc>
        <w:tc>
          <w:tcPr>
            <w:tcW w:w="12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IEF Funds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2"/>
              </w:rPr>
              <w:t>$ 799,078</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$ 57,165,539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$ 505,964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$ 47,270,561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18,623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1,440,034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15,148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486,157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15,321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49,840</w:t>
            </w:r>
          </w:p>
        </w:tc>
        <w:tc>
          <w:tcPr>
            <w:tcW w:w="1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2"/>
              </w:rPr>
              <w:t>$ 833,022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$ 59,141,570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$ 521,180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$ 48,794,784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$137.5 million at December 31, 2007 and $42.0 million at December 31, 2006. These amounts are invested on an overnight basis and are offset by an equal liability owed to clearing firms.</w:t>
      </w:r>
    </w:p>
    <w:p>
      <w:pPr>
        <w:spacing w:after="0" w:line="14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addition to cash and securities, irrevocable letters of credit may be used as performance bond deposits and security deposits. At December 31, these letters of credit, which are not included in the accompanying consolidated balance sheets,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0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$ 2,751,900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$ 1,453,070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Letters of Credit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2,796,900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cash, securities and letters of credit are only available to meet the financial obligations of that clearing firm to CME.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Building and building improvements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283,004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and software development costs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181,833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gridSpan w:val="3"/>
          </w:tcPr>
          <w:p>
            <w:pPr>
              <w:spacing w:after="0"/>
              <w:rPr>
                <w:sz w:val="20"/>
                <w:szCs w:val="20"/>
                <w:color w:val="auto"/>
              </w:rPr>
            </w:pPr>
            <w:r>
              <w:rPr>
                <w:rFonts w:ascii="Arial" w:cs="Arial" w:eastAsia="Arial" w:hAnsi="Arial"/>
                <w:sz w:val="18"/>
                <w:szCs w:val="18"/>
                <w:color w:val="auto"/>
              </w:rPr>
              <w:t>Total property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812,573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515,286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(435,121)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(346,531)</w:t>
            </w:r>
          </w:p>
        </w:tc>
        <w:tc>
          <w:tcPr>
            <w:tcW w:w="0" w:type="dxa"/>
            <w:vAlign w:val="bottom"/>
          </w:tcPr>
          <w:p>
            <w:pPr>
              <w:spacing w:after="0"/>
              <w:rPr>
                <w:sz w:val="1"/>
                <w:szCs w:val="1"/>
                <w:color w:val="auto"/>
              </w:rPr>
            </w:pPr>
          </w:p>
        </w:tc>
      </w:tr>
      <w:tr>
        <w:trPr>
          <w:trHeight w:val="222"/>
        </w:trPr>
        <w:tc>
          <w:tcPr>
            <w:tcW w:w="9620" w:type="dxa"/>
            <w:vAlign w:val="bottom"/>
            <w:gridSpan w:val="3"/>
          </w:tcPr>
          <w:p>
            <w:pPr>
              <w:spacing w:after="0"/>
              <w:rPr>
                <w:sz w:val="20"/>
                <w:szCs w:val="20"/>
                <w:color w:val="auto"/>
              </w:rPr>
            </w:pPr>
            <w:r>
              <w:rPr>
                <w:rFonts w:ascii="Arial" w:cs="Arial" w:eastAsia="Arial" w:hAnsi="Arial"/>
                <w:sz w:val="18"/>
                <w:szCs w:val="18"/>
                <w:color w:val="auto"/>
              </w:rPr>
              <w:t>Property,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377,452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168,755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July 2007, the company merged with CBOT Holdings. In connection with the merger, the company recorded goodwill and identifiable intangibles assets. Indefinite-lived intangibles consist primarily of trading products. Acquired amortizable intangible assets included primarily customer relationships, the Dow Jones &amp; Company, Inc. (Dow Jones) licensing agreement and real estate intangibles. The values of goodwill and identifiable intangibles assets are based on a preliminary purchase price allocation as of December 31, 2007.</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2006, the company acquired Swapstream. In connection with the acquisition, the company recorded goodwill and identifiable intangible assets. Intangible assets consisted primarily of customer relationships and technology-related intellectual property. Additionally, during 2004, the company acquired a contractual market making and non-compete agreement from Liquidity Direct Technology, LLC, a private trading technology firm whose assets were acquired in 2004. The firm developed technology to facilitate the trading of complex combinations and spreads typically used with options.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for the years ended December 31, 2007 and 2006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31,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Activity</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7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8"/>
              </w:rPr>
              <w:t>Activity(a)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Acquisition</w:t>
            </w:r>
          </w:p>
        </w:tc>
        <w:tc>
          <w:tcPr>
            <w:tcW w:w="8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Swapstream</w:t>
            </w:r>
          </w:p>
        </w:tc>
        <w:tc>
          <w:tcPr>
            <w:tcW w:w="1700" w:type="dxa"/>
            <w:vAlign w:val="bottom"/>
            <w:gridSpan w:val="2"/>
            <w:shd w:val="clear" w:color="auto" w:fill="CCEEFF"/>
          </w:tcPr>
          <w:p>
            <w:pPr>
              <w:ind w:left="16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10,982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514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CBOT Holdings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5,048,499</w:t>
            </w: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(11,183)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5,037,316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700" w:type="dxa"/>
            <w:vAlign w:val="bottom"/>
            <w:gridSpan w:val="2"/>
            <w:shd w:val="clear" w:color="auto" w:fill="CCEEFF"/>
          </w:tcPr>
          <w:p>
            <w:pPr>
              <w:ind w:left="16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10,982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514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5,048,499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(10,784)</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5,049,211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activity includes a foreign currency translation adjustment for Swapstream and the recognition of excess tax benefits upon exercise of stock options assumed from CBOT Holdings.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Intagible assets consisted of the following at December 31, 2007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0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Intangible Assets with Finite Lives: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$1,480,700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(23,415)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$ 1,457,285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Dow Jones licensing agreement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Lease-related intangibles</w:t>
            </w:r>
          </w:p>
        </w:tc>
        <w:tc>
          <w:tcPr>
            <w:tcW w:w="800" w:type="dxa"/>
            <w:vAlign w:val="bottom"/>
          </w:tcPr>
          <w:p>
            <w:pPr>
              <w:jc w:val="right"/>
              <w:spacing w:after="0"/>
              <w:rPr>
                <w:sz w:val="20"/>
                <w:szCs w:val="20"/>
                <w:color w:val="auto"/>
              </w:rPr>
            </w:pPr>
            <w:r>
              <w:rPr>
                <w:rFonts w:ascii="Arial" w:cs="Arial" w:eastAsia="Arial" w:hAnsi="Arial"/>
                <w:sz w:val="18"/>
                <w:szCs w:val="18"/>
                <w:color w:val="auto"/>
              </w:rPr>
              <w:t>42,176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39,650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maker agreement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Technology-related intellectual property</w:t>
            </w:r>
          </w:p>
        </w:tc>
        <w:tc>
          <w:tcPr>
            <w:tcW w:w="800" w:type="dxa"/>
            <w:vAlign w:val="bottom"/>
          </w:tcPr>
          <w:p>
            <w:pPr>
              <w:jc w:val="right"/>
              <w:spacing w:after="0"/>
              <w:rPr>
                <w:sz w:val="20"/>
                <w:szCs w:val="20"/>
                <w:color w:val="auto"/>
              </w:rPr>
            </w:pPr>
            <w:r>
              <w:rPr>
                <w:rFonts w:ascii="Arial" w:cs="Arial" w:eastAsia="Arial" w:hAnsi="Arial"/>
                <w:sz w:val="18"/>
                <w:szCs w:val="18"/>
                <w:color w:val="auto"/>
              </w:rPr>
              <w:t>4,100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spacing w:after="0"/>
              <w:rPr>
                <w:sz w:val="20"/>
                <w:szCs w:val="20"/>
                <w:color w:val="auto"/>
              </w:rPr>
            </w:pPr>
            <w:r>
              <w:rPr>
                <w:rFonts w:ascii="Arial" w:cs="Arial" w:eastAsia="Arial" w:hAnsi="Arial"/>
                <w:sz w:val="18"/>
                <w:szCs w:val="18"/>
                <w:color w:val="auto"/>
              </w:rPr>
              <w:t>Total Amortizable Intangible Assets</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4"/>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$1,615,958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(36,769)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1,579,189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15,378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Intangible Assets with Indefinite Lives: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Trading products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$7,987,000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$ 7,987,000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Products in development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Indefinite-Lived Intangible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8,204,600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8,204,600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4"/>
          </w:tcPr>
          <w:p>
            <w:pPr>
              <w:spacing w:after="0"/>
              <w:rPr>
                <w:sz w:val="20"/>
                <w:szCs w:val="20"/>
                <w:color w:val="auto"/>
              </w:rPr>
            </w:pPr>
            <w:r>
              <w:rPr>
                <w:rFonts w:ascii="Arial" w:cs="Arial" w:eastAsia="Arial" w:hAnsi="Arial"/>
                <w:sz w:val="18"/>
                <w:szCs w:val="18"/>
                <w:color w:val="auto"/>
              </w:rPr>
              <w:t>Total Intangible Assets</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9,820,558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(36,769)</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9,783,789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15,378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intangible assets consist primarily of open interest, non-compete agreements, trade names and foreign currency translation adjustments.</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Total amortization expense for intangible assets was $33.9 million, $1.3 million and $0.7 million for the years ended December 31, 2007, 2006 and 2005,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the future estimated amortization expense related to amortizable intangible assets is expected to be:</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60" w:type="dxa"/>
            <w:vAlign w:val="bottom"/>
            <w:shd w:val="clear" w:color="auto" w:fill="CCEEFF"/>
          </w:tcPr>
          <w:p>
            <w:pPr>
              <w:jc w:val="right"/>
              <w:ind w:right="3332"/>
              <w:spacing w:after="0"/>
              <w:rPr>
                <w:sz w:val="20"/>
                <w:szCs w:val="20"/>
                <w:color w:val="auto"/>
              </w:rPr>
            </w:pPr>
            <w:r>
              <w:rPr>
                <w:rFonts w:ascii="Arial" w:cs="Arial" w:eastAsia="Arial" w:hAnsi="Arial"/>
                <w:sz w:val="18"/>
                <w:szCs w:val="18"/>
                <w:color w:val="auto"/>
                <w:w w:val="79"/>
              </w:rPr>
              <w:t>2008</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$64,505</w:t>
            </w:r>
          </w:p>
        </w:tc>
      </w:tr>
      <w:tr>
        <w:trPr>
          <w:trHeight w:val="216"/>
        </w:trPr>
        <w:tc>
          <w:tcPr>
            <w:tcW w:w="3760" w:type="dxa"/>
            <w:vAlign w:val="bottom"/>
          </w:tcPr>
          <w:p>
            <w:pPr>
              <w:jc w:val="right"/>
              <w:ind w:right="3332"/>
              <w:spacing w:after="0"/>
              <w:rPr>
                <w:sz w:val="20"/>
                <w:szCs w:val="20"/>
                <w:color w:val="auto"/>
              </w:rPr>
            </w:pPr>
            <w:r>
              <w:rPr>
                <w:rFonts w:ascii="Arial" w:cs="Arial" w:eastAsia="Arial" w:hAnsi="Arial"/>
                <w:sz w:val="18"/>
                <w:szCs w:val="18"/>
                <w:color w:val="auto"/>
                <w:w w:val="79"/>
              </w:rPr>
              <w:t>2009</w:t>
            </w:r>
          </w:p>
        </w:tc>
        <w:tc>
          <w:tcPr>
            <w:tcW w:w="4000" w:type="dxa"/>
            <w:vAlign w:val="bottom"/>
          </w:tcPr>
          <w:p>
            <w:pPr>
              <w:jc w:val="right"/>
              <w:spacing w:after="0"/>
              <w:rPr>
                <w:sz w:val="20"/>
                <w:szCs w:val="20"/>
                <w:color w:val="auto"/>
              </w:rPr>
            </w:pPr>
            <w:r>
              <w:rPr>
                <w:rFonts w:ascii="Arial" w:cs="Arial" w:eastAsia="Arial" w:hAnsi="Arial"/>
                <w:sz w:val="18"/>
                <w:szCs w:val="18"/>
                <w:color w:val="auto"/>
              </w:rPr>
              <w:t>64,356</w:t>
            </w:r>
          </w:p>
        </w:tc>
      </w:tr>
      <w:tr>
        <w:trPr>
          <w:trHeight w:val="216"/>
        </w:trPr>
        <w:tc>
          <w:tcPr>
            <w:tcW w:w="3760" w:type="dxa"/>
            <w:vAlign w:val="bottom"/>
            <w:shd w:val="clear" w:color="auto" w:fill="CCEEFF"/>
          </w:tcPr>
          <w:p>
            <w:pPr>
              <w:jc w:val="right"/>
              <w:ind w:right="3332"/>
              <w:spacing w:after="0"/>
              <w:rPr>
                <w:sz w:val="20"/>
                <w:szCs w:val="20"/>
                <w:color w:val="auto"/>
              </w:rPr>
            </w:pPr>
            <w:r>
              <w:rPr>
                <w:rFonts w:ascii="Arial" w:cs="Arial" w:eastAsia="Arial" w:hAnsi="Arial"/>
                <w:sz w:val="18"/>
                <w:szCs w:val="18"/>
                <w:color w:val="auto"/>
                <w:w w:val="79"/>
              </w:rPr>
              <w:t>2010</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64,077</w:t>
            </w:r>
          </w:p>
        </w:tc>
      </w:tr>
      <w:tr>
        <w:trPr>
          <w:trHeight w:val="216"/>
        </w:trPr>
        <w:tc>
          <w:tcPr>
            <w:tcW w:w="3760" w:type="dxa"/>
            <w:vAlign w:val="bottom"/>
          </w:tcPr>
          <w:p>
            <w:pPr>
              <w:jc w:val="right"/>
              <w:ind w:right="3332"/>
              <w:spacing w:after="0"/>
              <w:rPr>
                <w:sz w:val="20"/>
                <w:szCs w:val="20"/>
                <w:color w:val="auto"/>
              </w:rPr>
            </w:pPr>
            <w:r>
              <w:rPr>
                <w:rFonts w:ascii="Arial" w:cs="Arial" w:eastAsia="Arial" w:hAnsi="Arial"/>
                <w:sz w:val="18"/>
                <w:szCs w:val="18"/>
                <w:color w:val="auto"/>
                <w:w w:val="79"/>
              </w:rPr>
              <w:t>2011</w:t>
            </w:r>
          </w:p>
        </w:tc>
        <w:tc>
          <w:tcPr>
            <w:tcW w:w="4000" w:type="dxa"/>
            <w:vAlign w:val="bottom"/>
          </w:tcPr>
          <w:p>
            <w:pPr>
              <w:jc w:val="right"/>
              <w:spacing w:after="0"/>
              <w:rPr>
                <w:sz w:val="20"/>
                <w:szCs w:val="20"/>
                <w:color w:val="auto"/>
              </w:rPr>
            </w:pPr>
            <w:r>
              <w:rPr>
                <w:rFonts w:ascii="Arial" w:cs="Arial" w:eastAsia="Arial" w:hAnsi="Arial"/>
                <w:sz w:val="18"/>
                <w:szCs w:val="18"/>
                <w:color w:val="auto"/>
              </w:rPr>
              <w:t>63,689</w:t>
            </w:r>
          </w:p>
        </w:tc>
      </w:tr>
      <w:tr>
        <w:trPr>
          <w:trHeight w:val="216"/>
        </w:trPr>
        <w:tc>
          <w:tcPr>
            <w:tcW w:w="3760" w:type="dxa"/>
            <w:vAlign w:val="bottom"/>
            <w:shd w:val="clear" w:color="auto" w:fill="CCEEFF"/>
          </w:tcPr>
          <w:p>
            <w:pPr>
              <w:jc w:val="right"/>
              <w:ind w:right="3332"/>
              <w:spacing w:after="0"/>
              <w:rPr>
                <w:sz w:val="20"/>
                <w:szCs w:val="20"/>
                <w:color w:val="auto"/>
              </w:rPr>
            </w:pPr>
            <w:r>
              <w:rPr>
                <w:rFonts w:ascii="Arial" w:cs="Arial" w:eastAsia="Arial" w:hAnsi="Arial"/>
                <w:sz w:val="18"/>
                <w:szCs w:val="18"/>
                <w:color w:val="auto"/>
                <w:w w:val="79"/>
              </w:rPr>
              <w:t>2012</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 IN JOINT VENTURES AND RELATED PARTY TRANSACTIONS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May 2006, the company entered into an agreement with Reuters Group PLC and its wholly-owned subsidiaries, Reuters Holdings Limited and Reuters Limited (Reuters, collectively), to create FXMS, the world’s first centrally-cleared, global foreign exchange marketplace, through a joint venture owned 50% each by CME Group and Reuters. The company’s investment in FXMS is recorded using the equity method of accounting and is not a variable interest entity under FIN No. 46(R), “Consolidation of Variable Interest Entities.” The investment balance of $13.6 million at December 31, 2007 includes $32.9 million of cumulative capital contributions of which $19.0 million was contributed in 2007. Capital contributions are reduced by the company’s proportionate share of FXMS’ periodic operating results. Net losses are included in equity in losses of unconsolidated subsidiaries in the consolidated statements of income and totaled $13.2 million and $6.1 million for the years ended December 31, 2007 and 2006, respectively.</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CME provides trading, clearing, regulatory, and billing services to FXMS pursuant to the terms of servicing and licensing agreements. Deferred revenue related to future services totaled $9.5 million and $10.2 million as of December 31, 2007 and 2006, respectively, and is included in other current liabilities and other liabilities. Deferred revenue is recognized on a straight-line basis over the term of service, which began in February 2007. Deferred revenue related to trading, clearing and regulatory services is recognized over five years. Deferred revenue related to billing services is recognized over three years. Recognition of deferred revenue and monthly fees earned for ongoing trading, clearing, regulatory, and billing services totaled $2.6 million for the year ended December 31, 2007. CME has also entered into a sublease agreement to lease a portion of its office space in London to FXMS (note 18).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accounts for its interest in OneChicago, a joint venture, under the equity method of accounting. OneChicago is not a variable interest entity as defined under FIN No. 46(R). On March 15, 2006, Interactive Brokers Group LLC made an investment for a 40% interest in OneChicago. As a result, CME’s ownership decreased from approximately 40% to 24%. During 2007, as a result of the merger with CBOT Holdings, the company acquired an additional 5% ownership interest which totaled $0.9 million at December 31, 2007. The company’s total investment balance of $5.0 million at December 31, 2007 also includes capital contributions of $15.7 million and an increase in the investment of $4.3 million resulting from Interactive Brokers Group LLC’s investment, reduced by the company’s proportionate share of the joint venture’s periodic net losses. Net losses are included in equity in losses of unconsolidated subsidiaries in the consolidated statements of income and totaled $0.8 million, $0.8 million, and $2.6 million for the years ended December 31, 2007, 2006 and 2005, respectively. CME provides certain communications and regulatory services to OneChicago, fees from which are included in other revenues, and earned $0.5 million, $0.9 million and $2.2 million in revenue for these services in 2007, 2006 and 2005,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BUILDING LEASES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a result of the 2007 merger with CBOT Holdings, the company acquired three buildings with over 1.5 million square feet of commercial space. A portion of the space is utilized by the company as office space and a trading floor. The remaining space is leased by third party tenants, including customers and shareholders, over terms ranging from one to nineteen years. The terms of the leases with customers and shareholders are consistent with terms for other third-party tenants.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cash flows from rental revenue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520" w:type="dxa"/>
            <w:vAlign w:val="bottom"/>
            <w:gridSpan w:val="4"/>
          </w:tcPr>
          <w:p>
            <w:pPr>
              <w:jc w:val="center"/>
              <w:ind w:left="1995"/>
              <w:spacing w:after="0"/>
              <w:rPr>
                <w:sz w:val="20"/>
                <w:szCs w:val="20"/>
                <w:color w:val="auto"/>
              </w:rPr>
            </w:pPr>
            <w:r>
              <w:rPr>
                <w:rFonts w:ascii="Arial" w:cs="Arial" w:eastAsia="Arial" w:hAnsi="Arial"/>
                <w:sz w:val="14"/>
                <w:szCs w:val="14"/>
                <w:b w:val="1"/>
                <w:bCs w:val="1"/>
                <w:color w:val="auto"/>
                <w:w w:val="91"/>
              </w:rPr>
              <w:t>Minimum</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Rental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40" w:type="dxa"/>
            <w:vAlign w:val="bottom"/>
            <w:gridSpan w:val="3"/>
          </w:tcPr>
          <w:p>
            <w:pPr>
              <w:ind w:left="980"/>
              <w:spacing w:after="0"/>
              <w:rPr>
                <w:sz w:val="20"/>
                <w:szCs w:val="20"/>
                <w:color w:val="auto"/>
              </w:rPr>
            </w:pPr>
            <w:r>
              <w:rPr>
                <w:rFonts w:ascii="Arial" w:cs="Arial" w:eastAsia="Arial" w:hAnsi="Arial"/>
                <w:sz w:val="14"/>
                <w:szCs w:val="14"/>
                <w:b w:val="1"/>
                <w:bCs w:val="1"/>
                <w:i w:val="1"/>
                <w:iCs w:val="1"/>
                <w:color w:val="auto"/>
              </w:rPr>
              <w:t>(in thousands)</w:t>
            </w:r>
          </w:p>
        </w:tc>
        <w:tc>
          <w:tcPr>
            <w:tcW w:w="2520" w:type="dxa"/>
            <w:vAlign w:val="bottom"/>
          </w:tcPr>
          <w:p>
            <w:pPr>
              <w:spacing w:after="0"/>
              <w:rPr>
                <w:sz w:val="14"/>
                <w:szCs w:val="1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Payments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8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2009</w:t>
            </w:r>
          </w:p>
        </w:tc>
        <w:tc>
          <w:tcPr>
            <w:tcW w:w="382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18,945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2011</w:t>
            </w:r>
          </w:p>
        </w:tc>
        <w:tc>
          <w:tcPr>
            <w:tcW w:w="382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14,772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11. OTHER ASSETS</w:t>
            </w: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gridSpan w:val="5"/>
          </w:tcPr>
          <w:p>
            <w:pPr>
              <w:spacing w:after="0"/>
              <w:rPr>
                <w:sz w:val="20"/>
                <w:szCs w:val="20"/>
                <w:color w:val="auto"/>
              </w:rPr>
            </w:pPr>
            <w:r>
              <w:rPr>
                <w:rFonts w:ascii="Arial" w:cs="Arial" w:eastAsia="Arial" w:hAnsi="Arial"/>
                <w:sz w:val="18"/>
                <w:szCs w:val="18"/>
                <w:color w:val="auto"/>
              </w:rPr>
              <w:t>Other assets consisted of the following at December 31:</w:t>
            </w: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CBOE exercise right privileges</w:t>
            </w:r>
          </w:p>
        </w:tc>
        <w:tc>
          <w:tcPr>
            <w:tcW w:w="3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Deferred rental income</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FXMS (note 9)</w:t>
            </w:r>
          </w:p>
        </w:tc>
        <w:tc>
          <w:tcPr>
            <w:tcW w:w="2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Cash surrender value of executive life insurance policies</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defined benefit plan assets (note 16)</w:t>
            </w:r>
          </w:p>
        </w:tc>
        <w:tc>
          <w:tcPr>
            <w:tcW w:w="2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Investment in OneChicago (note 9)</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FXMS deferred development costs (note 9)</w:t>
            </w:r>
          </w:p>
        </w:tc>
        <w:tc>
          <w:tcPr>
            <w:tcW w:w="2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Net deferred income taxes (note 15)</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2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108,690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terms of the merger agreement, eligible CBOT members who hold CBOE exercise right privileges (ERPs) were each given the choice of tendering their ERP to the company for $250,000 payable after the closing or to participate as a class member in the CBOE lawsuit with a guaranteed payment of up to $250,000 if the lawsuit results in a recovery of less than that amount. At closing, there were 1,331 ERPs outstanding. In August 2007, 159 ERPs were tendered to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cost of the exercise rights acquired was reduced by the fair value of the guarantee liability for the ERPs tendered at the date of tender. The acquired ERPs are recorded at the lower of cost or market value and are assessed for other-than-temporary impairment on a quarterly basis.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Executive life insurance policies are carried at their cash surrender values at December 31,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consists primarily of prepaid software and hardware maintenance, prepaid insurance and deferred rental brokerage.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SHORT-TERM DEBT</w:t>
      </w:r>
    </w:p>
    <w:p>
      <w:pPr>
        <w:spacing w:after="0" w:line="96"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At December 31, 2007, CME Group maintained a 364-day revolving loan facility, with various financial institutions, which provides for loans of up to $750.0 million. At its option, the company may borrow under the facility at either LIBOR plus 0.13% per annum or the base rate, which is defined as the greater of the U.S. federal funds effective rate plus 0.5% per annum or the prime rate. The company pays a fee of 0.02% per year to maintain the revolving loan. The facility will expire on July 25, 2008. As of December 31, 2007, the company has not borrowed any funds against the revolving loan facility.</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revolving loan facility serves as a back-up facility for a commercial paper program. Proceeds from the program were used to fund the company’s recent tender offer stock repurchase and related fees. Under the terms of the facility, proceeds can also be used to finance the planned transaction with Brazilian Mercantile &amp; Futures Exchange (BM&amp;F) and to pay general corporate purposes of up to $300.0 million. Commercial paper notes with an aggregate par value of $1.2 billion and maturities ranging from one to 97 days were issued during the year. At December 31, 2007, $164.4 million remained outstanding. The weighted average interest rate of commercial paper outstanding at December 31, 2007 was 4.59%. The weighted average balance of all notes outstanding during the year was $64.2 million. Interest rates for notes outstanding during the year ranged from 4.50% to 5.38%.</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October 12, 2007, CME renewed its $800.0 million secured committed line of credit with a consortium of banks. The secured credit agreement, which expires on October 10, 2008, is collateralized by clearing firm security deposits held by the clearing house in the form of U.S. Treasury or agency securities, security deposit funds in Interest Earning Facilities and performance bond deposits of the clearing firm that defaulted on its obligation, if any. The amount held as available collateral at December 31, 2007 was $1.4 billion. The line of credit can only be drawn on to the extent that it is collateralized and may be utilized in certain situations, such as a temporary disruption of the domestic payments system that would delay settlement between the exchange and its clearing firms, or in the event of a clearing firm default. As of December 31, 2007, the company has not borrowed any funds against the revolving loan facility.</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credit agreement, there are a number of covenants with which CME must comply. Among these covenants, CME is required to maintain at all times a consolidated tangible net worth of not less than $96.0 million. Interest on amounts borrowed before maturity is calculated at the U.S. federal funds rate plus 0.45% per annum and after maturity at the U.S. federal funds rate plus 2.40% per annum. Commitment and agency fees for the line of credit totaled $0.8 million for the year ended December 31, 2007 and $0.6 million for each of the years ended December 31, 2006 and 2005. Under the terms of the 2007 agreement, CME has the option to request an increase in the facility from $800.0 million to $1.0 billion at the time of a draw, subject to the approval of the participating banks.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2007, subsequent to its recent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w:t>
      </w:r>
    </w:p>
    <w:p>
      <w:pPr>
        <w:spacing w:after="0" w:line="140"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Total estimated restructuring costs of $33.6 million consist primarily of severance and transitional payments and contract termination penalties. Payments for restructuring cost will be substantially complete by July 2008. Costs of $21.1 million were recognized as a liability in the preliminary allocation of CBOT Holdings’ purchase price, and accordingly, have resulted in an increase to goodwill. Restructuring expense may change as the company executes its approved plans. Future increases in estimates will be recorded as an adjustment to goodwill during the purchase accounting allocation period and as an adjustment to operating expenses thereafter. Future decreases in estimates will be recorded as an adjustment to goodwill regardless of the date of the decrease.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costs recognized in purchase accounting, costs of $11.9 million, excluding interest expense and foreign currency translation adjustments, are expected to be recognized as restructuring expense over the future service period required from transitional employees. Through December 31, 2007, the company has recorded restructuring expense of $8.9 million. Interest expense resulting from the deferral of restructuring payments is included in interest expense in the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on</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tcPr>
          <w:p>
            <w:pPr>
              <w:jc w:val="right"/>
              <w:ind w:right="140"/>
              <w:spacing w:after="0" w:line="149" w:lineRule="exact"/>
              <w:rPr>
                <w:sz w:val="20"/>
                <w:szCs w:val="20"/>
                <w:color w:val="auto"/>
              </w:rPr>
            </w:pPr>
            <w:r>
              <w:rPr>
                <w:rFonts w:ascii="Arial" w:cs="Arial" w:eastAsia="Arial" w:hAnsi="Arial"/>
                <w:sz w:val="14"/>
                <w:szCs w:val="14"/>
                <w:b w:val="1"/>
                <w:bCs w:val="1"/>
                <w:color w:val="auto"/>
              </w:rPr>
              <w:t>Liability at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Restructuring</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2"/>
                <w:szCs w:val="12"/>
                <w:color w:val="auto"/>
              </w:rPr>
            </w:pPr>
          </w:p>
        </w:tc>
        <w:tc>
          <w:tcPr>
            <w:tcW w:w="6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Payments</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to Date</w:t>
            </w:r>
          </w:p>
        </w:tc>
        <w:tc>
          <w:tcPr>
            <w:tcW w:w="2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3"/>
              </w:rPr>
              <w:t>Payments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associated costs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85"/>
              </w:rPr>
              <w:t>$ (7,948)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11,743</w:t>
            </w: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8"/>
              </w:rPr>
              <w:t>$22,744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Contract terminations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10,700</w:t>
            </w:r>
          </w:p>
        </w:tc>
        <w:tc>
          <w:tcPr>
            <w:tcW w:w="2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10,700</w:t>
            </w:r>
          </w:p>
        </w:tc>
        <w:tc>
          <w:tcPr>
            <w:tcW w:w="8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10,816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30,391</w:t>
            </w:r>
          </w:p>
        </w:tc>
        <w:tc>
          <w:tcPr>
            <w:tcW w:w="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85"/>
              </w:rPr>
              <w:t>$ (7,948)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22,443</w:t>
            </w: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33,560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14. OTHER CURRENT LIABILITIES</w:t>
            </w: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8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gridSpan w:val="3"/>
          </w:tcPr>
          <w:p>
            <w:pPr>
              <w:spacing w:after="0"/>
              <w:rPr>
                <w:sz w:val="20"/>
                <w:szCs w:val="20"/>
                <w:color w:val="auto"/>
              </w:rPr>
            </w:pPr>
            <w:r>
              <w:rPr>
                <w:rFonts w:ascii="Arial" w:cs="Arial" w:eastAsia="Arial" w:hAnsi="Arial"/>
                <w:sz w:val="18"/>
                <w:szCs w:val="18"/>
                <w:color w:val="auto"/>
                <w:w w:val="98"/>
              </w:rPr>
              <w:t>Other current liabilities consisted of the following at December 31:</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2007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employee bonus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45,725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$ 33,974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Accrued income taxes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30,494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6,852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operating expenses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28,905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Accrued restructuring (note 13)</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22,443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12,737</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Accrued real estate taxes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$ 157,615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$ 78,466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15. INCOME TAXES</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8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gridSpan w:val="3"/>
          </w:tcPr>
          <w:p>
            <w:pPr>
              <w:spacing w:after="0"/>
              <w:rPr>
                <w:sz w:val="20"/>
                <w:szCs w:val="20"/>
                <w:color w:val="auto"/>
              </w:rPr>
            </w:pPr>
            <w:r>
              <w:rPr>
                <w:rFonts w:ascii="Arial" w:cs="Arial" w:eastAsia="Arial" w:hAnsi="Arial"/>
                <w:sz w:val="18"/>
                <w:szCs w:val="18"/>
                <w:color w:val="auto"/>
              </w:rPr>
              <w:t>The provision for income taxes is composed of the following:</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ind w:left="30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$396,310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7"/>
          </w:tcPr>
          <w:p>
            <w:pPr>
              <w:jc w:val="right"/>
              <w:ind w:right="200"/>
              <w:spacing w:after="0"/>
              <w:rPr>
                <w:sz w:val="20"/>
                <w:szCs w:val="20"/>
                <w:color w:val="auto"/>
              </w:rPr>
            </w:pPr>
            <w:r>
              <w:rPr>
                <w:rFonts w:ascii="Arial" w:cs="Arial" w:eastAsia="Arial" w:hAnsi="Arial"/>
                <w:sz w:val="18"/>
                <w:szCs w:val="18"/>
                <w:color w:val="auto"/>
              </w:rPr>
              <w:t>$236,542</w:t>
            </w:r>
          </w:p>
        </w:tc>
        <w:tc>
          <w:tcPr>
            <w:tcW w:w="8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w w:val="87"/>
              </w:rPr>
              <w:t>$166,617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91,542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52,614</w:t>
            </w:r>
          </w:p>
        </w:tc>
        <w:tc>
          <w:tcPr>
            <w:tcW w:w="2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487,852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7"/>
          </w:tcPr>
          <w:p>
            <w:pPr>
              <w:jc w:val="right"/>
              <w:ind w:right="200"/>
              <w:spacing w:after="0"/>
              <w:rPr>
                <w:sz w:val="20"/>
                <w:szCs w:val="20"/>
                <w:color w:val="auto"/>
              </w:rPr>
            </w:pPr>
            <w:r>
              <w:rPr>
                <w:rFonts w:ascii="Arial" w:cs="Arial" w:eastAsia="Arial" w:hAnsi="Arial"/>
                <w:sz w:val="18"/>
                <w:szCs w:val="18"/>
                <w:color w:val="auto"/>
              </w:rPr>
              <w:t>289,156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204,767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(40,703)</w:t>
            </w:r>
          </w:p>
        </w:tc>
        <w:tc>
          <w:tcPr>
            <w:tcW w:w="8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(21,253)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(9,880)</w:t>
            </w:r>
          </w:p>
        </w:tc>
        <w:tc>
          <w:tcPr>
            <w:tcW w:w="8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(3,594)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3"/>
            <w:vMerge w:val="continue"/>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(50,583)</w:t>
            </w:r>
          </w:p>
        </w:tc>
        <w:tc>
          <w:tcPr>
            <w:tcW w:w="80" w:type="dxa"/>
            <w:vAlign w:val="bottom"/>
          </w:tcPr>
          <w:p>
            <w:pPr>
              <w:spacing w:after="0"/>
              <w:rPr>
                <w:sz w:val="19"/>
                <w:szCs w:val="19"/>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(24,847)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437,269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264,309</w:t>
            </w:r>
          </w:p>
        </w:tc>
        <w:tc>
          <w:tcPr>
            <w:tcW w:w="8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201,522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w w:val="97"/>
              </w:rPr>
              <w:t>Reconciliation of the statutory U.S. federal income tax rate to the effective tax rate is as follows:</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35.0%</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tax-exempt interest income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(0.5)</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reserve for Swapstream losses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39.9%</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and 2006, deferred tax assets (liabilities)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 Deferred Tax Assets (Liabilities):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9,718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deferred tax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Total current deferred tax liabilities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 Deferred Tax Assets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Non-Current Deferred Tax Assets:</w:t>
            </w: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60" w:type="dxa"/>
            <w:vAlign w:val="bottom"/>
            <w:gridSpan w:val="3"/>
            <w:vMerge w:val="continue"/>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Fair value adjustment on real estate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Foreign net operating losses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rent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Valuation allowance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deferred tax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Non-Current Deferred Tax Liabilities:</w:t>
            </w:r>
          </w:p>
        </w:tc>
        <w:tc>
          <w:tcPr>
            <w:tcW w:w="2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Purchased intangible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(3,915,155)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Software development costs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(13,384)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Total non-current deferred tax liabilities</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(3,938,611)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Non-Current Deferred Tax Assets (Liabilities)</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(3,848,240)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tax assets may not be realized. The ultimate realization of the deferred tax assets depends on the ability to generate sufficient taxable income of the appropriate character in the future and in the appropriate taxing jurisdictions. A valuation allowance has been provided as of December 31, 2007 and 2006 for net operating loss carryforwards obtained through the acquisition of Swapstream and for net operating losses generated by those operations subsequent to the acquisition. These foreign net operating losses do not expire. Subsequent reversal of the valuation allowance for acquired net operating losses will reduce goodwill and not income tax expense. If reversed, goodwill would be reduced by $7.9 million.</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of January 1, 2007, the company adopted the provisions of FIN No. 48, “Accounting for Uncertain Tax Positions.” At adoption, the company recorded a cumulative effect adjustment that reduced the balance of retained earnings as of January 1, 2007. At adoption, the company had gross unrecognized tax benefits of $5.4 million. Net of the tax impact in other jurisdictions, these unrecognized tax benefits were $3.8 million and would be recorded as a net reduction to income tax expense if recognized in the future. As part of the merger with CBOT Holdings, the company assumed unrecognized tax benefits of $2.3 million.</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December 31, 2007, the company had gross unrecognized tax benefits of $9.7 million. Net of the tax impact in other jurisdictions, these unrecognized tax benefits were $7.5 million and would be recorded as a net reduction to income tax expense if recognized in the future. The company classifies interest and penalties related to uncertain tax positions in income tax expense. Total interest and penalties related to the unrecognized tax benefits were $1.3 million and $2.3 million at adoption and at December 31, 2007, respectively. The company does not expect these unrecognized tax benefits to significantly increase or decrease during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920" w:type="dxa"/>
            <w:vAlign w:val="bottom"/>
          </w:tcPr>
          <w:p>
            <w:pPr>
              <w:spacing w:after="0"/>
              <w:rPr>
                <w:sz w:val="17"/>
                <w:szCs w:val="17"/>
                <w:color w:val="auto"/>
              </w:rPr>
            </w:pPr>
          </w:p>
        </w:tc>
        <w:tc>
          <w:tcPr>
            <w:tcW w:w="9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$5,369</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CBOT Holdings unrecognized tax benefits at date of merger</w:t>
            </w:r>
          </w:p>
        </w:tc>
        <w:tc>
          <w:tcPr>
            <w:tcW w:w="500" w:type="dxa"/>
            <w:vAlign w:val="bottom"/>
          </w:tcPr>
          <w:p>
            <w:pPr>
              <w:jc w:val="right"/>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500" w:type="dxa"/>
            <w:vAlign w:val="bottom"/>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2"/>
        </w:trPr>
        <w:tc>
          <w:tcPr>
            <w:tcW w:w="9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9,704</w:t>
            </w: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subject to U.S. federal income tax as well as income taxes in multiple state and foreign jurisdictions. For CME Holdings, substantially all federal and state income tax matters have been concluded through 2005 and 2002, respectively. For CBOT Holdings, substantially all federal and state income tax matters have been concluded through 2003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Pension Plans. </w:t>
      </w:r>
      <w:r>
        <w:rPr>
          <w:rFonts w:ascii="Arial" w:cs="Arial" w:eastAsia="Arial" w:hAnsi="Arial"/>
          <w:sz w:val="16"/>
          <w:szCs w:val="16"/>
          <w:color w:val="auto"/>
        </w:rPr>
        <w:t>The exchange maintains non-contributory defined benefit cash balance pension plans for eligible employees. CME’s plan provides for a</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As a result of the merger, CME Group assumed the obligation related to the non-contributory defined benefit pension plan for the former CBOT employees. The benefits payable under the CBOT pension plan are based primarily on years of service and the employees’ average compensation levels. CBOT employees hired on or after January 1, 2006 were not eligible to participate in the plan. Beginning January 1, 2008, CBOT employees became eligible to participate in CME’s plan. The measurement date used for both plans is December 31.</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Information regarding the aggregate status and activity of the plans, including the CBOT activity from July 13, 2007 through December 31, 2007, is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Benefit obligation at beginning of year</w:t>
            </w:r>
          </w:p>
        </w:tc>
        <w:tc>
          <w:tcPr>
            <w:tcW w:w="2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$49,917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CBOT’s benefit obligation at July 12, 2007</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2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Actuarial gain</w:t>
            </w:r>
          </w:p>
        </w:tc>
        <w:tc>
          <w:tcPr>
            <w:tcW w:w="2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Curtailments</w:t>
            </w:r>
          </w:p>
        </w:tc>
        <w:tc>
          <w:tcPr>
            <w:tcW w:w="2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Plan amendments</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Projected Benefit Obligation at End of Year</w:t>
            </w:r>
          </w:p>
        </w:tc>
        <w:tc>
          <w:tcPr>
            <w:tcW w:w="2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89,980</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9900" w:type="dxa"/>
            <w:vAlign w:val="bottom"/>
            <w:gridSpan w:val="6"/>
          </w:tcPr>
          <w:p>
            <w:pPr>
              <w:spacing w:after="0"/>
              <w:rPr>
                <w:sz w:val="20"/>
                <w:szCs w:val="20"/>
                <w:color w:val="auto"/>
              </w:rPr>
            </w:pPr>
            <w:r>
              <w:rPr>
                <w:rFonts w:ascii="Arial" w:cs="Arial" w:eastAsia="Arial" w:hAnsi="Arial"/>
                <w:sz w:val="18"/>
                <w:szCs w:val="18"/>
                <w:color w:val="auto"/>
                <w:w w:val="96"/>
              </w:rPr>
              <w:t>The aggregate accumulated benefit obligation at December 31, 2007 and 2006 was $77.1 million and $38.9 million, respectively.</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1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4"/>
                <w:szCs w:val="2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24"/>
                <w:szCs w:val="2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Fair value of plan assets at beginning of year</w:t>
            </w:r>
          </w:p>
        </w:tc>
        <w:tc>
          <w:tcPr>
            <w:tcW w:w="3420" w:type="dxa"/>
            <w:vAlign w:val="bottom"/>
            <w:gridSpan w:val="3"/>
          </w:tcPr>
          <w:p>
            <w:pPr>
              <w:jc w:val="right"/>
              <w:ind w:right="280"/>
              <w:spacing w:after="0"/>
              <w:rPr>
                <w:sz w:val="20"/>
                <w:szCs w:val="20"/>
                <w:color w:val="auto"/>
              </w:rPr>
            </w:pPr>
            <w:r>
              <w:rPr>
                <w:rFonts w:ascii="Arial" w:cs="Arial" w:eastAsia="Arial" w:hAnsi="Arial"/>
                <w:sz w:val="18"/>
                <w:szCs w:val="18"/>
                <w:color w:val="auto"/>
              </w:rPr>
              <w:t>$50,467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$44,645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of CBOT’s plan assets at July 12, 2007</w:t>
            </w:r>
          </w:p>
        </w:tc>
        <w:tc>
          <w:tcPr>
            <w:tcW w:w="3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43,370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Actual return on plan assets</w:t>
            </w:r>
          </w:p>
        </w:tc>
        <w:tc>
          <w:tcPr>
            <w:tcW w:w="3420" w:type="dxa"/>
            <w:vAlign w:val="bottom"/>
            <w:gridSpan w:val="3"/>
          </w:tcPr>
          <w:p>
            <w:pPr>
              <w:jc w:val="right"/>
              <w:ind w:right="280"/>
              <w:spacing w:after="0"/>
              <w:rPr>
                <w:sz w:val="20"/>
                <w:szCs w:val="20"/>
                <w:color w:val="auto"/>
              </w:rPr>
            </w:pPr>
            <w:r>
              <w:rPr>
                <w:rFonts w:ascii="Arial" w:cs="Arial" w:eastAsia="Arial" w:hAnsi="Arial"/>
                <w:sz w:val="18"/>
                <w:szCs w:val="18"/>
                <w:color w:val="auto"/>
              </w:rPr>
              <w:t>688</w:t>
            </w:r>
          </w:p>
        </w:tc>
        <w:tc>
          <w:tcPr>
            <w:tcW w:w="580" w:type="dxa"/>
            <w:vAlign w:val="bottom"/>
          </w:tcPr>
          <w:p>
            <w:pPr>
              <w:jc w:val="right"/>
              <w:spacing w:after="0"/>
              <w:rPr>
                <w:sz w:val="20"/>
                <w:szCs w:val="20"/>
                <w:color w:val="auto"/>
              </w:rPr>
            </w:pPr>
            <w:r>
              <w:rPr>
                <w:rFonts w:ascii="Arial" w:cs="Arial" w:eastAsia="Arial" w:hAnsi="Arial"/>
                <w:sz w:val="18"/>
                <w:szCs w:val="18"/>
                <w:color w:val="auto"/>
              </w:rPr>
              <w:t>4,740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3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25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(5,889)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(1,518)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97,886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50,467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2007 and 2006, the fair value of pension plan assets exceeded the projected benefit obligation by $7.9 million and $0.6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excess is recorded as a non-current pension asset due to the adoption of SFAS No. 158.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The funding goal for the exchange is to have its pension plans 100% funded at each year end on a projected benefit obligation basis, while also satisfying any minimum required contribution and obtaining the maximum tax deduction. Year-end 2007 assumptions have been used to project the liabilities and assets from December 31, 2007 to December 31, 2008. The result of this projection is that estimated liabilities would exceed the fair value of plan assets at December 31, 2008 by approximately $8.0 million. Accordingly, it is estimated that an $8.0 million contribution in 2008 will allow the company to meet its funding goal. The exchange expects to merge the two pension plans by December 31, 2008 and will make one contribution to the new combined plan during 2008.</w:t>
      </w:r>
    </w:p>
    <w:p>
      <w:pPr>
        <w:spacing w:after="0" w:line="10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components of net pension expense and the assumptions used to determine end-of-year projected benefit obligation and net pension expense in aggregate are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Net Pension Expense:</w:t>
            </w:r>
          </w:p>
        </w:tc>
        <w:tc>
          <w:tcPr>
            <w:tcW w:w="2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2900" w:type="dxa"/>
            <w:vAlign w:val="bottom"/>
            <w:gridSpan w:val="3"/>
          </w:tcPr>
          <w:p>
            <w:pPr>
              <w:jc w:val="right"/>
              <w:ind w:right="240"/>
              <w:spacing w:after="0"/>
              <w:rPr>
                <w:sz w:val="20"/>
                <w:szCs w:val="20"/>
                <w:color w:val="auto"/>
              </w:rPr>
            </w:pPr>
            <w:r>
              <w:rPr>
                <w:rFonts w:ascii="Arial" w:cs="Arial" w:eastAsia="Arial" w:hAnsi="Arial"/>
                <w:sz w:val="18"/>
                <w:szCs w:val="18"/>
                <w:color w:val="auto"/>
              </w:rPr>
              <w:t>$ 6,878</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$ 5,671</w:t>
            </w: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9"/>
              </w:rPr>
              <w:t>$ 4,960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4,325</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2,665</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4"/>
              </w:rPr>
              <w:t>2,344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2900" w:type="dxa"/>
            <w:vAlign w:val="bottom"/>
            <w:gridSpan w:val="3"/>
          </w:tcPr>
          <w:p>
            <w:pPr>
              <w:jc w:val="right"/>
              <w:ind w:right="180"/>
              <w:spacing w:after="0"/>
              <w:rPr>
                <w:sz w:val="20"/>
                <w:szCs w:val="20"/>
                <w:color w:val="auto"/>
              </w:rPr>
            </w:pPr>
            <w:r>
              <w:rPr>
                <w:rFonts w:ascii="Arial" w:cs="Arial" w:eastAsia="Arial" w:hAnsi="Arial"/>
                <w:sz w:val="18"/>
                <w:szCs w:val="18"/>
                <w:color w:val="auto"/>
              </w:rPr>
              <w:t>(5,199)</w:t>
            </w:r>
          </w:p>
        </w:tc>
        <w:tc>
          <w:tcPr>
            <w:tcW w:w="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(3,162)</w:t>
            </w:r>
          </w:p>
        </w:tc>
        <w:tc>
          <w:tcPr>
            <w:tcW w:w="2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cost</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Recognized net actuarial loss</w:t>
            </w:r>
          </w:p>
        </w:tc>
        <w:tc>
          <w:tcPr>
            <w:tcW w:w="290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Curtailment loss</w:t>
            </w:r>
          </w:p>
        </w:tc>
        <w:tc>
          <w:tcPr>
            <w:tcW w:w="210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Net Pension Expense</w:t>
            </w:r>
          </w:p>
        </w:tc>
        <w:tc>
          <w:tcPr>
            <w:tcW w:w="2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$ 6,142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$ 5,386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$ 4,821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Assumptions Used to Determine End-of-Year Benefit Obligations:</w:t>
            </w:r>
          </w:p>
        </w:tc>
        <w:tc>
          <w:tcPr>
            <w:tcW w:w="2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2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6.10%</w:t>
            </w:r>
          </w:p>
        </w:tc>
        <w:tc>
          <w:tcPr>
            <w:tcW w:w="620" w:type="dxa"/>
            <w:vAlign w:val="bottom"/>
            <w:gridSpan w:val="4"/>
          </w:tcPr>
          <w:p>
            <w:pPr>
              <w:ind w:left="160"/>
              <w:spacing w:after="0"/>
              <w:rPr>
                <w:sz w:val="20"/>
                <w:szCs w:val="20"/>
                <w:color w:val="auto"/>
              </w:rPr>
            </w:pPr>
            <w:r>
              <w:rPr>
                <w:rFonts w:ascii="Arial" w:cs="Arial" w:eastAsia="Arial" w:hAnsi="Arial"/>
                <w:sz w:val="18"/>
                <w:szCs w:val="18"/>
                <w:color w:val="auto"/>
                <w:w w:val="86"/>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2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color w:val="auto"/>
                <w:w w:val="91"/>
              </w:rPr>
              <w:t>5.00</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Cash balance interest crediting rate</w:t>
            </w:r>
          </w:p>
        </w:tc>
        <w:tc>
          <w:tcPr>
            <w:tcW w:w="2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4"/>
          </w:tcPr>
          <w:p>
            <w:pPr>
              <w:jc w:val="center"/>
              <w:ind w:left="36"/>
              <w:spacing w:after="0"/>
              <w:rPr>
                <w:sz w:val="20"/>
                <w:szCs w:val="20"/>
                <w:color w:val="auto"/>
              </w:rPr>
            </w:pPr>
            <w:r>
              <w:rPr>
                <w:rFonts w:ascii="Arial" w:cs="Arial" w:eastAsia="Arial" w:hAnsi="Arial"/>
                <w:sz w:val="18"/>
                <w:szCs w:val="18"/>
                <w:color w:val="auto"/>
                <w:w w:val="91"/>
              </w:rPr>
              <w:t>4.10</w:t>
            </w:r>
          </w:p>
        </w:tc>
        <w:tc>
          <w:tcPr>
            <w:tcW w:w="560" w:type="dxa"/>
            <w:vAlign w:val="bottom"/>
            <w:gridSpan w:val="3"/>
          </w:tcPr>
          <w:p>
            <w:pPr>
              <w:ind w:left="16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4"/>
                <w:szCs w:val="24"/>
                <w:color w:val="auto"/>
              </w:rPr>
            </w:pPr>
          </w:p>
        </w:tc>
        <w:tc>
          <w:tcPr>
            <w:tcW w:w="6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Assumptions Used to Determine Net Pension Expense:</w:t>
            </w:r>
          </w:p>
        </w:tc>
        <w:tc>
          <w:tcPr>
            <w:tcW w:w="2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3780" w:type="dxa"/>
            <w:vAlign w:val="bottom"/>
            <w:gridSpan w:val="8"/>
          </w:tcPr>
          <w:p>
            <w:pPr>
              <w:ind w:left="2600"/>
              <w:spacing w:after="0"/>
              <w:rPr>
                <w:sz w:val="20"/>
                <w:szCs w:val="20"/>
                <w:color w:val="auto"/>
              </w:rPr>
            </w:pPr>
            <w:r>
              <w:rPr>
                <w:rFonts w:ascii="Arial" w:cs="Arial" w:eastAsia="Arial" w:hAnsi="Arial"/>
                <w:sz w:val="18"/>
                <w:szCs w:val="18"/>
                <w:color w:val="auto"/>
                <w:w w:val="99"/>
              </w:rPr>
              <w:t>6.20%   5.50%</w:t>
            </w:r>
          </w:p>
        </w:tc>
        <w:tc>
          <w:tcPr>
            <w:tcW w:w="620" w:type="dxa"/>
            <w:vAlign w:val="bottom"/>
            <w:gridSpan w:val="4"/>
          </w:tcPr>
          <w:p>
            <w:pPr>
              <w:ind w:left="16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290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w w:val="79"/>
              </w:rPr>
              <w:t>5.00</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color w:val="auto"/>
                <w:w w:val="91"/>
              </w:rPr>
              <w:t>5.00</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2900" w:type="dxa"/>
            <w:vAlign w:val="bottom"/>
            <w:gridSpan w:val="3"/>
          </w:tcPr>
          <w:p>
            <w:pPr>
              <w:ind w:left="2600"/>
              <w:spacing w:after="0"/>
              <w:rPr>
                <w:sz w:val="20"/>
                <w:szCs w:val="20"/>
                <w:color w:val="auto"/>
              </w:rPr>
            </w:pPr>
            <w:r>
              <w:rPr>
                <w:rFonts w:ascii="Arial" w:cs="Arial" w:eastAsia="Arial" w:hAnsi="Arial"/>
                <w:sz w:val="18"/>
                <w:szCs w:val="18"/>
                <w:color w:val="auto"/>
                <w:w w:val="79"/>
              </w:rPr>
              <w:t>8.00</w:t>
            </w:r>
          </w:p>
        </w:tc>
        <w:tc>
          <w:tcPr>
            <w:tcW w:w="40" w:type="dxa"/>
            <w:vAlign w:val="bottom"/>
          </w:tcPr>
          <w:p>
            <w:pPr>
              <w:spacing w:after="0"/>
              <w:rPr>
                <w:sz w:val="18"/>
                <w:szCs w:val="18"/>
                <w:color w:val="auto"/>
              </w:rPr>
            </w:pPr>
          </w:p>
        </w:tc>
        <w:tc>
          <w:tcPr>
            <w:tcW w:w="840" w:type="dxa"/>
            <w:vAlign w:val="bottom"/>
            <w:gridSpan w:val="4"/>
          </w:tcPr>
          <w:p>
            <w:pPr>
              <w:jc w:val="center"/>
              <w:ind w:left="36"/>
              <w:spacing w:after="0"/>
              <w:rPr>
                <w:sz w:val="20"/>
                <w:szCs w:val="20"/>
                <w:color w:val="auto"/>
              </w:rPr>
            </w:pPr>
            <w:r>
              <w:rPr>
                <w:rFonts w:ascii="Arial" w:cs="Arial" w:eastAsia="Arial" w:hAnsi="Arial"/>
                <w:sz w:val="18"/>
                <w:szCs w:val="18"/>
                <w:color w:val="auto"/>
                <w:w w:val="91"/>
              </w:rPr>
              <w:t>7.50</w:t>
            </w:r>
          </w:p>
        </w:tc>
        <w:tc>
          <w:tcPr>
            <w:tcW w:w="560" w:type="dxa"/>
            <w:vAlign w:val="bottom"/>
            <w:gridSpan w:val="3"/>
          </w:tcPr>
          <w:p>
            <w:pPr>
              <w:ind w:left="160"/>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crediting rate</w:t>
            </w:r>
          </w:p>
        </w:tc>
        <w:tc>
          <w:tcPr>
            <w:tcW w:w="290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w w:val="79"/>
              </w:rPr>
              <w:t>4.10</w:t>
            </w: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color w:val="auto"/>
                <w:w w:val="91"/>
              </w:rPr>
              <w:t>4.00</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 for both plans is determined based on an interest rate yield curve pursuant to Emerging Issues Task Force Topic</w:t>
      </w:r>
    </w:p>
    <w:p>
      <w:pPr>
        <w:spacing w:after="0" w:line="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No. D-36, “Selection of Discount Rates Used for Measuring Defined Benefit Pension Obligations and Obligations of Post Retirement Benefit Plans Other Than Pensions.” The yield curve is comprised of bonds with a rating of Aaa and Aa and maturities between zero and thirty years. The expected annual benefit cash flows for the exchange’s pension plans are discounted to develop a single-point discount rate by matching the plan’s expected payout structure to such yield curve.</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basis for determining the expected rate of return on plan assets for each plan is comprised of three components: historical returns, industry peers and forecasted returns.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component of the investment policy for each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CME’s plan, by asset category, at December 31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Debt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376"/>
        </w:trPr>
        <w:tc>
          <w:tcPr>
            <w:tcW w:w="10260" w:type="dxa"/>
            <w:vAlign w:val="bottom"/>
          </w:tcPr>
          <w:p>
            <w:pPr>
              <w:spacing w:after="0"/>
              <w:rPr>
                <w:sz w:val="20"/>
                <w:szCs w:val="20"/>
                <w:color w:val="auto"/>
              </w:rPr>
            </w:pPr>
            <w:r>
              <w:rPr>
                <w:rFonts w:ascii="Arial" w:cs="Arial" w:eastAsia="Arial" w:hAnsi="Arial"/>
                <w:sz w:val="18"/>
                <w:szCs w:val="18"/>
                <w:color w:val="auto"/>
              </w:rPr>
              <w:t>The asset allocation for CBOT’s plan, by asset category, at December 31 was as follows: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3"/>
        </w:trPr>
        <w:tc>
          <w:tcPr>
            <w:tcW w:w="10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24"/>
                <w:szCs w:val="2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target asset allocation for the plans will remain unchanged in 2008.</w:t>
      </w:r>
    </w:p>
    <w:p>
      <w:pPr>
        <w:spacing w:after="0" w:line="171"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During 2006, the exchange adopted SFAS No. 158, “Employers’ Accounting for Defined Benefit Pension and Other Postretirement Plans.” Under SFAS No. 158, the funded status of the pension plan was recognized as an asset in the consolidated balance sheet and a one-time adjustment to accumulated other comprehensive income was recorded. The incremental effect on the consolidated balance sheet of adopting SFAS No. 158 as of December 31, 2006 is as follows: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Before Adoption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After Adoption</w:t>
            </w:r>
          </w:p>
        </w:tc>
        <w:tc>
          <w:tcPr>
            <w:tcW w:w="0" w:type="dxa"/>
            <w:vAlign w:val="bottom"/>
          </w:tcPr>
          <w:p>
            <w:pPr>
              <w:spacing w:after="0"/>
              <w:rPr>
                <w:sz w:val="1"/>
                <w:szCs w:val="1"/>
                <w:color w:val="auto"/>
              </w:rPr>
            </w:pPr>
          </w:p>
        </w:tc>
      </w:tr>
      <w:tr>
        <w:trPr>
          <w:trHeight w:val="161"/>
        </w:trPr>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of SFAS No. 158</w:t>
            </w:r>
          </w:p>
        </w:tc>
        <w:tc>
          <w:tcPr>
            <w:tcW w:w="3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Adjustments</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of SFAS No. 158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prepaid pension asset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4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(3,503)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Non-current pension asset</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 (liability)</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4,308,284</w:t>
            </w:r>
          </w:p>
        </w:tc>
        <w:tc>
          <w:tcPr>
            <w:tcW w:w="440" w:type="dxa"/>
            <w:vAlign w:val="bottom"/>
          </w:tcPr>
          <w:p>
            <w:pPr>
              <w:spacing w:after="0"/>
              <w:rPr>
                <w:sz w:val="18"/>
                <w:szCs w:val="18"/>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(1,779)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4,306,505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(1,779)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1,520,871</w:t>
            </w:r>
          </w:p>
        </w:tc>
        <w:tc>
          <w:tcPr>
            <w:tcW w:w="440" w:type="dxa"/>
            <w:vAlign w:val="bottom"/>
          </w:tcPr>
          <w:p>
            <w:pPr>
              <w:spacing w:after="0"/>
              <w:rPr>
                <w:sz w:val="19"/>
                <w:szCs w:val="19"/>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(1,779)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1,519,092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100"/>
        <w:spacing w:after="0" w:line="268" w:lineRule="auto"/>
        <w:rPr>
          <w:sz w:val="20"/>
          <w:szCs w:val="20"/>
          <w:color w:val="auto"/>
        </w:rPr>
      </w:pPr>
      <w:r>
        <w:rPr>
          <w:rFonts w:ascii="Arial" w:cs="Arial" w:eastAsia="Arial" w:hAnsi="Arial"/>
          <w:sz w:val="18"/>
          <w:szCs w:val="18"/>
          <w:color w:val="auto"/>
        </w:rPr>
        <w:t>Due to the adoption of SFAS No. 158, prior service costs of $0.2 million and actuarial losses of $2.7 million were recognized in accumulated other comprehensive loss as of December 31, 2006.</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balance and activity of the prior service costs and actuarial losses, which are included in accumulated other comprehensive income,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Prior</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Service</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Actuarial</w:t>
            </w:r>
          </w:p>
        </w:tc>
        <w:tc>
          <w:tcPr>
            <w:tcW w:w="0" w:type="dxa"/>
            <w:vAlign w:val="bottom"/>
          </w:tcPr>
          <w:p>
            <w:pPr>
              <w:spacing w:after="0"/>
              <w:rPr>
                <w:sz w:val="1"/>
                <w:szCs w:val="1"/>
                <w:color w:val="auto"/>
              </w:rPr>
            </w:pPr>
          </w:p>
        </w:tc>
      </w:tr>
      <w:tr>
        <w:trPr>
          <w:trHeight w:val="161"/>
        </w:trPr>
        <w:tc>
          <w:tcPr>
            <w:tcW w:w="99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Costs</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241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Unrecognized loss</w:t>
            </w:r>
          </w:p>
        </w:tc>
        <w:tc>
          <w:tcPr>
            <w:tcW w:w="120" w:type="dxa"/>
            <w:vAlign w:val="bottom"/>
          </w:tcPr>
          <w:p>
            <w:pPr>
              <w:spacing w:after="0"/>
              <w:rPr>
                <w:sz w:val="18"/>
                <w:szCs w:val="18"/>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as a component of net pension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Curtailment gain</w:t>
            </w:r>
          </w:p>
        </w:tc>
        <w:tc>
          <w:tcPr>
            <w:tcW w:w="12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w:t>
            </w: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expects to amortize $402,000 of actuarial loss and $22,000 of prior service costs from accumulated other comprehensive loss into net periodic benefit cost in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anticipated benefit payments from the plans in future years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458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2009</w:t>
            </w:r>
          </w:p>
        </w:tc>
        <w:tc>
          <w:tcPr>
            <w:tcW w:w="4700" w:type="dxa"/>
            <w:vAlign w:val="bottom"/>
          </w:tcPr>
          <w:p>
            <w:pPr>
              <w:jc w:val="right"/>
              <w:spacing w:after="0"/>
              <w:rPr>
                <w:sz w:val="20"/>
                <w:szCs w:val="20"/>
                <w:color w:val="auto"/>
              </w:rPr>
            </w:pPr>
            <w:r>
              <w:rPr>
                <w:rFonts w:ascii="Arial" w:cs="Arial" w:eastAsia="Arial" w:hAnsi="Arial"/>
                <w:sz w:val="18"/>
                <w:szCs w:val="18"/>
                <w:color w:val="auto"/>
              </w:rPr>
              <w:t>6,090</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2011</w:t>
            </w:r>
          </w:p>
        </w:tc>
        <w:tc>
          <w:tcPr>
            <w:tcW w:w="470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w:t>
            </w: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2013-2017</w:t>
            </w:r>
          </w:p>
        </w:tc>
        <w:tc>
          <w:tcPr>
            <w:tcW w:w="4700" w:type="dxa"/>
            <w:vAlign w:val="bottom"/>
          </w:tcPr>
          <w:p>
            <w:pPr>
              <w:jc w:val="right"/>
              <w:spacing w:after="0"/>
              <w:rPr>
                <w:sz w:val="20"/>
                <w:szCs w:val="20"/>
                <w:color w:val="auto"/>
              </w:rPr>
            </w:pPr>
            <w:r>
              <w:rPr>
                <w:rFonts w:ascii="Arial" w:cs="Arial" w:eastAsia="Arial" w:hAnsi="Arial"/>
                <w:sz w:val="18"/>
                <w:szCs w:val="18"/>
                <w:color w:val="auto"/>
              </w:rPr>
              <w:t>53,796</w:t>
            </w:r>
          </w:p>
        </w:tc>
      </w:tr>
    </w:tbl>
    <w:p>
      <w:pPr>
        <w:spacing w:after="0" w:line="14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 xml:space="preserve">Other Post-Retirement Benefit Plan. </w:t>
      </w:r>
      <w:r>
        <w:rPr>
          <w:rFonts w:ascii="Arial" w:cs="Arial" w:eastAsia="Arial" w:hAnsi="Arial"/>
          <w:sz w:val="16"/>
          <w:szCs w:val="16"/>
          <w:color w:val="auto"/>
        </w:rPr>
        <w:t>As part of the merger, CME Group also assumed the obligation for the post-retirement benefit plan for legacy and former</w:t>
      </w:r>
      <w:r>
        <w:rPr>
          <w:rFonts w:ascii="Arial" w:cs="Arial" w:eastAsia="Arial" w:hAnsi="Arial"/>
          <w:sz w:val="16"/>
          <w:szCs w:val="16"/>
          <w:b w:val="1"/>
          <w:bCs w:val="1"/>
          <w:color w:val="auto"/>
        </w:rPr>
        <w:t xml:space="preserve"> </w:t>
      </w:r>
      <w:r>
        <w:rPr>
          <w:rFonts w:ascii="Arial" w:cs="Arial" w:eastAsia="Arial" w:hAnsi="Arial"/>
          <w:sz w:val="16"/>
          <w:szCs w:val="16"/>
          <w:color w:val="auto"/>
        </w:rPr>
        <w:t>CBOT employees. Employees retiring from CBOT Holdings on or after age 55, who have at least ten years of services, or after 65 with five years of service, are entitled to post-retirement medical benefits. Effective January 1, 2008, the plan has been closed to new participants. The exchange will fund benefit costs as payments become due. The measurement date of plan obligations is December 31. At December 31, 2007, the projected benefit obligation of the plan was $5.4 million The plan’s net periodic benefit cost for July 13, 2007 through December 31, 2007 was $0.2 million.</w:t>
      </w:r>
    </w:p>
    <w:p>
      <w:pPr>
        <w:spacing w:after="0" w:line="10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Savings Plan. </w:t>
      </w:r>
      <w:r>
        <w:rPr>
          <w:rFonts w:ascii="Arial" w:cs="Arial" w:eastAsia="Arial" w:hAnsi="Arial"/>
          <w:sz w:val="18"/>
          <w:szCs w:val="18"/>
          <w:color w:val="auto"/>
        </w:rPr>
        <w:t>CME maintains a savings plan pursuant to Section 401(k) of the Internal Revenue Code, whereby all U.S. employees are participants and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contribute to this plan. CME matches employee contributions up to 3% of the employee’s base salary and may make additional discretionary contributions of up to 2% of base salary. In conjunction with various changes to its retirement benefits strategy, the exchange has not made a discretionary contribution since 2005.</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CBOT maintained a qualified savings plan pursuant to Section 401(k) of the Internal Revenue Code for former CBOT Holdings employees during 2007. Prior to January 1, 2008, CBOT made matching contributions of up to 4% to eligible employees. The cost of these matching contributions totaled $0.5 million for the period July 13 through December 31, 2007. As of January 1, 2008, CBOT’s plan was merged with CME’s plan for U.S. employees. No further contributions will be made to the CBOT plan after this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Aggregate expense for savings plans amounted to $3.7 million, $3.0 million and $4.5 million in 2007, 2006 and 2005, respectively.</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CME London-based employees are eligible to participate in a defined contribution plan. The plan provides for age-based earnings contributions and does not have any vesting requirements. Salary and cash bonuses paid are included in the definition of earnings. Effective January 1, 2008, the company contribution will change to a flat 10% of earnings in order to comply with the Employment Equality Regulations released in 2006. Total expense for the London defined contribution benefit plan was $0.6 million, $0.3 million and $0.2 million in 2007, 2006 and 2005, respectively.</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The following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are maintained by CME. Although not required to do so, CME invests such contributions in assets that mirror the assumed investment choices. The balances in these plans are subject to the claims of general creditors of the exchange and totaled $23.0 million and $18.8 million at December 31, 2007 and 2006, respectively. Although the value of the plans is recorded as an asset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64"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 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plans. All CME employees hired prior to January 1, 2007 are immediately vested in their supplemental plan benefits. All CME employees hired on or after January 1, 2007 are subject to the vesting requirements of the underlying qualified plans. Total expense for the supplemental plan was $0.9 million, $0.8 million and $0.7 million in 2007, 2006 and 2005, respectively.</w:t>
      </w:r>
    </w:p>
    <w:p>
      <w:pPr>
        <w:spacing w:after="0" w:line="32"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 A deferred compensation plan is maintained by CME, under which eligible officers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Supplemental Executive Retirement Plan </w:t>
      </w:r>
      <w:r>
        <w:rPr>
          <w:rFonts w:ascii="Arial" w:cs="Arial" w:eastAsia="Arial" w:hAnsi="Arial"/>
          <w:sz w:val="18"/>
          <w:szCs w:val="18"/>
          <w:color w:val="auto"/>
        </w:rPr>
        <w:t>– CME maintains a defined contribution plan for senior officers. Under this plan prior to 2006, CME made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contribution of a percentage of salary and bonus for eligible employees. The Supplemental Executive Retirement Plan was frozen to new entrants on December 31, 2005 and further contributions for current participants were suspended. Contributions made in 2003 through 2005 vest after five years of service from the officer’s date of hire. Unvested contributions are returned to the exchange if a participant leaves the employment of CME. Total expense for the plan, reduced by any forfeitures, was $0.2 million in 2005.</w:t>
      </w:r>
    </w:p>
    <w:p>
      <w:pPr>
        <w:spacing w:after="0" w:line="56"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CBOT Officer Pension Plan. </w:t>
      </w:r>
      <w:r>
        <w:rPr>
          <w:rFonts w:ascii="Arial" w:cs="Arial" w:eastAsia="Arial" w:hAnsi="Arial"/>
          <w:sz w:val="16"/>
          <w:szCs w:val="16"/>
          <w:color w:val="auto"/>
        </w:rPr>
        <w:t>As part of the merger, the company assumed the liability for CBOT’s non-qualified supplemental pension plan for former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of CBOT Holdings who elected to participate in the plan. The liability for this non-qualified plan, which amounted to $1.6 million as of December 31, 2007, is funded by life insurance policies on the lives of the participating employees. There is a trust established for the purpose of administering this non-qualified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deferred compensation plans (note 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580" w:type="dxa"/>
            <w:vAlign w:val="bottom"/>
          </w:tcPr>
          <w:p>
            <w:pPr>
              <w:jc w:val="right"/>
              <w:spacing w:after="0"/>
              <w:rPr>
                <w:sz w:val="20"/>
                <w:szCs w:val="20"/>
                <w:color w:val="auto"/>
              </w:rPr>
            </w:pPr>
            <w:r>
              <w:rPr>
                <w:rFonts w:ascii="Arial" w:cs="Arial" w:eastAsia="Arial" w:hAnsi="Arial"/>
                <w:sz w:val="18"/>
                <w:szCs w:val="18"/>
                <w:color w:val="auto"/>
              </w:rPr>
              <w:t>21,724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exercise right privileges (note 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7,109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and non-qualified benefit plans (note 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76,257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CME Group has commitments under operating leases for certain facilities that are accounted for in accordance with SFAS No. 13,</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for Leases.” On August 24, 2007,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Annual minimum payments under the headquarters operating lease now range from $6.9 million to $11.1 million. This operating lease also includes CME’s trading facilities, which were previously leased from CME Trust and were sold by CME Trust to the building’s new owner during 2007. CME established CME Trust in 1969 but does not maintain any residual interest in any of its assets.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August 2006, CME Group entered into an operating lease for additional office space in Chicago. The initial lease term, which became effective on August 10, 2006, terminates on November 30, 2023. The lease contains two 5-year renewal options beginning in 2023. Annual minimum rentals for this lease range from $1.5 million to $5.6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CME Group also maintains an operating lease for office space in London which became effective on November 3, 2006. The lease will terminate on March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However, CME Group has an option to terminate the lease without penalty on December 25, 2011. Annual minimum rentals range from $1.1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If CME Group does not exercise the option to terminate the lease on December 25, 2011, annual minimum rental payments will be $1.3 million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In conjunction with this lease, CME Group entered into an agreement to sublease a portion of this space to FXMS. Annual minimum rent revenues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sublease, which terminates on February 26, 2019, range from $0.5 million to $0.6 million. The sublease will terminate if CME Group exercises the option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terminate the lease between itself and the landlord on December 25,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Leases for other locations where CME Group maintains space expire at various times from 2012 to 2014 with annual minimum rentals that will not exceed $4.9 million in any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$31.4 million in 2007, $24.7 million in 2006 and $23.3 million in 2005.</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long-term liabilities as well as contractual obligations that are non-cancelable. These contractual obligations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$105.0 million at December 31, 2007 and relate primarily to software licenses, hardware and maintenance as well as telecommunication services that are expensed as the related services are used.</w:t>
      </w:r>
    </w:p>
    <w:p>
      <w:pPr>
        <w:spacing w:after="0" w:line="13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Future minimum obligations under non-cancelable operating leases, purchase obligations and other liabilities in effect at December 31, 2007 are payable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Purchase</w:t>
            </w: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Liabilities</w:t>
            </w:r>
          </w:p>
        </w:tc>
        <w:tc>
          <w:tcPr>
            <w:tcW w:w="22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2"/>
              </w:rPr>
              <w:t>$ 21,651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2009</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9,408</w:t>
            </w: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2011</w:t>
            </w: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6,356</w:t>
            </w: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147,922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232,342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104,992</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2"/>
              </w:rPr>
              <w:t>$ 21,651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Licensing Agreements. </w:t>
      </w:r>
      <w:r>
        <w:rPr>
          <w:rFonts w:ascii="Arial" w:cs="Arial" w:eastAsia="Arial" w:hAnsi="Arial"/>
          <w:sz w:val="18"/>
          <w:szCs w:val="18"/>
          <w:color w:val="auto"/>
        </w:rPr>
        <w:t>CME Group has various licensing agreements including agreements with The Nasdaq Stock Market (NASDAQ) and Dow Jones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equity index products. The license agreement with NASDAQ is exclusive with respect to futures and options on futures contracts based on certain NASDAQ indexes through October 9, 2012.</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11, 2007, CME Group renewed its product licensing agreement with Dow Jones. The agreement enables the exchange to continue to exclusively offer futures and options on futures products based on the Dow Jones Industrial Average and other Dow Jones Indexes. The new agreement is effective January 1, 2008 through December 31, 2014 and includes an upfront payment as well as minimum annual payments. The agreement also includes a provision for a five year renewal term and successive annual renewal terms after the initial five year renewal term. The upfront payment will be recognized over the initial term of the agreement.</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licensing agreement CME Group maintained with the Frank Russell Company to license the Russell 2000 Index expires in September 2008 and will not be renewed.</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Managed Service Agreement. </w:t>
      </w:r>
      <w:r>
        <w:rPr>
          <w:rFonts w:ascii="Arial" w:cs="Arial" w:eastAsia="Arial" w:hAnsi="Arial"/>
          <w:sz w:val="18"/>
          <w:szCs w:val="18"/>
          <w:color w:val="auto"/>
        </w:rPr>
        <w:t>As a result of its recent merger with CBOT Holdings, the company has assumed a managed service agreement with Atos Euronext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Solutions for use of the e-CBOT trading platform. Initially set to expire on December 31, 2008, the agreement is now scheduled to terminate on July 17,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These agreements are included in the preceding contractual obligations table.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CONTINGENCIES AND GUARANTEES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On October 14,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CBOE. The lawsuit seeks to enforce and protect the ERPs. The lawsuit alleges that these ERPs allow CBOT’s full members who hold them to become full members of CBOE and to participate on an equal basis with other members of CBOE in CBOE’s announced plans to demutualize. On January 4, 2007, the plaintiffs filed a Second Amended Complaint, in which they added a count seeking a declaration that, contrary to the position taken by the CBOE before the Securities and Exchange Commission (SEC), the merger between CBOT Holdings and CME Holdings would not result in the termination of the ERPs. The lawsuit seeks declaratory and injunctive relief as well as recovery of attorneys’ fees. On January 11, 2007, the plaintiffs filed a motion for partial summary judgment. On January 16, 2007, the defendants filed a motion to dismiss the Second Amended Complaint. On January 15, 2008, the SEC approved CBOE’s rule interpretation that no person qualifies to become or remain a CBOE exerciser member following the merger. All parties to the litigation and the judge have agreed that the stay previously granted in August 2007, which was implemented pending the SEC’s decision, is no longer in effect and CBOT has filed a motion seeking to amend its complaint to reflect current circumstances.</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CBOE Exercise Right Privileges. </w:t>
      </w:r>
      <w:r>
        <w:rPr>
          <w:rFonts w:ascii="Arial" w:cs="Arial" w:eastAsia="Arial" w:hAnsi="Arial"/>
          <w:sz w:val="16"/>
          <w:szCs w:val="16"/>
          <w:color w:val="auto"/>
        </w:rPr>
        <w:t>Under the terms of the merger agreement, eligible CBOT members who hold ERPs were each given the choice of tendering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their ERP to the company for $250,000 payable after the closing or to participate as a class member in the CBOE lawsuit with a guaranteed payment of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$250,000 from the company if the lawsuit results in a recovery of less than that amount. At the close of the merger, there were 1,331 ERPs outstanding. In August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2007, 159 ERPs were tendered to the company. As of December 31, 2007, there were 1,172 outstanding ERPs that could seek recovery from CME Group 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guarantee election. The maximum possible aggregate payment under the guarantee is $293.0 million. At December 31, 2007, the company’s liability under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guarantee, which is recorded at fair value and included in other liabilities in its consolidated balance sheet, was estimated as $14.0 million.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guarantee will continue to be adjusted on a quarterly basis until the lawsuit is resolved.</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Employment-related Agreements. </w:t>
      </w:r>
      <w:r>
        <w:rPr>
          <w:rFonts w:ascii="Arial" w:cs="Arial" w:eastAsia="Arial" w:hAnsi="Arial"/>
          <w:sz w:val="18"/>
          <w:szCs w:val="18"/>
          <w:color w:val="auto"/>
        </w:rPr>
        <w:t>The exchange has employment agreements and other retention arrangements with Terrence A. Duffy, Executive Chairman and</w:t>
      </w:r>
      <w:r>
        <w:rPr>
          <w:rFonts w:ascii="Arial" w:cs="Arial" w:eastAsia="Arial" w:hAnsi="Arial"/>
          <w:sz w:val="18"/>
          <w:szCs w:val="18"/>
          <w:i w:val="1"/>
          <w:iCs w:val="1"/>
          <w:color w:val="auto"/>
        </w:rPr>
        <w:t xml:space="preserve"> </w:t>
      </w:r>
      <w:r>
        <w:rPr>
          <w:rFonts w:ascii="Arial" w:cs="Arial" w:eastAsia="Arial" w:hAnsi="Arial"/>
          <w:sz w:val="18"/>
          <w:szCs w:val="18"/>
          <w:color w:val="auto"/>
        </w:rPr>
        <w:t>Craig S. Donohue, Chief Executive Officer.</w:t>
      </w:r>
    </w:p>
    <w:p>
      <w:pPr>
        <w:spacing w:after="0" w:line="132"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Effective November 1, 2006, Mr. Duffy became the Executive Chairman, an executive officer of the company. For his service, Mr. Duffy receives as annual base salary of $1.0 million. Pursuant to a resolution approved by the Compensation Committee and the Board of Directors, Mr. Duffy is entitled to a retention payment in the amount of his annual base salary, if at the end of his term as Executive Chairman he is willing and able to serve another term as Executive Chairman and is not nominated for re-election to the Board and/or is not re-elected to the position of Executive Chairman by the members of the Board, if he is eligible to serve on the Board, subject to certain conditions. The Compensation Committee also authorized management, subject to annual review by the Committee, to self-insure the supplemental life and long-term disability coverage amounts necessary to provide Mr. Duffy with the same level of life and long-term disability coverage generally provided to employees under the Company’s group life and long-term disability policies. Additionally, the Committee authorized the Company to gross up the self-insured supplemental life insurance amount to account for any taxes on such amount owed by Mr. Duffy’s beneficiaries. Pursuant to this agreement, Mr. Duffy would be entitled to disability insurance benefits based on two-thirds of base pay and life insurance benefits based on three times base pay.</w:t>
      </w:r>
    </w:p>
    <w:p>
      <w:pPr>
        <w:spacing w:after="0" w:line="10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Mr. Donohue’s agreement is through January 1, 2009, subject to renewal by mutual written agreement. Under the terms of the agreement, Mr. Donohue’s annual base salary will be at least $0.9 million. In the event of a termination without cause, as defined in the agreement, Mr. Donohue is entitled to a one-time lump sum severance payment equal to two times his current base salary and will automatically vest in any outstanding equity awards that would have vested during the remaining term of the agreement. In the event Mr. Donohue voluntarily terminates the agreement for good reason, as defined in the agreement, Mr. Donohue is entitled to a one-time lump sum severance payment equal to two times his current base salary and will automatically vest in any outstanding equity awards.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employment agreements also provide that these executive officers are eligible to participate in CME’s benefit plans and programs, including the equity program and annual incentive plan, commensurate with their position in accordance with CME’s policies for executives in effect from time to time.</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SGX have a mutual offset agreement that has been extended through October 2009. When a clearing firm of CME chooses to</w:t>
      </w:r>
      <w:r>
        <w:rPr>
          <w:rFonts w:ascii="Arial" w:cs="Arial" w:eastAsia="Arial" w:hAnsi="Arial"/>
          <w:sz w:val="16"/>
          <w:szCs w:val="16"/>
          <w:i w:val="1"/>
          <w:iCs w:val="1"/>
          <w:color w:val="auto"/>
        </w:rPr>
        <w:t xml:space="preserve"> </w:t>
      </w:r>
      <w:r>
        <w:rPr>
          <w:rFonts w:ascii="Arial" w:cs="Arial" w:eastAsia="Arial" w:hAnsi="Arial"/>
          <w:sz w:val="16"/>
          <w:szCs w:val="16"/>
          <w:color w:val="auto"/>
        </w:rPr>
        <w:t>execute an after-hours trade in an eligible product at SGX, the resulting trade can be transferred from SGX to CME, and CME assumes the financial obligation to SGX for the transferred trade. A similar obligation can occur when a clearing firm of SGX chooses to execute a trade in an eligible product at CME. The net position of each exchange to the other is marked-to-market daily based on the settlement prices of the applicable exchange, and settlement is made between the exchanges in cash. Since settlement prices at each exchange may differ at the end of any given day and Singapore and Chicago operate in different time zones, there may be a difference between the two settlement amounts and there will be a difference in the timing of the settlement. To allow for adequate and timely funding of the settlement and in the unlikely event of a payment default by a clearing firm, CME and SGX each maintain collateral payable to the other exchange. CME can maintain collateral in the form of U.S. Treasury securities or irrevocable letters of credit. At December 31, 2007, CME was contingently liable to SGX on irrevocable letters of credit totaling $113.0 million and had pledged securities with a fair value of $100.1 million. Regardless of the collateral, CME guarantees all cleared transactions submitted through SGX and would initiate procedures designed to satisfy these financial obligations in the event of a default, such as the use of security deposits and performance bonds of the defaulting clearing firm.</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Cross-Margin Agreements. </w:t>
      </w:r>
      <w:r>
        <w:rPr>
          <w:rFonts w:ascii="Arial" w:cs="Arial" w:eastAsia="Arial" w:hAnsi="Arial"/>
          <w:sz w:val="16"/>
          <w:szCs w:val="16"/>
          <w:color w:val="auto"/>
        </w:rPr>
        <w:t>CME and OCC have a cross-margin arrangement, whereby a common clearing firm may maintain a cross-margin account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are split 50% each to CME and OCC.</w:t>
      </w:r>
    </w:p>
    <w:p>
      <w:pPr>
        <w:spacing w:after="0" w:line="11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 cross-margin agreement with LCH became effective in March 2000, whereby clearing firms’ offsetting positions with CME and LCH are subject to reduced margin requirements. Similar cross-margin agreements exist with FICC and NYMEX whereby clearing firms’ offsetting positions with CME and FICC or CME and NYMEX are subject to reduced margin requirements. Clearing firms maintain separate performance bond deposits with each clearing house, but depending on the net offsetting positions between CME and LCH, CME and FICC, or CME and NYMEX, as applicable,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are split evenly between CME and the applicable clearing house.</w:t>
      </w:r>
    </w:p>
    <w:p>
      <w:pPr>
        <w:spacing w:after="0" w:line="14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Additionally, for the LCH, FICC, and NYMEX cross-margin agreements,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will be shared with the other clearing houses to the extent that they have a remaining liquidating deficit. Any remaining surplus funds will be passed to the bankruptcy trustee.</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GFX Letter of Credit. </w:t>
      </w:r>
      <w:r>
        <w:rPr>
          <w:rFonts w:ascii="Arial" w:cs="Arial" w:eastAsia="Arial" w:hAnsi="Arial"/>
          <w:sz w:val="16"/>
          <w:szCs w:val="16"/>
          <w:color w:val="auto"/>
        </w:rPr>
        <w:t>CME guarantees a $5.0 million standby letter of credit for GFX. The beneficiary of the letter of credit is the clearing firm that is used by</w:t>
      </w:r>
      <w:r>
        <w:rPr>
          <w:rFonts w:ascii="Arial" w:cs="Arial" w:eastAsia="Arial" w:hAnsi="Arial"/>
          <w:sz w:val="16"/>
          <w:szCs w:val="16"/>
          <w:i w:val="1"/>
          <w:iCs w:val="1"/>
          <w:color w:val="auto"/>
        </w:rPr>
        <w:t xml:space="preserve"> </w:t>
      </w:r>
      <w:r>
        <w:rPr>
          <w:rFonts w:ascii="Arial" w:cs="Arial" w:eastAsia="Arial" w:hAnsi="Arial"/>
          <w:sz w:val="16"/>
          <w:szCs w:val="16"/>
          <w:color w:val="auto"/>
        </w:rPr>
        <w:t>GFX to execute and maintain its futures positions. Per exchange requirements, GFX is required to place performance bond deposits with its clearing firm. The letter of credit, utilized as performance bond, will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107"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i w:val="1"/>
          <w:iCs w:val="1"/>
          <w:color w:val="auto"/>
        </w:rPr>
        <w:t>Swapstream Acquisition</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25, 2006, CME Holdings completed its acquisition of Swapstream. Additional cash purchase consideration of up to $20.2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is payable contingent upon meeting specific performance conditions during the first five years of operations. Contingent consideration will be recorded as additional purchase price and will increase goodwill. To date, no contingent consideration obligations have been incurred under this arrangement.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Some agreements with customers accessing the Swapstream electronic trading platform, the Clearing 21 platform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CME Globex platform; utilizing market data services; and licensing CME SPAN software contain indemnifications from intellectual property claims that may be made against them as a result of their use of these products and services. The potential future claims relating to these indemnifications cannot be estimated and, therefore, in accordance with FIN No. 45, “Guarantor’s Accounting and Disclosure Requirements for Guarantees, Including Guarantees of Indebtedness of Others,” no liability has been recorded.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DERIVATIVES TRANSACTIONS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GFX engages in the trading of certain CME futures contracts, primarily in foreign exchange products. GFX posts bids and offers in these products on the CME Globex electronic trading platform to maintain a market and promote additional liquidity in these contracts. GFX limits risk from these transactions through offsetting transactions using futures contracts or spot foreign exchange transactions with approved counterparties in the interbank market. Formal trading limits have been established. Futures transactions are cleared by an independent clearing firm. Any residual open positions are marked-to-market on a daily basis and all realized and unrealized gains and losses are included in other revenues in the accompanying consolidated statements of income. Net trading gains totaled $9.2 million in 2007, $7.0 million in 2006 and $7.6 million in 2005. At December 31, 2007, futures positions held by GFX had a notional value of $131.7 million, offset by a similar amount of spot foreign exchange positions, resulting in a zero net position.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a result of the merger with CBOT Holdings, CME Group assumed foreign currency forward contracts accounted for as fair value hedges. These contracts are intended to offset the effect of foreign exchange rate fluctuations on firm commitments for purchases of fixed annual and quarterly services denominated in pounds sterling. Forward contracts designated as hedges had a notional value of $13.3 million (£6.7 million) and a fair value of $1.8 million at December 31, 2007. No gains or losses were excluded from the assessment of hedge effectiveness in 2007. Certain forward contracts previously designated as hedges have been undesignated as result of negotiations with vendors which resulted in a reduction of liabilities previously hedged. Forward contracts which were undesignated had a notional value of $6.0 million (£3.0 million) and a fair value of $0.8 million at December 31, 2007. The fair value of forward contracts is recorded in other current assets in the consolidated balance sheets. Losses related to contracts that no longer qualify for hedge accounting totaled $0.1 million in 2007. Gains and losses on hedging contracts and the underlying hedged items are recorded in investment income in the consolidated statements of income to the extent that the hedges are effective. Gains and losses on non-hedging contracts are also recorded in 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STOCK</w:t>
      </w:r>
    </w:p>
    <w:p>
      <w:pPr>
        <w:spacing w:after="0" w:line="9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As of December 31, 2007, 53.3 million shares of Class A common stock, 625 shares of Class B-1 common stock, 813 shares of Class B-2</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1,287 shares of Class B-3 common stock and 413 shares of Class B-4 common stock were issued and outstanding. CME Group has no shares of preferred stock issued and outstanding.</w:t>
      </w:r>
    </w:p>
    <w:p>
      <w:pPr>
        <w:spacing w:after="0" w:line="1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its merger with CBOT Holdings, CME Group amended its certificate of incorporation to increase the number of authorized shares of Class A common stock to 1.0 billion shares from 138 million shares.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August 1, 2007, CME Group commenced a fixed price tender offer for up to 6,250,000 shares of its Class A common stock (including the associated preferred stock purchase rights) at a price of $560. The tender offer was completed on September 5, 2007 and CME Group accepted for purchase 1,695,250 shares of its Class A common stock (including the associated preferred stock purchase rights), representing approximately 3.1% of the Class A common stock outstanding at the time of purchase.</w:t>
      </w:r>
    </w:p>
    <w:p>
      <w:pPr>
        <w:spacing w:after="0" w:line="13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Associated Trading Rights. </w:t>
      </w:r>
      <w:r>
        <w:rPr>
          <w:rFonts w:ascii="Arial" w:cs="Arial" w:eastAsia="Arial" w:hAnsi="Arial"/>
          <w:sz w:val="16"/>
          <w:szCs w:val="16"/>
          <w:color w:val="auto"/>
        </w:rPr>
        <w:t>CME Group operates two separate self-regulatory organizations through its wholly owned subsidiaries, CME and CBOT.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particular exchange own or lease trading rights which entitle them to access to the trading floors and to discounts on trading fees as provided for by the rules of the particular exchange.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Trading rights at CBOT are evidenced by Class B memberships in CBOT. Class B members of CBOT do not have any rights to elect members of the Board of Directors and are not entitled to receive dividends or other distributions on their Class B memberships in CBOT.</w:t>
      </w:r>
    </w:p>
    <w:p>
      <w:pPr>
        <w:spacing w:after="0" w:line="12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Core Rights. </w:t>
      </w:r>
      <w:r>
        <w:rPr>
          <w:rFonts w:ascii="Arial" w:cs="Arial" w:eastAsia="Arial" w:hAnsi="Arial"/>
          <w:sz w:val="16"/>
          <w:szCs w:val="16"/>
          <w:color w:val="auto"/>
        </w:rPr>
        <w:t>Holders of CME Group Class B common shares have the right to approve changes in specified rights relating to the trading privileges at CME</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those shares. These core rights include allocation of products that a holder of trading rights is permitted to trade through the exchange; the trading floor access rights and privileges of members; the number of memberships in each membership class and the number of authorized and issued shares of Class B common stock associated with that class; and eligibility requirements to exercise trading rights associated with Class B shares.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1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common stock vote together on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for which a vote of common shareholders is required. In these votes, each holder of shares of Class A or Class B common stock of CME Group has one vote per share.</w:t>
      </w:r>
    </w:p>
    <w:p>
      <w:pPr>
        <w:spacing w:after="0" w:line="132"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Each class of CME Group Class B common stock is subject to transfer restrictions contained in the Certificate of Incorporation of CME</w:t>
      </w:r>
      <w:r>
        <w:rPr>
          <w:rFonts w:ascii="Arial" w:cs="Arial" w:eastAsia="Arial" w:hAnsi="Arial"/>
          <w:sz w:val="16"/>
          <w:szCs w:val="16"/>
          <w:b w:val="1"/>
          <w:bCs w:val="1"/>
          <w:color w:val="auto"/>
        </w:rPr>
        <w:t xml:space="preserve"> </w:t>
      </w:r>
      <w:r>
        <w:rPr>
          <w:rFonts w:ascii="Arial" w:cs="Arial" w:eastAsia="Arial" w:hAnsi="Arial"/>
          <w:sz w:val="16"/>
          <w:szCs w:val="16"/>
          <w:color w:val="auto"/>
        </w:rPr>
        <w:t>Group. These transfer restrictions prohibit the sale or transfer of any shares of Class B common stock separate from the sale of the associated trading rights.</w:t>
      </w:r>
    </w:p>
    <w:p>
      <w:pPr>
        <w:spacing w:after="0" w:line="7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The CME Group Board of Directors is composed of 30 members, consisting of 20 directors from CME Holdings and 10 directors from</w:t>
      </w:r>
      <w:r>
        <w:rPr>
          <w:rFonts w:ascii="Arial" w:cs="Arial" w:eastAsia="Arial" w:hAnsi="Arial"/>
          <w:sz w:val="16"/>
          <w:szCs w:val="16"/>
          <w:b w:val="1"/>
          <w:bCs w:val="1"/>
          <w:color w:val="auto"/>
        </w:rPr>
        <w:t xml:space="preserve"> </w:t>
      </w:r>
      <w:r>
        <w:rPr>
          <w:rFonts w:ascii="Arial" w:cs="Arial" w:eastAsia="Arial" w:hAnsi="Arial"/>
          <w:sz w:val="16"/>
          <w:szCs w:val="16"/>
          <w:color w:val="auto"/>
        </w:rPr>
        <w:t>CBOT Holdings. Holders of Class A and Class B common stock have the right to vote together in the election of 24 directors. Until 2012, at least ten of these 24 directors must be CBOT directors as defined by our bylaws. Holders of Class B-1, Class B-2 and Class B-3 common stock have the right to elect the remaining six directors, of which three are elected by Class B-1 shareholders, two are elected by Class B-2 shareholders and one is elected by Class B-3 shareholders.</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Board of Directors.</w:t>
      </w:r>
    </w:p>
    <w:p>
      <w:pPr>
        <w:spacing w:after="0" w:line="12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Ownership Requirements. </w:t>
      </w:r>
      <w:r>
        <w:rPr>
          <w:rFonts w:ascii="Arial" w:cs="Arial" w:eastAsia="Arial" w:hAnsi="Arial"/>
          <w:sz w:val="16"/>
          <w:szCs w:val="16"/>
          <w:color w:val="auto"/>
        </w:rPr>
        <w:t>As of December 31, 2007, each clearing firm clearing only CME or CBOT products was required to own 8,000 shares of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 addition to either the Class B common stock of CME Group or the associated CBOT trading privileges, as applicable. For firms clearing products at both CME and CBOT, the Class A common stock ownership requirement is increased to 12,000 shares. The total Class A common stock held by our clearing firms pursuant to this requirement was 1.1 million shares at December 31, 2007.</w:t>
      </w:r>
    </w:p>
    <w:p>
      <w:pPr>
        <w:spacing w:after="0" w:line="103"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auto"/>
        </w:rPr>
        <w:t xml:space="preserve">Shareholder Rights Provisions. </w:t>
      </w:r>
      <w:r>
        <w:rPr>
          <w:rFonts w:ascii="Arial" w:cs="Arial" w:eastAsia="Arial" w:hAnsi="Arial"/>
          <w:sz w:val="15"/>
          <w:szCs w:val="15"/>
          <w:color w:val="auto"/>
        </w:rPr>
        <w:t>The Board of Directors of CME Group has adopted a plan creating rights that entitle CME Group’s shareholders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CME Group stock in the event that a third party initiates a transaction designed to take over the company. This rights plan is intended to encourage persons seeking to acquire control of CME Group to engage in arms-length negotiations with the Board of Directors and management. The rights are attached to all outstanding shares of CME Group common stock, and each right entitles the shareholder to purchase one one-thousandth of a share of Series A junior participating preferred stock at a purchase price of $1,000 per unit. The rights should not interfere with any merger or other business combination approved by the Board of Directors since the rights may be amended to permit such acquisition or redeemed by the company under the terms of the plan. In the event the rights become exercisable, each holder of a right shall receive, upon exercise, Class A common stock having a value equal to two times the exercise price of the right.</w:t>
      </w:r>
    </w:p>
    <w:p>
      <w:pPr>
        <w:spacing w:after="0" w:line="10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Omnibus Stock Plan. </w:t>
      </w:r>
      <w:r>
        <w:rPr>
          <w:rFonts w:ascii="Arial" w:cs="Arial" w:eastAsia="Arial" w:hAnsi="Arial"/>
          <w:sz w:val="18"/>
          <w:szCs w:val="18"/>
          <w:color w:val="auto"/>
        </w:rPr>
        <w:t>CME Group has adopted an Omnibus Stock Plan under which stock-based awards may be made to employees. A total of 4.0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shares have been reserved for awards under the plan. Awards totaling 3.2 million shares have been granted and are outstanding or have been exercised under this plan at December 31, 2007 (note 22).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Long-Term Equity Incentive Plan. </w:t>
      </w:r>
      <w:r>
        <w:rPr>
          <w:rFonts w:ascii="Arial" w:cs="Arial" w:eastAsia="Arial" w:hAnsi="Arial"/>
          <w:sz w:val="18"/>
          <w:szCs w:val="18"/>
          <w:color w:val="auto"/>
        </w:rPr>
        <w:t>In connection with the merger, CME Group assumed CBOT Holdings’ Long-Term Equity Incentive Plan.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awards may be made to certain directors, officers and other key employees or individuals. A total of 0.4 million shares have been reserved for awards under the plan. No awards have been granted under this plan subsequent to the merger and approximately 0.3 million shares remain available for future awards (note 22).</w:t>
      </w:r>
    </w:p>
    <w:p>
      <w:pPr>
        <w:spacing w:after="0" w:line="13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25,000 Class A shares have been reserved under this plan, and approximately 9,500 shares have been awarded through December 31, 2007 (note 22).</w:t>
      </w:r>
    </w:p>
    <w:p>
      <w:pPr>
        <w:spacing w:after="0" w:line="13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40,000 Class A shares have been reserved under this plan, of which approximately 5,300 shares have been purchased through December 31, 2007 (note 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PAYMENTS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all periods presented, the company has utilized the fair value method of accounting for share-based payments, as provided in SFAS No. 123(R), “Share-Based Payment.” Effective January 1, 2006, the company began to estimate expected forfeitures of stock grants, as required by SFAS No. 123(R), instead of the previous practice of accounting for forfeitures as they occur.</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Employee Options and Restricted Stock Awards. </w:t>
      </w:r>
      <w:r>
        <w:rPr>
          <w:rFonts w:ascii="Arial" w:cs="Arial" w:eastAsia="Arial" w:hAnsi="Arial"/>
          <w:sz w:val="18"/>
          <w:szCs w:val="18"/>
          <w:color w:val="auto"/>
        </w:rPr>
        <w:t>CME Group adopted an Omnibus Stock Plan under which stock-based awards may be made to employees. A</w:t>
      </w:r>
      <w:r>
        <w:rPr>
          <w:rFonts w:ascii="Arial" w:cs="Arial" w:eastAsia="Arial" w:hAnsi="Arial"/>
          <w:sz w:val="18"/>
          <w:szCs w:val="18"/>
          <w:b w:val="1"/>
          <w:bCs w:val="1"/>
          <w:color w:val="auto"/>
        </w:rPr>
        <w:t xml:space="preserve"> </w:t>
      </w:r>
      <w:r>
        <w:rPr>
          <w:rFonts w:ascii="Arial" w:cs="Arial" w:eastAsia="Arial" w:hAnsi="Arial"/>
          <w:sz w:val="18"/>
          <w:szCs w:val="18"/>
          <w:color w:val="auto"/>
        </w:rPr>
        <w:t>total of 4.0 million Class A shares have been reserved for awards under the plan. Awards totaling 3.2 million shares have been granted and are outstanding or have been exercised under the plan as of December 31, 2007. Awards granted since 2003 generally vest over a five-year period, with 20% vesting one year after the grant date and on that same date in each of the following four years.</w:t>
      </w:r>
    </w:p>
    <w:p>
      <w:pPr>
        <w:spacing w:after="0" w:line="14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merger with CBOT Holdings, CME Group assumed stock options available or outstanding under CBOT Holdings’ Long-Term Equity Incentive Plan. A total of 0.4 million shares have been reserved for awards under the plan. Awards totaling 109,422 shares were outstanding under this plan at the time the merger closed and CME Group assumed the plan. No options have been awarded under this plan subsequent to the merger.</w:t>
      </w:r>
    </w:p>
    <w:p>
      <w:pPr>
        <w:spacing w:after="0" w:line="10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Total compensation expense for stock-based payments was $22.9 million for the year ended December 31, 2007, $16.4 million for the year ended December 31, 2006, and $12.6 million for the year ended December 31, 2005. The total income tax benefit recognized in the consolidated statements of income for stock-based payment arrangements was $9.1 million, $6.5 million and $5.0 million for the years ended December 31, 2007, 2006 and 2005, respectively.</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Excluding estimates of future forfeitures, at December 31, 2007, there was $43.7 million of total unrecognized compensation expense related to employee stock-based compensation arrangements that had not yet vested. That expense is expected to be recognized over a weighted average period of 2.4 years.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Employee Options. </w:t>
      </w:r>
      <w:r>
        <w:rPr>
          <w:rFonts w:ascii="Arial" w:cs="Arial" w:eastAsia="Arial" w:hAnsi="Arial"/>
          <w:sz w:val="18"/>
          <w:szCs w:val="18"/>
          <w:color w:val="auto"/>
        </w:rPr>
        <w:t>In 2007, the company granted employees stock options totaling 133,790 shares under the Omnibus Stock Plan. The options have a ten-year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 with exercise prices ranging from $533 to $699, the closing market prices on the day of grant. The fair value of these options totaled $26.4 million, measured at the grant dates using the Black-Scholes valuation model.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of Grant</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2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0.9%</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700" w:type="dxa"/>
            <w:vAlign w:val="bottom"/>
          </w:tcPr>
          <w:p>
            <w:pPr>
              <w:ind w:left="20"/>
              <w:spacing w:after="0"/>
              <w:rPr>
                <w:sz w:val="20"/>
                <w:szCs w:val="20"/>
                <w:color w:val="auto"/>
              </w:rPr>
            </w:pPr>
            <w:r>
              <w:rPr>
                <w:rFonts w:ascii="Arial" w:cs="Arial" w:eastAsia="Arial" w:hAnsi="Arial"/>
                <w:sz w:val="18"/>
                <w:szCs w:val="18"/>
                <w:color w:val="auto"/>
                <w:w w:val="99"/>
              </w:rPr>
              <w:t>– 32.9%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700" w:type="dxa"/>
            <w:vAlign w:val="bottom"/>
          </w:tcPr>
          <w:p>
            <w:pPr>
              <w:ind w:left="40"/>
              <w:spacing w:after="0"/>
              <w:rPr>
                <w:sz w:val="20"/>
                <w:szCs w:val="20"/>
                <w:color w:val="auto"/>
              </w:rPr>
            </w:pPr>
            <w:r>
              <w:rPr>
                <w:rFonts w:ascii="Arial" w:cs="Arial" w:eastAsia="Arial" w:hAnsi="Arial"/>
                <w:sz w:val="18"/>
                <w:szCs w:val="18"/>
                <w:color w:val="auto"/>
                <w:w w:val="96"/>
              </w:rPr>
              <w:t>– 37.9%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700" w:type="dxa"/>
            <w:vAlign w:val="bottom"/>
          </w:tcPr>
          <w:p>
            <w:pPr>
              <w:ind w:left="20"/>
              <w:spacing w:after="0"/>
              <w:rPr>
                <w:sz w:val="20"/>
                <w:szCs w:val="20"/>
                <w:color w:val="auto"/>
              </w:rPr>
            </w:pPr>
            <w:r>
              <w:rPr>
                <w:rFonts w:ascii="Arial" w:cs="Arial" w:eastAsia="Arial" w:hAnsi="Arial"/>
                <w:sz w:val="18"/>
                <w:szCs w:val="18"/>
                <w:color w:val="auto"/>
                <w:w w:val="99"/>
              </w:rPr>
              <w:t>– 42.8%</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Expected life</w:t>
            </w:r>
          </w:p>
        </w:tc>
        <w:tc>
          <w:tcPr>
            <w:tcW w:w="296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c>
          <w:tcPr>
            <w:tcW w:w="20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c>
          <w:tcPr>
            <w:tcW w:w="2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6 – 6.5 years</w:t>
            </w:r>
          </w:p>
        </w:tc>
      </w:tr>
      <w:tr>
        <w:trPr>
          <w:trHeight w:val="356"/>
        </w:trPr>
        <w:tc>
          <w:tcPr>
            <w:tcW w:w="3320" w:type="dxa"/>
            <w:vAlign w:val="bottom"/>
          </w:tcPr>
          <w:p>
            <w:pPr>
              <w:spacing w:after="0"/>
              <w:rPr>
                <w:sz w:val="24"/>
                <w:szCs w:val="24"/>
                <w:color w:val="auto"/>
              </w:rPr>
            </w:pPr>
          </w:p>
        </w:tc>
        <w:tc>
          <w:tcPr>
            <w:tcW w:w="2960" w:type="dxa"/>
            <w:vAlign w:val="bottom"/>
          </w:tcPr>
          <w:p>
            <w:pPr>
              <w:jc w:val="right"/>
              <w:ind w:right="812"/>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dividend yield was calculated by dividing that year’s expected dividend by the market price of the stock at the date of grant. Expected volatility was determined using a weighted-average implied volatility of traded options on the company’s stock. Historical volatility was evaluated, but it was determined that implied volatility was a better measure of expected future volatility. The risk-free rate was based on the U.S. Treasury yield in effect at the time of the grant. Since 2005, the expected life of options granted has been determined using the simplified method as outlined in guidance from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 ended December 31, 2007:</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520" w:type="dxa"/>
            <w:vAlign w:val="bottom"/>
          </w:tcPr>
          <w:p>
            <w:pPr>
              <w:spacing w:after="0"/>
              <w:rPr>
                <w:sz w:val="12"/>
                <w:szCs w:val="12"/>
                <w:color w:val="auto"/>
              </w:rPr>
            </w:pP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0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61"/>
        </w:trPr>
        <w:tc>
          <w:tcPr>
            <w:tcW w:w="75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of Shares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Exercise Price</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910,173</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133,790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Assumed in connection with merger (note 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109,422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(308,745)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(40,612)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804,028</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7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283,210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7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years 2007, 2006, and 2005 was $197, $196 and $100 per share, respectively. The total intrinsic value of options exercised during the years ended December 31, 2007, 2006 and 2005, was $140.9 million, $113.2 million and $107.8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Stock options outstanding at December 31, 2007 had a weighted average remaining contractual life of 7 years and an aggregate intrinsic value of $350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options exercisable at December 31, 2007 had a weighted average remaining contractual life of 6 years and an aggregate intrinsic value of $155 million.</w:t>
      </w:r>
    </w:p>
    <w:p>
      <w:pPr>
        <w:spacing w:after="0" w:line="18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i w:val="1"/>
          <w:iCs w:val="1"/>
          <w:color w:val="auto"/>
        </w:rPr>
        <w:t xml:space="preserve">Employee Restricted Stock. </w:t>
      </w:r>
      <w:r>
        <w:rPr>
          <w:rFonts w:ascii="Arial" w:cs="Arial" w:eastAsia="Arial" w:hAnsi="Arial"/>
          <w:sz w:val="15"/>
          <w:szCs w:val="15"/>
          <w:color w:val="auto"/>
        </w:rPr>
        <w:t>In 2007, the company also granted 12,015 shares of restricted Class A common stock which generally have a vesting period of 2 to 5</w:t>
      </w:r>
      <w:r>
        <w:rPr>
          <w:rFonts w:ascii="Arial" w:cs="Arial" w:eastAsia="Arial" w:hAnsi="Arial"/>
          <w:sz w:val="15"/>
          <w:szCs w:val="15"/>
          <w:i w:val="1"/>
          <w:iCs w:val="1"/>
          <w:color w:val="auto"/>
        </w:rPr>
        <w:t xml:space="preserve"> </w:t>
      </w:r>
      <w:r>
        <w:rPr>
          <w:rFonts w:ascii="Arial" w:cs="Arial" w:eastAsia="Arial" w:hAnsi="Arial"/>
          <w:sz w:val="15"/>
          <w:szCs w:val="15"/>
          <w:color w:val="auto"/>
        </w:rPr>
        <w:t>years. The fair value related to these grants is $6.6 million, which will be recognized as compensation expense on an accelerated basis over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for the period: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77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77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of Shares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19,250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12,015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Cancelled</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7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22,715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7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total fair value of restricted stock that vested during the years ended December 31, 2007, 2006 and 2005, was $3.8 million, $3.2 million and $5.9 million, respectively.</w:t>
      </w:r>
    </w:p>
    <w:p>
      <w:pPr>
        <w:spacing w:after="0" w:line="12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Eligible employees may acquire shares of CME Group’s Class A common stock using after-tax payroll deductions made during</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offering periods of approximately six months in duration. Shares are purchased at the end of each offering period at a price of 90% of the closing price of the Class A common stock as reported on the New York Stock Exchange. Compensation expense is recognized on the date of purchase for the discount from the closing price. In 2007, 2006 and 2005, a total of 2,103, 2,089 and 1,124 shares, respectively, of Class A common stock were issued to participating employees. These shares are subject to a six-month holding period. Expense of $129,000, $101,000 and $42,000 for the purchase discount was recognized in 2007, 2006 and 2005,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Director Stock Plan. </w:t>
      </w:r>
      <w:r>
        <w:rPr>
          <w:rFonts w:ascii="Arial" w:cs="Arial" w:eastAsia="Arial" w:hAnsi="Arial"/>
          <w:sz w:val="16"/>
          <w:szCs w:val="16"/>
          <w:color w:val="auto"/>
        </w:rPr>
        <w:t>In 2005, CME Holdings added an equity component to its compensation for non-executive members of the Board of Directors.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terms of the 2005 Director Stock Plan, non-executive directors received 100 shares of Class A common stock annually. Directors were also permitted to elect to receive some or all of the $17,500 cash portion of their annual stipend in shares of stock based on the closing price at the date of distribution. In August 2006, the cash portion of the annual stipend increased to $25,000. Non-executive directors may continue to elect to receive some or all of the cash portion of their annual stipend in shares of stock based on the closing price at the date of distribution. Additionally, each non-executive director now receives an annual award of Class A common stock with a value equal to $75,000. As a result, 4,072, 3,187 and 2,233 shares of Class A common stock were issued to non-executive directors during 2007, 2006 and 2005, respectively. These shares are not subject to any vesting restrictions. Expense of $1.7 million, $1.0 million and $0.3 million related to these stock-based payments was recognized for the years ended December 31, 2007, 2006 and 2005,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ACCUMULATED OTHER COMPREHENSIVE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changes in each component of accumulated other comprehensive income (loss), net of tax: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4"/>
                <w:szCs w:val="14"/>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Actuarial</w:t>
            </w: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Foreign</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Gain(Loss)</w:t>
            </w: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Gain(Loss)</w:t>
            </w: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on Defined</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6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on Securities</w:t>
            </w: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Benefit Plans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Adjustment to initially adopt SFAS No. 158</w:t>
            </w:r>
          </w:p>
        </w:tc>
        <w:tc>
          <w:tcPr>
            <w:tcW w:w="18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(1,779)</w:t>
            </w: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2006</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4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(1,779)</w:t>
            </w:r>
          </w:p>
        </w:tc>
        <w:tc>
          <w:tcPr>
            <w:tcW w:w="100" w:type="dxa"/>
            <w:vAlign w:val="bottom"/>
          </w:tcPr>
          <w:p>
            <w:pPr>
              <w:spacing w:after="0"/>
              <w:rPr>
                <w:sz w:val="19"/>
                <w:szCs w:val="19"/>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(2,363)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2007</w:t>
            </w: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gridSpan w:val="3"/>
            <w:vMerge w:val="continue"/>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223</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(4,142)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817</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EARNINGS PER SHARE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Basic earnings per share is computed by dividing net income by the weighted average number of all classes of common stock outstanding during each year. Diluted earnings per share reflects the increase in shares using the treasury stock method to reflect the impact of an equivalent number of shares of common stock if stock options were exercised and restricted stock awards were converted into common stock. There were 134,100, 137,300 and 218,900 outstanding stock options at December 31, 2007, 2006 and 2005, respectively, which were anti-dilutive.</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658,533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407,348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Effect of stock options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44,107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60" w:type="dxa"/>
            <w:vAlign w:val="bottom"/>
          </w:tcPr>
          <w:p>
            <w:pPr>
              <w:jc w:val="right"/>
              <w:ind w:right="239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INFORMATION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Third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332,331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329,009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565,222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529,539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1,756,101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200,583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345,015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312,626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(10,695)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215,357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334,320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336,692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130,028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201,572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201,058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322"/>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251,717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282,209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274,705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281,316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138,888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166,842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158,311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150,501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179,894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170,748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CME Group completed its transaction with BM&amp;F on February 26, 2008. CME Group issued 1.2 million shares of Class A common stock (approximately a 2% equity interest in the company) at a cost of $631.4 million in exchange for 101.1 million shares in BM&amp;F, which represents an equity interest of approximately 10%. Under the terms of the agreement, neither CME Group nor BM&amp;F may sell its equity interest in the other until February 2012.</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85"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2007. The scope of this assessment included the combined operations of CME Group which includes the operations of the former CBOT Holdings. Management based this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Based on this assessment, management believes that, as of December 31, 2007, our internal control over financial reporting is effective. The effectiveness of our internal control over financial reporting as of December 31, 2007 has been audited by Ernst &amp; Young LLP, an independent registered public accounting firm, as stated in the following report.</w:t>
      </w:r>
    </w:p>
    <w:p>
      <w:pPr>
        <w:spacing w:after="0" w:line="215" w:lineRule="exact"/>
        <w:rPr>
          <w:sz w:val="20"/>
          <w:szCs w:val="20"/>
          <w:color w:val="auto"/>
        </w:rPr>
      </w:pPr>
    </w:p>
    <w:p>
      <w:pPr>
        <w:ind w:right="5280"/>
        <w:spacing w:after="0" w:line="347" w:lineRule="auto"/>
        <w:rPr>
          <w:sz w:val="20"/>
          <w:szCs w:val="20"/>
          <w:color w:val="auto"/>
        </w:rPr>
      </w:pPr>
      <w:r>
        <w:rPr>
          <w:rFonts w:ascii="Arial" w:cs="Arial" w:eastAsia="Arial" w:hAnsi="Arial"/>
          <w:sz w:val="18"/>
          <w:szCs w:val="18"/>
          <w:b w:val="1"/>
          <w:bCs w:val="1"/>
          <w:color w:val="auto"/>
        </w:rPr>
        <w:t>REPORTS OF INDEPENDENT REGISTERED PUBLIC ACCOUNTING FIRM To The Board of Directors and Shareholders of CME Group Inc.</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CME Group Inc.’s internal control over financial reporting as of December 31, 2007, based on criteria established in Internal Control— Integrated Framework issued by the Committee of Sponsoring Organizations of the Treadway Commission (the COSO criteria). CME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our opinion, CME Group Inc. maintained, in all material respects, effective internal control over financial reporting as of December 31, 2007, based on the COSO criteria.</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as of December 31, 2007 and 2006, and the related consolidated statements of income, shareholders’ equity, and cash flows for each of the three years in the period ended December 31, 2007 of CME Group Inc. and our report dated February 26, 2008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73025</wp:posOffset>
            </wp:positionV>
            <wp:extent cx="2229485" cy="5657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94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CME Group Inc.</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audited the accompanying consolidated balance sheets of CME Group Inc. and subsidiaries (the Company) as of December 31, 2007 and 2006, and the related consolidated statements of income, shareholders’ equity, and cash flows for each of the three years in the period ended December 31, 2007. Our audit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CME Group Inc. and subsidiaries at December 31, 2007 and 2006, and the consolidated results of their operations and their cash flows for each of the three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CME Group Inc.’s internal control over financial reporting as of December 31, 2007, based on criteria established in Internal Control-Integrated Framework issued by the Committee of Sponsoring Organizations of the Treadway Commission and our report dated February 26, 2008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73025</wp:posOffset>
            </wp:positionV>
            <wp:extent cx="2229485" cy="5657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9485" cy="565785"/>
                    </a:xfrm>
                    <a:prstGeom prst="rect">
                      <a:avLst/>
                    </a:prstGeom>
                    <a:noFill/>
                  </pic:spPr>
                </pic:pic>
              </a:graphicData>
            </a:graphic>
          </wp:anchor>
        </w:drawing>
      </w:r>
    </w:p>
    <w:p>
      <w:pPr>
        <w:sectPr>
          <w:pgSz w:w="11900" w:h="16838" w:orient="portrait"/>
          <w:cols w:equalWidth="0" w:num="1">
            <w:col w:w="11400"/>
          </w:cols>
          <w:pgMar w:left="240" w:top="459"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February 26, 2008</w:t>
      </w:r>
    </w:p>
    <w:p>
      <w:pPr>
        <w:sectPr>
          <w:pgSz w:w="11900" w:h="16838" w:orient="portrait"/>
          <w:cols w:equalWidth="0" w:num="1">
            <w:col w:w="11400"/>
          </w:cols>
          <w:pgMar w:left="240" w:top="459" w:right="259"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completed the merger with CBOT Holdings on July 12, 2007, at which time CBOT Holdings merged into CME Holdings and CBOT Holdings’ subsidiaries became subsidiaries of CME Holdings. The Company has extended its Section 404 compliance program under the Sarbanes-Oxley Act of 2002 (the “Act”) and the applicable rules and regulations under such Act to include the operations of the former CBOT Holdings and its subsidiaries.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merger with CBOT Holdings, there were systems and processes that were integrated during the fourth quarter. These systems and processes along with certain processes of CBOT Holdings that were not integrated were included in the scope of management’s assessment of internal control over financial reporting as of December 31, 2007.</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There were no other changes in the Company’s internal control over financial reporting (as such term is defined in Rules 13a-15(f) and 15d-15(f) under the Exchange Act) during the fourth quarter that have materially affected, or are reasonably likely to materially affect, our internal control over financial reporting.</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“Composition of the Board,” “Section 16(a) Beneficial Ownership Reporting Compliance” and “Meetings of Our Board and Board Committees — Audit Committee,” and is incorporated herein by reference, pursuant to General Instruction G(3).</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We have adopted a written code of conduct applicable to all of our employees, including our Chief Executive Officer, Chief Financial Officer and other senior financial officers. In accordance with SEC rules and regulations, our Code of Conduct is available on our Web site at </w:t>
      </w:r>
      <w:r>
        <w:rPr>
          <w:rFonts w:ascii="Arial" w:cs="Arial" w:eastAsia="Arial" w:hAnsi="Arial"/>
          <w:sz w:val="18"/>
          <w:szCs w:val="18"/>
          <w:i w:val="1"/>
          <w:iCs w:val="1"/>
          <w:color w:val="auto"/>
        </w:rPr>
        <w:t>www.cmegroup.com</w:t>
      </w:r>
      <w:r>
        <w:rPr>
          <w:rFonts w:ascii="Arial" w:cs="Arial" w:eastAsia="Arial" w:hAnsi="Arial"/>
          <w:sz w:val="18"/>
          <w:szCs w:val="18"/>
          <w:color w:val="auto"/>
        </w:rPr>
        <w:t xml:space="preserve"> under the “Investor Relations—Corporate Governance” link. We intend to disclose promptly on our Web site any substantive amendments to our Code of Conduct and waivers granted to our executive officers. You may also obtain a copy of our Code of Conduct by following the instructions in the section of this Annual Report on Form 10-K entitled “Item 1. Business — Available Information.”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“Compensation Discussion and Analysis,” “Executive Compensation,” “Director Compensation,” “Compensation Interlocks and Insider Participation” and “Compensation Committee Report” and is incorporated herein by reference, pursuant to General Instruction G(3); provided, however, that the Compensation Committee Report contained in the Proxy Statement is not incorporated herein by reference.</w:t>
      </w:r>
    </w:p>
    <w:p>
      <w:pPr>
        <w:spacing w:after="0" w:line="259" w:lineRule="exact"/>
        <w:rPr>
          <w:sz w:val="20"/>
          <w:szCs w:val="20"/>
          <w:color w:val="auto"/>
        </w:rPr>
      </w:pPr>
    </w:p>
    <w:p>
      <w:pPr>
        <w:ind w:left="1040" w:right="7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information required by this Item relating to the security ownership of certain beneficial owners and management is included in CME Group’s Proxy Statement under the headings “Security Ownership of CME Group Common Stock” and is incorporated herein by reference, pursuant to General Instruction G(3).</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sets forth information regarding outstanding options and shares reserved for future issuance as of December 31, 2007 under our equity compensation plans.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96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 Exercise of</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96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Options (a)</w:t>
            </w:r>
          </w:p>
        </w:tc>
        <w:tc>
          <w:tcPr>
            <w:tcW w:w="9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86"/>
              </w:rPr>
              <w:t>Outstanding Options (b)</w:t>
            </w:r>
          </w:p>
        </w:tc>
        <w:tc>
          <w:tcPr>
            <w:tcW w:w="96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reflected in column (a))(c)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755,953</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265.09</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holders(1)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47,627</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960" w:type="dxa"/>
            <w:vAlign w:val="bottom"/>
          </w:tcPr>
          <w:p>
            <w:pPr>
              <w:spacing w:after="0"/>
              <w:rPr>
                <w:sz w:val="20"/>
                <w:szCs w:val="20"/>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803,580</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250.68</w:t>
            </w:r>
          </w:p>
        </w:tc>
        <w:tc>
          <w:tcPr>
            <w:tcW w:w="96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currently have the following equity compensation plans: the CME Holdings Amended and Restated Omnibus Stock Plan, the CME Holdings Amended and Restated Employee Stock Purchase Plan, the CME Holdings 2005 Director Stock Purchase Plan and the CBOT Holdings 2005 Long-Term Equity Plan. Prior to our holding company reorganization, CME issued options under the Chicago Mercantile Exchange Omnibus Stock Plan, which was not approved by CME shareholders. In connection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with our holding company reorganization in 2001, CME, as the sole stockholder of CME Holdings, approved the assumption by CME Holdings of the Chicago Mercantile Exchange Omnibus Stock Plan. After the reorganization, the plan was amended and restated as the CME Holdings Amended and Restated Omnibus Stock Plan. Options issued prior to the sole shareholder approval are listed in the table above as being made under an equity compensation plan not approved by security holders, and options issued after such time are listed above as being made under an equity compensation plan approved by security holders. The Employee Stock Purchase Plan and the 2005 Director Stock Plan were approved by shareholders at our 2005 annual meeting of shareholders. The CBOT Holdings 2005 Long-Term Equity Plan was approved by its sole shareholder prior to completion of its demutualization in April 2005 and was assumed by us in connection with the merger.</w:t>
      </w:r>
    </w:p>
    <w:p>
      <w:pPr>
        <w:spacing w:after="0" w:line="2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by this Item is included in CME Group’s Proxy Statement under the heading “Certain Business Relationships with Related Parties” and “Corporate Governance—Director Independence” and is incorporated herein by reference, pursuant to General Instruction G(3).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 “Audit Committee Disclosures—Principal Accountant Fees and Services” and “Audit Committee Disclosures—Audit Committee Policy for Approval of Audit and Permitted Non-Audit Services” and is incorporated herein by reference, pursuant to General Instruction G(3).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Financial Statement Schedules and Exhibits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Consolidated Financial Statements and related Notes, together with the Reports of Independent Registered Public Accounting Firm with respect thereto, included within Item 8 are hereby incorporated by reference: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 at December 31, 2007 and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Income for the Years Ended December 31, 2007, 2006 and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Shareholders’ Equity for the Years Ended December 31, 2007, 2006 and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Cash Flows for the Years Ended December 31, 2007, 2006 and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 II Valuation and Qualifying Accounts of CME Group and Subsidiaries for the Years Ended December 31, 2007, 2006 and 2005</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60"/>
          </w:cols>
          <w:pgMar w:left="24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Charged</w:t>
            </w:r>
          </w:p>
        </w:tc>
        <w:tc>
          <w:tcPr>
            <w:tcW w:w="3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 to</w:t>
            </w:r>
          </w:p>
        </w:tc>
        <w:tc>
          <w:tcPr>
            <w:tcW w:w="18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Charged</w:t>
            </w:r>
          </w:p>
        </w:tc>
        <w:tc>
          <w:tcPr>
            <w:tcW w:w="18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against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Costs and</w:t>
            </w:r>
          </w:p>
        </w:tc>
        <w:tc>
          <w:tcPr>
            <w:tcW w:w="18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against</w:t>
            </w:r>
          </w:p>
        </w:tc>
        <w:tc>
          <w:tcPr>
            <w:tcW w:w="1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of Year</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4"/>
              </w:rPr>
              <w:t>Goodwill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Expenses</w:t>
            </w:r>
          </w:p>
        </w:tc>
        <w:tc>
          <w:tcPr>
            <w:tcW w:w="1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3"/>
              </w:rPr>
              <w:t>Deductions(1)</w:t>
            </w:r>
          </w:p>
        </w:tc>
        <w:tc>
          <w:tcPr>
            <w:tcW w:w="1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465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fee adjustments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deferred tax assets</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fee adjustments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deferred tax assets</w:t>
            </w:r>
          </w:p>
        </w:tc>
        <w:tc>
          <w:tcPr>
            <w:tcW w:w="10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7,894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fee adjustments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80" w:right="5580" w:hanging="5572"/>
        <w:spacing w:after="0" w:line="408" w:lineRule="auto"/>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write-offs of doubtful accounts and payments for fee adjustments. 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7"/>
              </w:rPr>
              <w:t>Description of Exhibit</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-7620</wp:posOffset>
            </wp:positionV>
            <wp:extent cx="65004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ind w:left="1180" w:hanging="1084"/>
        <w:spacing w:after="0"/>
        <w:tabs>
          <w:tab w:leader="none" w:pos="118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Plan of Acquisition, Reorganization, Arrangement, Liquidation or Succession</w:t>
      </w:r>
    </w:p>
    <w:p>
      <w:pPr>
        <w:spacing w:after="0" w:line="1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2.1</w:t>
            </w:r>
          </w:p>
        </w:tc>
        <w:tc>
          <w:tcPr>
            <w:tcW w:w="10640" w:type="dxa"/>
            <w:vAlign w:val="bottom"/>
          </w:tcPr>
          <w:p>
            <w:pPr>
              <w:ind w:left="440"/>
              <w:spacing w:after="0"/>
              <w:rPr>
                <w:sz w:val="20"/>
                <w:szCs w:val="20"/>
                <w:color w:val="auto"/>
              </w:rPr>
            </w:pPr>
            <w:r>
              <w:rPr>
                <w:rFonts w:ascii="Arial" w:cs="Arial" w:eastAsia="Arial" w:hAnsi="Arial"/>
                <w:sz w:val="18"/>
                <w:szCs w:val="18"/>
                <w:color w:val="auto"/>
                <w:w w:val="93"/>
              </w:rPr>
              <w:t>Agreement and Plan of Merger, dated as of October 1, 2001, between Chicago Mercantile Exchange Inc., Chicago Mercantile Exchange</w:t>
            </w:r>
          </w:p>
        </w:tc>
      </w:tr>
      <w:tr>
        <w:trPr>
          <w:trHeight w:val="216"/>
        </w:trPr>
        <w:tc>
          <w:tcPr>
            <w:tcW w:w="640" w:type="dxa"/>
            <w:vAlign w:val="bottom"/>
          </w:tcPr>
          <w:p>
            <w:pPr>
              <w:spacing w:after="0"/>
              <w:rPr>
                <w:sz w:val="18"/>
                <w:szCs w:val="18"/>
                <w:color w:val="auto"/>
              </w:rPr>
            </w:pPr>
          </w:p>
        </w:tc>
        <w:tc>
          <w:tcPr>
            <w:tcW w:w="10640" w:type="dxa"/>
            <w:vAlign w:val="bottom"/>
          </w:tcPr>
          <w:p>
            <w:pPr>
              <w:ind w:left="440"/>
              <w:spacing w:after="0"/>
              <w:rPr>
                <w:sz w:val="20"/>
                <w:szCs w:val="20"/>
                <w:color w:val="auto"/>
              </w:rPr>
            </w:pPr>
            <w:r>
              <w:rPr>
                <w:rFonts w:ascii="Arial" w:cs="Arial" w:eastAsia="Arial" w:hAnsi="Arial"/>
                <w:sz w:val="18"/>
                <w:szCs w:val="18"/>
                <w:color w:val="auto"/>
                <w:w w:val="90"/>
              </w:rPr>
              <w:t>Holdings Inc. and CME Merger Subsidiary Inc. (incorporated by reference to Exhibit 2.1 to Chicago Mercantile Exchange Holdings Inc.’s Form</w:t>
            </w:r>
          </w:p>
        </w:tc>
      </w:tr>
      <w:tr>
        <w:trPr>
          <w:trHeight w:val="222"/>
        </w:trPr>
        <w:tc>
          <w:tcPr>
            <w:tcW w:w="64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Arial" w:cs="Arial" w:eastAsia="Arial" w:hAnsi="Arial"/>
                <w:sz w:val="18"/>
                <w:szCs w:val="18"/>
                <w:color w:val="auto"/>
              </w:rPr>
              <w:t>S-4, filed with the SEC on August 7, 2001, File No. 333-66988).</w:t>
            </w:r>
          </w:p>
        </w:tc>
      </w:tr>
      <w:tr>
        <w:trPr>
          <w:trHeight w:val="318"/>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2.2</w:t>
            </w:r>
          </w:p>
        </w:tc>
        <w:tc>
          <w:tcPr>
            <w:tcW w:w="10640" w:type="dxa"/>
            <w:vAlign w:val="bottom"/>
          </w:tcPr>
          <w:p>
            <w:pPr>
              <w:ind w:left="440"/>
              <w:spacing w:after="0"/>
              <w:rPr>
                <w:sz w:val="20"/>
                <w:szCs w:val="20"/>
                <w:color w:val="auto"/>
              </w:rPr>
            </w:pPr>
            <w:r>
              <w:rPr>
                <w:rFonts w:ascii="Arial" w:cs="Arial" w:eastAsia="Arial" w:hAnsi="Arial"/>
                <w:sz w:val="18"/>
                <w:szCs w:val="18"/>
                <w:color w:val="auto"/>
                <w:w w:val="91"/>
              </w:rPr>
              <w:t>Agreement and Plan of Merger, dated as of October 17, 2006, among Chicago Mercantile Exchange Holdings Inc., CBOT Holdings, Inc. and</w:t>
            </w:r>
          </w:p>
        </w:tc>
      </w:tr>
      <w:tr>
        <w:trPr>
          <w:trHeight w:val="216"/>
        </w:trPr>
        <w:tc>
          <w:tcPr>
            <w:tcW w:w="640" w:type="dxa"/>
            <w:vAlign w:val="bottom"/>
          </w:tcPr>
          <w:p>
            <w:pPr>
              <w:spacing w:after="0"/>
              <w:rPr>
                <w:sz w:val="18"/>
                <w:szCs w:val="18"/>
                <w:color w:val="auto"/>
              </w:rPr>
            </w:pPr>
          </w:p>
        </w:tc>
        <w:tc>
          <w:tcPr>
            <w:tcW w:w="10640" w:type="dxa"/>
            <w:vAlign w:val="bottom"/>
          </w:tcPr>
          <w:p>
            <w:pPr>
              <w:ind w:left="440"/>
              <w:spacing w:after="0"/>
              <w:rPr>
                <w:sz w:val="20"/>
                <w:szCs w:val="20"/>
                <w:color w:val="auto"/>
              </w:rPr>
            </w:pPr>
            <w:r>
              <w:rPr>
                <w:rFonts w:ascii="Arial" w:cs="Arial" w:eastAsia="Arial" w:hAnsi="Arial"/>
                <w:sz w:val="18"/>
                <w:szCs w:val="18"/>
                <w:color w:val="auto"/>
                <w:w w:val="89"/>
              </w:rPr>
              <w:t>Board of Trade of the City of Chicago, Inc. (incorporated by reference to Exhibit 2.1 to Chicago Mercantile Exchange Holdings Inc.’s Form 8-K,</w:t>
            </w:r>
          </w:p>
        </w:tc>
      </w:tr>
      <w:tr>
        <w:trPr>
          <w:trHeight w:val="222"/>
        </w:trPr>
        <w:tc>
          <w:tcPr>
            <w:tcW w:w="64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Arial" w:cs="Arial" w:eastAsia="Arial" w:hAnsi="Arial"/>
                <w:sz w:val="18"/>
                <w:szCs w:val="18"/>
                <w:color w:val="auto"/>
                <w:w w:val="92"/>
              </w:rPr>
              <w:t>filed with the SEC on October 19, 2006, File No. 000-33379); Amendment No. 2 to the Agreement and Plan of Merger, dated as of May 11,</w:t>
            </w:r>
          </w:p>
        </w:tc>
      </w:tr>
    </w:tbl>
    <w:p>
      <w:pPr>
        <w:ind w:left="1180"/>
        <w:spacing w:after="0" w:line="288" w:lineRule="auto"/>
        <w:rPr>
          <w:sz w:val="20"/>
          <w:szCs w:val="20"/>
          <w:color w:val="auto"/>
        </w:rPr>
      </w:pPr>
      <w:r>
        <w:rPr>
          <w:rFonts w:ascii="Arial" w:cs="Arial" w:eastAsia="Arial" w:hAnsi="Arial"/>
          <w:sz w:val="16"/>
          <w:szCs w:val="16"/>
          <w:color w:val="auto"/>
        </w:rPr>
        <w:t>2007, among Chicago Mercantile Exchange Holdings Inc., CBOT Holdings, Inc. and Board of Trade of the City of Chicago, Inc. (incorporated by reference to Exhibit 2.1 to Chicago Mercantile Exchange Holdings Inc.’s Form 8-K, filed with the SEC on May 11, 2007, File No. 000-33379); Amendment No. 3 to the Agreement and Plan of Merger, dated as of June 14, 2007, among Chicago Mercantile Exchange Holdings Inc., CBOT Holdings, Inc. and Board of Trade of the City of Chicago (incorporated by reference to Exhibit 2.1 to Chicago Mercantile Exchange Holdings Inc.’s Form 8-K, filed with the SEC on June 14, 2007, File No. 000-33379); Amendment No. 4 to the Agreement and Plan of Merger, dated as of July 6, 2007, among Chicago Mercantile Exchange Holdings Inc., CBOT Holdings, Inc. and Board of Trade of the City of Chicago, Inc. (incorporated by reference to Exhibit 3.1 to CME Group Inc.’s Form 8-K, filed with SEC on July 6, 2007, File No. 000-33379).</w:t>
      </w:r>
    </w:p>
    <w:p>
      <w:pPr>
        <w:spacing w:after="0" w:line="69" w:lineRule="exact"/>
        <w:rPr>
          <w:sz w:val="20"/>
          <w:szCs w:val="20"/>
          <w:color w:val="auto"/>
        </w:rPr>
      </w:pPr>
    </w:p>
    <w:p>
      <w:pPr>
        <w:ind w:left="1180" w:hanging="1084"/>
        <w:spacing w:after="0"/>
        <w:tabs>
          <w:tab w:leader="none" w:pos="11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3.1</w:t>
            </w:r>
          </w:p>
        </w:tc>
        <w:tc>
          <w:tcPr>
            <w:tcW w:w="10520" w:type="dxa"/>
            <w:vAlign w:val="bottom"/>
          </w:tcPr>
          <w:p>
            <w:pPr>
              <w:ind w:left="440"/>
              <w:spacing w:after="0"/>
              <w:rPr>
                <w:sz w:val="20"/>
                <w:szCs w:val="20"/>
                <w:color w:val="auto"/>
              </w:rPr>
            </w:pPr>
            <w:r>
              <w:rPr>
                <w:rFonts w:ascii="Arial" w:cs="Arial" w:eastAsia="Arial" w:hAnsi="Arial"/>
                <w:sz w:val="18"/>
                <w:szCs w:val="18"/>
                <w:color w:val="auto"/>
                <w:w w:val="90"/>
              </w:rPr>
              <w:t>Second Amended and Restated Certificate of Incorporation of CME Group Inc. (incorporated by reference to Exhibit 3.1 to CME Group Inc.’s</w:t>
            </w:r>
          </w:p>
        </w:tc>
      </w:tr>
      <w:tr>
        <w:trPr>
          <w:trHeight w:val="222"/>
        </w:trPr>
        <w:tc>
          <w:tcPr>
            <w:tcW w:w="64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Form 8-K, filed with SEC on July 17, 2007, File No. 000-33379).</w:t>
            </w:r>
          </w:p>
        </w:tc>
      </w:tr>
      <w:tr>
        <w:trPr>
          <w:trHeight w:val="318"/>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3.2</w:t>
            </w:r>
          </w:p>
        </w:tc>
        <w:tc>
          <w:tcPr>
            <w:tcW w:w="10520" w:type="dxa"/>
            <w:vAlign w:val="bottom"/>
          </w:tcPr>
          <w:p>
            <w:pPr>
              <w:ind w:left="440"/>
              <w:spacing w:after="0"/>
              <w:rPr>
                <w:sz w:val="20"/>
                <w:szCs w:val="20"/>
                <w:color w:val="auto"/>
              </w:rPr>
            </w:pPr>
            <w:r>
              <w:rPr>
                <w:rFonts w:ascii="Arial" w:cs="Arial" w:eastAsia="Arial" w:hAnsi="Arial"/>
                <w:sz w:val="18"/>
                <w:szCs w:val="18"/>
                <w:color w:val="auto"/>
                <w:w w:val="90"/>
              </w:rPr>
              <w:t>Fourth Amended and Restated Bylaws of CME Group Inc. (incorporated by reference to Exhibit 3.2 to CME Group Inc.’s Form 8-K, filed with</w:t>
            </w:r>
          </w:p>
        </w:tc>
      </w:tr>
      <w:tr>
        <w:trPr>
          <w:trHeight w:val="222"/>
        </w:trPr>
        <w:tc>
          <w:tcPr>
            <w:tcW w:w="64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Arial" w:cs="Arial" w:eastAsia="Arial" w:hAnsi="Arial"/>
                <w:sz w:val="18"/>
                <w:szCs w:val="18"/>
                <w:color w:val="auto"/>
              </w:rPr>
              <w:t>SEC on July 17, 2007, File No. 000-33379).</w:t>
            </w:r>
          </w:p>
        </w:tc>
      </w:tr>
    </w:tbl>
    <w:p>
      <w:pPr>
        <w:spacing w:after="0" w:line="102" w:lineRule="exact"/>
        <w:rPr>
          <w:sz w:val="20"/>
          <w:szCs w:val="20"/>
          <w:color w:val="auto"/>
        </w:rPr>
      </w:pPr>
    </w:p>
    <w:p>
      <w:pPr>
        <w:ind w:left="1180" w:hanging="1084"/>
        <w:spacing w:after="0"/>
        <w:tabs>
          <w:tab w:leader="none" w:pos="118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4.1</w:t>
            </w:r>
          </w:p>
        </w:tc>
        <w:tc>
          <w:tcPr>
            <w:tcW w:w="10620" w:type="dxa"/>
            <w:vAlign w:val="bottom"/>
          </w:tcPr>
          <w:p>
            <w:pPr>
              <w:ind w:left="440"/>
              <w:spacing w:after="0"/>
              <w:rPr>
                <w:sz w:val="20"/>
                <w:szCs w:val="20"/>
                <w:color w:val="auto"/>
              </w:rPr>
            </w:pPr>
            <w:r>
              <w:rPr>
                <w:rFonts w:ascii="Arial" w:cs="Arial" w:eastAsia="Arial" w:hAnsi="Arial"/>
                <w:sz w:val="18"/>
                <w:szCs w:val="18"/>
                <w:color w:val="auto"/>
                <w:w w:val="91"/>
              </w:rPr>
              <w:t>Rights Agreement, dated as of November 30, 2001, between Chicago Mercantile Exchange Holdings Inc. and Mellon Investor Services LLC</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4.1 to Chicago Mercantile Exchange Holdings Inc.’s Form 8-A, filed with the SEC on December 4, 2001,</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88"/>
              </w:rPr>
              <w:t>File No. 000-33379), including First Amendment thereto, dated as of November 13, 2002, between Chicago Mercantile Exchange Holdings Inc.,</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4"/>
              </w:rPr>
              <w:t>Mellon Investor Services, LLC and Computershare Investor Services, LLC (incorporated by reference to Exhibit 5 to Chicago Mercantile</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4"/>
              </w:rPr>
              <w:t>Exchange Holdings Inc.’s Form 8-A, filed with the SEC on November 29, 2002, File No. 001-31553); Second Amendment thereto, dated</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1"/>
              </w:rPr>
              <w:t>October 26, 2005, by and between Chicago Mercantile Exchange Holdings Inc. and Computershare Investor Services, LLC (incorporated by</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4"/>
              </w:rPr>
              <w:t>reference to Exhibit 4.1 to Chicago Mercantile Exchange Holdings Inc.’s Form 8-K filed with the SEC on October 27, 2005, File No. 001-</w:t>
            </w:r>
          </w:p>
        </w:tc>
      </w:tr>
      <w:tr>
        <w:trPr>
          <w:trHeight w:val="222"/>
        </w:trPr>
        <w:tc>
          <w:tcPr>
            <w:tcW w:w="640" w:type="dxa"/>
            <w:vAlign w:val="bottom"/>
          </w:tcPr>
          <w:p>
            <w:pPr>
              <w:spacing w:after="0"/>
              <w:rPr>
                <w:sz w:val="19"/>
                <w:szCs w:val="19"/>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31553).</w:t>
            </w:r>
          </w:p>
        </w:tc>
      </w:tr>
      <w:tr>
        <w:trPr>
          <w:trHeight w:val="318"/>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4.2</w:t>
            </w:r>
          </w:p>
        </w:tc>
        <w:tc>
          <w:tcPr>
            <w:tcW w:w="10620" w:type="dxa"/>
            <w:vAlign w:val="bottom"/>
          </w:tcPr>
          <w:p>
            <w:pPr>
              <w:ind w:left="440"/>
              <w:spacing w:after="0"/>
              <w:rPr>
                <w:sz w:val="20"/>
                <w:szCs w:val="20"/>
                <w:color w:val="auto"/>
              </w:rPr>
            </w:pPr>
            <w:r>
              <w:rPr>
                <w:rFonts w:ascii="Arial" w:cs="Arial" w:eastAsia="Arial" w:hAnsi="Arial"/>
                <w:sz w:val="18"/>
                <w:szCs w:val="18"/>
                <w:color w:val="auto"/>
                <w:w w:val="89"/>
              </w:rPr>
              <w:t>Commercial Paper Dealer Agreement, dated as of August 16, 2007, between CME Group Inc., as Issuer, and Lehman Brothers Inc., as Dealer</w:t>
            </w:r>
          </w:p>
        </w:tc>
      </w:tr>
      <w:tr>
        <w:trPr>
          <w:trHeight w:val="222"/>
        </w:trPr>
        <w:tc>
          <w:tcPr>
            <w:tcW w:w="640" w:type="dxa"/>
            <w:vAlign w:val="bottom"/>
          </w:tcPr>
          <w:p>
            <w:pPr>
              <w:spacing w:after="0"/>
              <w:rPr>
                <w:sz w:val="19"/>
                <w:szCs w:val="19"/>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4.1 to CME Group Inc.’s Form 10-Q, filed with the SEC on November 8, 2007, File No. 000-33379).</w:t>
            </w:r>
          </w:p>
        </w:tc>
      </w:tr>
      <w:tr>
        <w:trPr>
          <w:trHeight w:val="318"/>
        </w:trPr>
        <w:tc>
          <w:tcPr>
            <w:tcW w:w="640" w:type="dxa"/>
            <w:vAlign w:val="bottom"/>
          </w:tcPr>
          <w:p>
            <w:pPr>
              <w:jc w:val="right"/>
              <w:ind w:right="332"/>
              <w:spacing w:after="0"/>
              <w:rPr>
                <w:sz w:val="20"/>
                <w:szCs w:val="20"/>
                <w:color w:val="auto"/>
              </w:rPr>
            </w:pPr>
            <w:r>
              <w:rPr>
                <w:rFonts w:ascii="Arial" w:cs="Arial" w:eastAsia="Arial" w:hAnsi="Arial"/>
                <w:sz w:val="18"/>
                <w:szCs w:val="18"/>
                <w:color w:val="auto"/>
                <w:w w:val="79"/>
              </w:rPr>
              <w:t>4.3</w:t>
            </w:r>
          </w:p>
        </w:tc>
        <w:tc>
          <w:tcPr>
            <w:tcW w:w="10620" w:type="dxa"/>
            <w:vAlign w:val="bottom"/>
          </w:tcPr>
          <w:p>
            <w:pPr>
              <w:ind w:left="440"/>
              <w:spacing w:after="0"/>
              <w:rPr>
                <w:sz w:val="20"/>
                <w:szCs w:val="20"/>
                <w:color w:val="auto"/>
              </w:rPr>
            </w:pPr>
            <w:r>
              <w:rPr>
                <w:rFonts w:ascii="Arial" w:cs="Arial" w:eastAsia="Arial" w:hAnsi="Arial"/>
                <w:sz w:val="18"/>
                <w:szCs w:val="18"/>
                <w:color w:val="auto"/>
                <w:w w:val="89"/>
              </w:rPr>
              <w:t>Commercial Paper Dealer Agreement, dated as of August 16, 2007, among CME Group Inc., as Issuer, and Merrill Lynch Money Markets Inc.,</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89"/>
              </w:rPr>
              <w:t>as Dealer for Notes with maturities up to 270 days, and Merrill Lynch, Pierce, Fenner &amp; Smith Incorporated, as Dealer for Notes with maturities</w:t>
            </w:r>
          </w:p>
        </w:tc>
      </w:tr>
      <w:tr>
        <w:trPr>
          <w:trHeight w:val="216"/>
        </w:trPr>
        <w:tc>
          <w:tcPr>
            <w:tcW w:w="640" w:type="dxa"/>
            <w:vAlign w:val="bottom"/>
          </w:tcPr>
          <w:p>
            <w:pPr>
              <w:spacing w:after="0"/>
              <w:rPr>
                <w:sz w:val="18"/>
                <w:szCs w:val="18"/>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w w:val="92"/>
              </w:rPr>
              <w:t>over 270 days (incorporated by reference to Exhibit 4.2 to CME Group Inc.’s Form 10-Q, filed with the SEC on November 8, 2007, File No.</w:t>
            </w:r>
          </w:p>
        </w:tc>
      </w:tr>
      <w:tr>
        <w:trPr>
          <w:trHeight w:val="222"/>
        </w:trPr>
        <w:tc>
          <w:tcPr>
            <w:tcW w:w="640" w:type="dxa"/>
            <w:vAlign w:val="bottom"/>
          </w:tcPr>
          <w:p>
            <w:pPr>
              <w:spacing w:after="0"/>
              <w:rPr>
                <w:sz w:val="19"/>
                <w:szCs w:val="19"/>
                <w:color w:val="auto"/>
              </w:rPr>
            </w:pPr>
          </w:p>
        </w:tc>
        <w:tc>
          <w:tcPr>
            <w:tcW w:w="10620" w:type="dxa"/>
            <w:vAlign w:val="bottom"/>
          </w:tcPr>
          <w:p>
            <w:pPr>
              <w:ind w:left="440"/>
              <w:spacing w:after="0"/>
              <w:rPr>
                <w:sz w:val="20"/>
                <w:szCs w:val="20"/>
                <w:color w:val="auto"/>
              </w:rPr>
            </w:pPr>
            <w:r>
              <w:rPr>
                <w:rFonts w:ascii="Arial" w:cs="Arial" w:eastAsia="Arial" w:hAnsi="Arial"/>
                <w:sz w:val="18"/>
                <w:szCs w:val="18"/>
                <w:color w:val="auto"/>
              </w:rPr>
              <w:t>000-33379).</w:t>
            </w:r>
          </w:p>
        </w:tc>
      </w:tr>
      <w:tr>
        <w:trPr>
          <w:trHeight w:val="365"/>
        </w:trPr>
        <w:tc>
          <w:tcPr>
            <w:tcW w:w="64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4.4</w:t>
            </w:r>
          </w:p>
        </w:tc>
        <w:tc>
          <w:tcPr>
            <w:tcW w:w="420" w:type="dxa"/>
            <w:vAlign w:val="bottom"/>
            <w:vMerge w:val="continue"/>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5"/>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w w:val="92"/>
              </w:rPr>
              <w:t>Association, as issuing and paying agent (incorporated by reference to Exhibit 4.3 to CME Group Inc.’s Form 10-Q, filed with the SEC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520" w:type="dxa"/>
            <w:vAlign w:val="bottom"/>
            <w:gridSpan w:val="2"/>
          </w:tcPr>
          <w:p>
            <w:pPr>
              <w:ind w:left="420"/>
              <w:spacing w:after="0"/>
              <w:rPr>
                <w:sz w:val="20"/>
                <w:szCs w:val="20"/>
                <w:color w:val="auto"/>
              </w:rPr>
            </w:pPr>
            <w:r>
              <w:rPr>
                <w:rFonts w:ascii="Arial" w:cs="Arial" w:eastAsia="Arial" w:hAnsi="Arial"/>
                <w:sz w:val="18"/>
                <w:szCs w:val="18"/>
                <w:color w:val="auto"/>
              </w:rPr>
              <w:t>November 8, 2007, File No. 000-33379).</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320" w:hanging="1312"/>
        <w:spacing w:after="0"/>
        <w:tabs>
          <w:tab w:leader="none" w:pos="132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88"/>
              </w:rPr>
              <w:t>Chicago Mercantile Exchange Holdings Inc. Amended and Restated Omnibus Stock Plan, amended and restated effective as of April 25, 2007</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89"/>
              </w:rPr>
              <w:t>(incorporated by reference to Exhibit 10.1 to Chicago Mercantile Exchange Holdings Inc.’s Current Report on Form 8-K, filed with the SEC on</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April 30, 2007, File No. 000-33379).</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90"/>
              </w:rPr>
              <w:t>Form of Equity Grant Letter for Executive Officers (incorporated by reference to Exhibit 10.1 to Chicago Mercantile Exchange Holdings Inc.’s</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Form 10-Q, filed with the SEC on November 9, 2004, File No. 001-31553).</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10.3</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90"/>
              </w:rPr>
              <w:t>2005 Director Stock Plan (incorporated by reference to Exhibit 99.1 to Chicago Mercantile Exchange Holdings Inc.’s Form 8-K, filed with the</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SEC on April 28, 2005, File No. 001-31553).</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10.4</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90"/>
              </w:rPr>
              <w:t>Form of Equity Stipend Grant Letter for Non-Executive Directors (incorporated by reference to Exhibit 99.2 to Chicago Mercantile Exchange</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Holdings Inc.’s Form 8-K, filed with the SEC on April 28, 2005, File No. 001-31553).</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10.5</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88"/>
              </w:rPr>
              <w:t>Chicago Mercantile Exchange Holdings Inc. Amended and Restated Employee Stock Purchase Plan (incorporated by reference to Exhibit 10.1</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to CME Group Inc.’s Form 10-Q, filed with the SEC on August 3, 2007, File No. 000-33379).</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10.6</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96"/>
              </w:rPr>
              <w:t>CBOT Holdings, Inc. 2005 Long-Term Equity Plan (incorporated by reference to Exhibit 10.26 to CBOT Holdings, Inc.’s Registration</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Statement on Form S-1 (Registration No. 333-124730).</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10.7</w:t>
            </w:r>
          </w:p>
        </w:tc>
        <w:tc>
          <w:tcPr>
            <w:tcW w:w="760" w:type="dxa"/>
            <w:vAlign w:val="bottom"/>
          </w:tcPr>
          <w:p>
            <w:pPr>
              <w:ind w:left="20"/>
              <w:spacing w:after="0"/>
              <w:rPr>
                <w:sz w:val="20"/>
                <w:szCs w:val="20"/>
                <w:color w:val="auto"/>
              </w:rPr>
            </w:pPr>
            <w:r>
              <w:rPr>
                <w:rFonts w:ascii="Arial" w:cs="Arial" w:eastAsia="Arial" w:hAnsi="Arial"/>
                <w:sz w:val="18"/>
                <w:szCs w:val="18"/>
                <w:color w:val="auto"/>
              </w:rPr>
              <w:t>(1) (2)</w:t>
            </w:r>
          </w:p>
        </w:tc>
        <w:tc>
          <w:tcPr>
            <w:tcW w:w="10320" w:type="dxa"/>
            <w:vAlign w:val="bottom"/>
          </w:tcPr>
          <w:p>
            <w:pPr>
              <w:ind w:left="220"/>
              <w:spacing w:after="0"/>
              <w:rPr>
                <w:sz w:val="20"/>
                <w:szCs w:val="20"/>
                <w:color w:val="auto"/>
              </w:rPr>
            </w:pPr>
            <w:r>
              <w:rPr>
                <w:rFonts w:ascii="Arial" w:cs="Arial" w:eastAsia="Arial" w:hAnsi="Arial"/>
                <w:sz w:val="18"/>
                <w:szCs w:val="18"/>
                <w:color w:val="auto"/>
                <w:w w:val="92"/>
              </w:rPr>
              <w:t>Chicago Mercantile Exchange Inc. Senior Management Supplemental Deferred Savings Plan (SMSDSP) consisting of the Grandfathered</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86"/>
              </w:rPr>
              <w:t>SMSDSP, amended and restated as of January 1, 2008, and the Amended and Restated 409A SMSDSP, amended and restated as of January 1,</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10.8</w:t>
            </w:r>
          </w:p>
        </w:tc>
        <w:tc>
          <w:tcPr>
            <w:tcW w:w="760" w:type="dxa"/>
            <w:vAlign w:val="bottom"/>
          </w:tcPr>
          <w:p>
            <w:pPr>
              <w:ind w:left="20"/>
              <w:spacing w:after="0"/>
              <w:rPr>
                <w:sz w:val="20"/>
                <w:szCs w:val="20"/>
                <w:color w:val="auto"/>
              </w:rPr>
            </w:pPr>
            <w:r>
              <w:rPr>
                <w:rFonts w:ascii="Arial" w:cs="Arial" w:eastAsia="Arial" w:hAnsi="Arial"/>
                <w:sz w:val="18"/>
                <w:szCs w:val="18"/>
                <w:color w:val="auto"/>
              </w:rPr>
              <w:t>(2)</w:t>
            </w:r>
          </w:p>
        </w:tc>
        <w:tc>
          <w:tcPr>
            <w:tcW w:w="10320" w:type="dxa"/>
            <w:vAlign w:val="bottom"/>
          </w:tcPr>
          <w:p>
            <w:pPr>
              <w:ind w:left="220"/>
              <w:spacing w:after="0"/>
              <w:rPr>
                <w:sz w:val="20"/>
                <w:szCs w:val="20"/>
                <w:color w:val="auto"/>
              </w:rPr>
            </w:pPr>
            <w:r>
              <w:rPr>
                <w:rFonts w:ascii="Arial" w:cs="Arial" w:eastAsia="Arial" w:hAnsi="Arial"/>
                <w:sz w:val="18"/>
                <w:szCs w:val="18"/>
                <w:color w:val="auto"/>
                <w:w w:val="93"/>
              </w:rPr>
              <w:t>Chicago Mercantile Exchange Inc. Directors’ Deferred Compensation Plan, including First Amendment thereto, dated December 8, 1998</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89"/>
              </w:rPr>
              <w:t>(incorporated by reference to Exhibit 10.3 to Chicago Mercantile Exchange Inc.’s Form S-4, filed with the SEC on February 24, 2000, File No.</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91"/>
              </w:rPr>
              <w:t>333-95561) and the Second Amendment thereto, effective as of November 5, 2003 and the Third Amendment thereto, dated December 23,</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91"/>
              </w:rPr>
              <w:t>2003 (both of which are incorporated by reference to Exhibit 10.3 to Chicago Mercantile Exchange Holdings Inc.’s Form 10-K, filed with the</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SEC on March 10, 2005, File No. 001-31553).</w:t>
            </w: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10.9</w:t>
            </w:r>
          </w:p>
        </w:tc>
        <w:tc>
          <w:tcPr>
            <w:tcW w:w="760" w:type="dxa"/>
            <w:vAlign w:val="bottom"/>
          </w:tcPr>
          <w:p>
            <w:pPr>
              <w:ind w:left="20"/>
              <w:spacing w:after="0"/>
              <w:rPr>
                <w:sz w:val="20"/>
                <w:szCs w:val="20"/>
                <w:color w:val="auto"/>
              </w:rPr>
            </w:pPr>
            <w:r>
              <w:rPr>
                <w:rFonts w:ascii="Arial" w:cs="Arial" w:eastAsia="Arial" w:hAnsi="Arial"/>
                <w:sz w:val="18"/>
                <w:szCs w:val="18"/>
                <w:color w:val="auto"/>
              </w:rPr>
              <w:t>(1) (2)</w:t>
            </w:r>
          </w:p>
        </w:tc>
        <w:tc>
          <w:tcPr>
            <w:tcW w:w="10320" w:type="dxa"/>
            <w:vAlign w:val="bottom"/>
          </w:tcPr>
          <w:p>
            <w:pPr>
              <w:ind w:left="220"/>
              <w:spacing w:after="0"/>
              <w:rPr>
                <w:sz w:val="20"/>
                <w:szCs w:val="20"/>
                <w:color w:val="auto"/>
              </w:rPr>
            </w:pPr>
            <w:r>
              <w:rPr>
                <w:rFonts w:ascii="Arial" w:cs="Arial" w:eastAsia="Arial" w:hAnsi="Arial"/>
                <w:sz w:val="18"/>
                <w:szCs w:val="18"/>
                <w:color w:val="auto"/>
                <w:w w:val="90"/>
              </w:rPr>
              <w:t>Chicago Mercantile Exchange Inc. Supplemental Executive Retirement Plan consisting of the Grandfathered Supplemental Retirement Plan,</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89"/>
              </w:rPr>
              <w:t>amended and restated as of January 1, 2008, and the Amended and Restated 409A Supplemental Executive Retirement Plan, amended and</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restated as of January 1, 2008.</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10.10 (2)</w:t>
            </w:r>
          </w:p>
        </w:tc>
        <w:tc>
          <w:tcPr>
            <w:tcW w:w="10320" w:type="dxa"/>
            <w:vAlign w:val="bottom"/>
          </w:tcPr>
          <w:p>
            <w:pPr>
              <w:ind w:left="220"/>
              <w:spacing w:after="0"/>
              <w:rPr>
                <w:sz w:val="20"/>
                <w:szCs w:val="20"/>
                <w:color w:val="auto"/>
              </w:rPr>
            </w:pPr>
            <w:r>
              <w:rPr>
                <w:rFonts w:ascii="Arial" w:cs="Arial" w:eastAsia="Arial" w:hAnsi="Arial"/>
                <w:sz w:val="18"/>
                <w:szCs w:val="18"/>
                <w:color w:val="auto"/>
                <w:w w:val="91"/>
              </w:rPr>
              <w:t>Chicago Mercantile Exchange Inc. Supplemental Executive Retirement Trust, including First Amendment thereto, dated September 7, 1993</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89"/>
              </w:rPr>
              <w:t>(incorporated by reference to Exhibit 10.5 to Chicago Mercantile Exchange Inc.’s Form S-4, filed with the SEC on February 24, 2000, File No.</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333-95561).</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10.11 (2)</w:t>
            </w:r>
          </w:p>
        </w:tc>
        <w:tc>
          <w:tcPr>
            <w:tcW w:w="10320" w:type="dxa"/>
            <w:vAlign w:val="bottom"/>
          </w:tcPr>
          <w:p>
            <w:pPr>
              <w:ind w:left="220"/>
              <w:spacing w:after="0"/>
              <w:rPr>
                <w:sz w:val="20"/>
                <w:szCs w:val="20"/>
                <w:color w:val="auto"/>
              </w:rPr>
            </w:pPr>
            <w:r>
              <w:rPr>
                <w:rFonts w:ascii="Arial" w:cs="Arial" w:eastAsia="Arial" w:hAnsi="Arial"/>
                <w:sz w:val="18"/>
                <w:szCs w:val="18"/>
                <w:color w:val="auto"/>
                <w:w w:val="91"/>
              </w:rPr>
              <w:t>Chicago Mercantile Exchange Holdings Inc. Amended and Restated Annual Incentive Plan, amended and restated effective as of April 25,</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91"/>
              </w:rPr>
              <w:t>2007 (incorporated by reference to Exhibit 10.2 to Chicago Mercantile Exchange Holdings Inc.’s Current Report on Form 8-K, filed with the</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SEC on April 30, 2007, File No. 000-33379).</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10.12 (1) (2)</w:t>
            </w:r>
          </w:p>
        </w:tc>
        <w:tc>
          <w:tcPr>
            <w:tcW w:w="10320" w:type="dxa"/>
            <w:vAlign w:val="bottom"/>
          </w:tcPr>
          <w:p>
            <w:pPr>
              <w:ind w:left="220"/>
              <w:spacing w:after="0"/>
              <w:rPr>
                <w:sz w:val="20"/>
                <w:szCs w:val="20"/>
                <w:color w:val="auto"/>
              </w:rPr>
            </w:pPr>
            <w:r>
              <w:rPr>
                <w:rFonts w:ascii="Arial" w:cs="Arial" w:eastAsia="Arial" w:hAnsi="Arial"/>
                <w:sz w:val="18"/>
                <w:szCs w:val="18"/>
                <w:color w:val="auto"/>
                <w:w w:val="91"/>
              </w:rPr>
              <w:t>Amended and Restated CME Group Inc. Severance Plan for Corporate Officers, dated as of August 13, 2007 (incorporated by reference to</w:t>
            </w: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93"/>
              </w:rPr>
              <w:t>Exhibit 10.9 to CME Group Inc.’s Form 10-Q, filed with the SEC on November 8, 2007, File No. 000-33379) and First Amendment to the</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rPr>
              <w:t>CME Group Inc. Severance Plan for Corporate Officers, effective as of December 21, 2007.</w:t>
            </w:r>
          </w:p>
        </w:tc>
      </w:tr>
      <w:tr>
        <w:trPr>
          <w:trHeight w:val="318"/>
        </w:trPr>
        <w:tc>
          <w:tcPr>
            <w:tcW w:w="1100" w:type="dxa"/>
            <w:vAlign w:val="bottom"/>
            <w:gridSpan w:val="2"/>
          </w:tcPr>
          <w:p>
            <w:pPr>
              <w:spacing w:after="0"/>
              <w:rPr>
                <w:sz w:val="20"/>
                <w:szCs w:val="20"/>
                <w:color w:val="auto"/>
              </w:rPr>
            </w:pPr>
            <w:r>
              <w:rPr>
                <w:rFonts w:ascii="Arial" w:cs="Arial" w:eastAsia="Arial" w:hAnsi="Arial"/>
                <w:sz w:val="18"/>
                <w:szCs w:val="18"/>
                <w:color w:val="auto"/>
              </w:rPr>
              <w:t>10.13 (2)</w:t>
            </w:r>
          </w:p>
        </w:tc>
        <w:tc>
          <w:tcPr>
            <w:tcW w:w="10320" w:type="dxa"/>
            <w:vAlign w:val="bottom"/>
          </w:tcPr>
          <w:p>
            <w:pPr>
              <w:ind w:left="220"/>
              <w:spacing w:after="0"/>
              <w:rPr>
                <w:sz w:val="20"/>
                <w:szCs w:val="20"/>
                <w:color w:val="auto"/>
              </w:rPr>
            </w:pPr>
            <w:r>
              <w:rPr>
                <w:rFonts w:ascii="Arial" w:cs="Arial" w:eastAsia="Arial" w:hAnsi="Arial"/>
                <w:sz w:val="18"/>
                <w:szCs w:val="18"/>
                <w:color w:val="auto"/>
                <w:w w:val="89"/>
              </w:rPr>
              <w:t>Employment Agreement, dated April 3, 2006, between Chicago Mercantile Exchange Inc. and Craig S. Donohue (incorporated by reference to</w:t>
            </w:r>
          </w:p>
        </w:tc>
      </w:tr>
      <w:tr>
        <w:trPr>
          <w:trHeight w:val="222"/>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320" w:type="dxa"/>
            <w:vAlign w:val="bottom"/>
          </w:tcPr>
          <w:p>
            <w:pPr>
              <w:ind w:left="220"/>
              <w:spacing w:after="0"/>
              <w:rPr>
                <w:sz w:val="20"/>
                <w:szCs w:val="20"/>
                <w:color w:val="auto"/>
              </w:rPr>
            </w:pPr>
            <w:r>
              <w:rPr>
                <w:rFonts w:ascii="Arial" w:cs="Arial" w:eastAsia="Arial" w:hAnsi="Arial"/>
                <w:sz w:val="18"/>
                <w:szCs w:val="18"/>
                <w:color w:val="auto"/>
                <w:w w:val="96"/>
              </w:rPr>
              <w:t>Exhibit 10.1 to the Chicago Mercantile Exchange Holdings Inc.’s Form 8-K, filed with the SEC on April 3, 2006, File No. 000-33379).</w:t>
            </w:r>
          </w:p>
        </w:tc>
      </w:tr>
      <w:tr>
        <w:trPr>
          <w:trHeight w:val="365"/>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320" w:type="dxa"/>
            <w:vAlign w:val="bottom"/>
          </w:tcPr>
          <w:p>
            <w:pPr>
              <w:ind w:left="4480"/>
              <w:spacing w:after="0"/>
              <w:rPr>
                <w:sz w:val="20"/>
                <w:szCs w:val="20"/>
                <w:color w:val="auto"/>
              </w:rPr>
            </w:pPr>
            <w:r>
              <w:rPr>
                <w:rFonts w:ascii="Arial" w:cs="Arial" w:eastAsia="Arial" w:hAnsi="Arial"/>
                <w:sz w:val="18"/>
                <w:szCs w:val="18"/>
                <w:color w:val="auto"/>
              </w:rPr>
              <w:t>117</w:t>
            </w: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10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10.14</w:t>
            </w:r>
          </w:p>
        </w:tc>
        <w:tc>
          <w:tcPr>
            <w:tcW w:w="660" w:type="dxa"/>
            <w:vAlign w:val="bottom"/>
          </w:tcPr>
          <w:p>
            <w:pPr>
              <w:spacing w:after="0"/>
              <w:rPr>
                <w:sz w:val="20"/>
                <w:szCs w:val="20"/>
                <w:color w:val="auto"/>
              </w:rPr>
            </w:pPr>
            <w:r>
              <w:rPr>
                <w:rFonts w:ascii="Arial" w:cs="Arial" w:eastAsia="Arial" w:hAnsi="Arial"/>
                <w:sz w:val="18"/>
                <w:szCs w:val="18"/>
                <w:color w:val="auto"/>
              </w:rPr>
              <w:t>(2)</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Agreement, dated November 7, 2003 between Chicago Mercantile Exchange Inc. and Phupinder Gill (incorporated by reference to Exhibit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10.19 to Chicago Mercantile Exchange Holdings Inc.’s Form 10-K, filed with the SEC on March 11, 2004), including the First Amendment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89"/>
              </w:rPr>
              <w:t>thereto, effective as of December 20, 2005 (incorporated by reference to Exhibit 10.1 to Chicago Mercantile Exchange Holdings Inc.’s Form 8-</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K, filed with the SEC on December 23, 2005, File No. 000-33379).</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10.15</w:t>
            </w:r>
          </w:p>
        </w:tc>
        <w:tc>
          <w:tcPr>
            <w:tcW w:w="660" w:type="dxa"/>
            <w:vAlign w:val="bottom"/>
          </w:tcPr>
          <w:p>
            <w:pPr>
              <w:spacing w:after="0"/>
              <w:rPr>
                <w:sz w:val="20"/>
                <w:szCs w:val="20"/>
                <w:color w:val="auto"/>
              </w:rPr>
            </w:pPr>
            <w:r>
              <w:rPr>
                <w:rFonts w:ascii="Arial" w:cs="Arial" w:eastAsia="Arial" w:hAnsi="Arial"/>
                <w:sz w:val="18"/>
                <w:szCs w:val="18"/>
                <w:color w:val="auto"/>
              </w:rPr>
              <w:t>(2)</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3"/>
              </w:rPr>
              <w:t>Employment Agreement, dated February 3, 2006, between Chicago Mercantile Exchange Inc. and John P. Davidson III (incorporated by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89"/>
              </w:rPr>
              <w:t>reference to Exhibit 10.1 to the Chicago Mercantile Exchange Holdings Inc.’s Form 8-K, filed with the SEC on February 8, 2006, File No. 000-</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33379).</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10.16</w:t>
            </w:r>
          </w:p>
        </w:tc>
        <w:tc>
          <w:tcPr>
            <w:tcW w:w="660" w:type="dxa"/>
            <w:vAlign w:val="bottom"/>
          </w:tcPr>
          <w:p>
            <w:pPr>
              <w:spacing w:after="0"/>
              <w:rPr>
                <w:sz w:val="20"/>
                <w:szCs w:val="20"/>
                <w:color w:val="auto"/>
              </w:rPr>
            </w:pPr>
            <w:r>
              <w:rPr>
                <w:rFonts w:ascii="Arial" w:cs="Arial" w:eastAsia="Arial" w:hAnsi="Arial"/>
                <w:sz w:val="18"/>
                <w:szCs w:val="18"/>
                <w:color w:val="auto"/>
              </w:rPr>
              <w:t>(2)</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Summary of Agreement between Chicago Mercantile Exchange Inc. and Terrence A. Duffy, effective as of June 6, 2007 (incorporated by</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reference to Exhibit 10.2 to CME Group Inc.’s Form 10-Q, filed with the SEC on August 3, 2007, File No. 000-33379).</w:t>
            </w:r>
          </w:p>
        </w:tc>
        <w:tc>
          <w:tcPr>
            <w:tcW w:w="0" w:type="dxa"/>
            <w:vAlign w:val="bottom"/>
          </w:tcPr>
          <w:p>
            <w:pPr>
              <w:spacing w:after="0"/>
              <w:rPr>
                <w:sz w:val="1"/>
                <w:szCs w:val="1"/>
                <w:color w:val="auto"/>
              </w:rPr>
            </w:pP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10.17</w:t>
            </w:r>
          </w:p>
        </w:tc>
        <w:tc>
          <w:tcPr>
            <w:tcW w:w="660" w:type="dxa"/>
            <w:vAlign w:val="bottom"/>
          </w:tcPr>
          <w:p>
            <w:pPr>
              <w:spacing w:after="0"/>
              <w:rPr>
                <w:sz w:val="20"/>
                <w:szCs w:val="20"/>
                <w:color w:val="auto"/>
              </w:rPr>
            </w:pPr>
            <w:r>
              <w:rPr>
                <w:rFonts w:ascii="Arial" w:cs="Arial" w:eastAsia="Arial" w:hAnsi="Arial"/>
                <w:sz w:val="18"/>
                <w:szCs w:val="18"/>
                <w:color w:val="auto"/>
              </w:rPr>
              <w:t>(1) (2)</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Employment Agreement, dated October 5, 2007, between Chicago Mercantile Exchange Inc. and Bryan Durkin.</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10.18</w:t>
            </w:r>
          </w:p>
        </w:tc>
        <w:tc>
          <w:tcPr>
            <w:tcW w:w="660" w:type="dxa"/>
            <w:vAlign w:val="bottom"/>
          </w:tcPr>
          <w:p>
            <w:pPr>
              <w:spacing w:after="0"/>
              <w:rPr>
                <w:sz w:val="24"/>
                <w:szCs w:val="24"/>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Consulting Agreement between Chicago Mercantile Exchange Holdings Inc. and Leo Melamed, dated January 31, 2005 (incorporated by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reference to Exhibit 99.1 to Chicago Mercantile Exchange Holdings Inc.’s Form 8-K, filed with the SEC on February 3, 2005, File No. 001-</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10.19</w:t>
            </w:r>
          </w:p>
        </w:tc>
        <w:tc>
          <w:tcPr>
            <w:tcW w:w="660" w:type="dxa"/>
            <w:vAlign w:val="bottom"/>
          </w:tcPr>
          <w:p>
            <w:pPr>
              <w:spacing w:after="0"/>
              <w:rPr>
                <w:sz w:val="24"/>
                <w:szCs w:val="24"/>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1"/>
              </w:rPr>
              <w:t>Consulting Agreement between Chicago Mercantile Exchange Holdings Inc. and Leo Melamed, dated November 14, 2005 (incorporated by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reference to Exhibit 10.28 to Chicago Mercantile Exchange Holdings Inc.’s Form 10-K filed with the SEC on March 6, 2006, File No. 000 -</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33379).</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10.20</w:t>
            </w:r>
          </w:p>
        </w:tc>
        <w:tc>
          <w:tcPr>
            <w:tcW w:w="660" w:type="dxa"/>
            <w:vAlign w:val="bottom"/>
          </w:tcPr>
          <w:p>
            <w:pPr>
              <w:spacing w:after="0"/>
              <w:rPr>
                <w:sz w:val="24"/>
                <w:szCs w:val="24"/>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Consulting Agreement between Chicago Mercantile Exchange Holdings Inc. and Jack Sandner, dated October 10, 2005 (incorporated by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reference to Exhibit 10.4 to Chicago Mercantile Exchange Holdings Inc.’s Form 10-Q, filed with the SEC on November 4, 2005, File No. 000-</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33379).</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10.21</w:t>
            </w:r>
          </w:p>
        </w:tc>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89"/>
              </w:rPr>
              <w:t>Services Agreement by and between Chicago Mercantile Exchange Inc. and New York Mercantile Exchange, Inc. effective as of April 6, 2006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(incorporated by reference to Exhibit 10.8 to Chicago Mercantile Exchange Holdings Inc.’s Form 10-K, filed with the SEC on March 1, 2007,</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File No. 000-33379).</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10.22</w:t>
            </w:r>
          </w:p>
        </w:tc>
        <w:tc>
          <w:tcPr>
            <w:tcW w:w="660" w:type="dxa"/>
            <w:vAlign w:val="bottom"/>
          </w:tcPr>
          <w:p>
            <w:pPr>
              <w:spacing w:after="0"/>
              <w:rPr>
                <w:sz w:val="20"/>
                <w:szCs w:val="20"/>
                <w:color w:val="auto"/>
              </w:rPr>
            </w:pPr>
            <w:r>
              <w:rPr>
                <w:rFonts w:ascii="Arial" w:cs="Arial" w:eastAsia="Arial" w:hAnsi="Arial"/>
                <w:sz w:val="18"/>
                <w:szCs w:val="18"/>
                <w:color w:val="auto"/>
              </w:rPr>
              <w:t>(3)</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4"/>
              </w:rPr>
              <w:t>Amended and Restated License Agreement, effective as of September 20, 2005, by and between Standard &amp; Poor’s, a division of The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4"/>
              </w:rPr>
              <w:t>McGraw-Hill Companies, Inc., and Chicago Mercantile Exchange Inc. (incorporated by reference to Exhibit 10.1 to Chicago Mercantile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Exchange Holdings Inc. Form 10-Q, filed with the SEC on November 4, 2005, File No. 000-33379), including the Letter Agreement, dated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4"/>
              </w:rPr>
              <w:t>March 30, 2006, amending the Amended and Restated License Agreement between Standard &amp; Poor’s, a Division of The McGraw-Hill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Companies, Inc. and Chicago Mercantile Exchange Inc. (incorporated by reference to Exhibit 10.3 to Chicago Mercantile Exchange Holdings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Inc. Form 10-Q, filed with the SEC on May 8, 2006, File No. 000-33379), the Letter Amendment, dated September 22, 2006 (incorporated by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reference to Exhibit 10.3 to Chicago Mercantile Exchange Inc. Form 10-Q filed with the SEC on November 6, 2006, File No. 000-33379)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the Letter Amendment, dated September 28, 2006 (incorporated by reference to Exhibit 10.4 to Chicago Mercantile Exchange Holdings Inc.</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Form 10-Q filed with the SEC on November 6, 2006, File No. 000-33379).</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660" w:type="dxa"/>
            <w:vAlign w:val="bottom"/>
          </w:tcPr>
          <w:p>
            <w:pPr>
              <w:spacing w:after="0"/>
              <w:rPr>
                <w:sz w:val="20"/>
                <w:szCs w:val="20"/>
                <w:color w:val="auto"/>
              </w:rPr>
            </w:pPr>
            <w:r>
              <w:rPr>
                <w:rFonts w:ascii="Arial" w:cs="Arial" w:eastAsia="Arial" w:hAnsi="Arial"/>
                <w:sz w:val="18"/>
                <w:szCs w:val="18"/>
                <w:color w:val="auto"/>
              </w:rPr>
              <w:t>(4)</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5"/>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1"/>
              </w:rPr>
              <w:t>Securities Dealers, Inc., and Chicago Mercantile Exchange Inc. (incorporated by reference to Chicago Mercantile Exchange Holdings Inc.’s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3"/>
              </w:rPr>
              <w:t>Form 10-K, filed with the SEC on March 11, 2004, File No. 001-31553), including the amendment dated April 26, 2005 (incorporated by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reference to Exhibit 10.1 to Chicago Mercantile Exchange Holdings Inc.’s Form 10-Q, filed with the SEC on August 4, 2005, File No. 001-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0"/>
              </w:rPr>
              <w:t>31553) and the amendment dated June 22, 2005 (incorporated by reference to Exhibit 10.2 to Chicago Mercantile Exchange Holdings Inc.’s</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rPr>
              <w:t>Form 10-Q, filed with the SEC on August 4, 2005, File No. 001-31553).</w:t>
            </w:r>
          </w:p>
        </w:tc>
        <w:tc>
          <w:tcPr>
            <w:tcW w:w="0" w:type="dxa"/>
            <w:vAlign w:val="bottom"/>
          </w:tcPr>
          <w:p>
            <w:pPr>
              <w:spacing w:after="0"/>
              <w:rPr>
                <w:sz w:val="1"/>
                <w:szCs w:val="1"/>
                <w:color w:val="auto"/>
              </w:rPr>
            </w:pPr>
          </w:p>
        </w:tc>
      </w:tr>
      <w:tr>
        <w:trPr>
          <w:trHeight w:val="318"/>
        </w:trPr>
        <w:tc>
          <w:tcPr>
            <w:tcW w:w="440" w:type="dxa"/>
            <w:vAlign w:val="bottom"/>
            <w:gridSpan w:val="2"/>
          </w:tcPr>
          <w:p>
            <w:pPr>
              <w:spacing w:after="0"/>
              <w:rPr>
                <w:sz w:val="20"/>
                <w:szCs w:val="20"/>
                <w:color w:val="auto"/>
              </w:rPr>
            </w:pPr>
            <w:r>
              <w:rPr>
                <w:rFonts w:ascii="Arial" w:cs="Arial" w:eastAsia="Arial" w:hAnsi="Arial"/>
                <w:sz w:val="18"/>
                <w:szCs w:val="18"/>
                <w:color w:val="auto"/>
                <w:w w:val="93"/>
              </w:rPr>
              <w:t>10.24</w:t>
            </w:r>
          </w:p>
        </w:tc>
        <w:tc>
          <w:tcPr>
            <w:tcW w:w="660" w:type="dxa"/>
            <w:vAlign w:val="bottom"/>
          </w:tcPr>
          <w:p>
            <w:pPr>
              <w:spacing w:after="0"/>
              <w:rPr>
                <w:sz w:val="20"/>
                <w:szCs w:val="20"/>
                <w:color w:val="auto"/>
              </w:rPr>
            </w:pPr>
            <w:r>
              <w:rPr>
                <w:rFonts w:ascii="Arial" w:cs="Arial" w:eastAsia="Arial" w:hAnsi="Arial"/>
                <w:sz w:val="18"/>
                <w:szCs w:val="18"/>
                <w:color w:val="auto"/>
              </w:rPr>
              <w:t>(4)</w:t>
            </w: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88"/>
              </w:rPr>
              <w:t>Index License Agreement between Dow Jones &amp; Company, Inc. and Board of Trade of the City of Chicago, Inc., effective September 11, 2007.</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20" w:type="dxa"/>
            <w:vAlign w:val="bottom"/>
            <w:gridSpan w:val="2"/>
          </w:tcPr>
          <w:p>
            <w:pPr>
              <w:ind w:left="220"/>
              <w:spacing w:after="0"/>
              <w:rPr>
                <w:sz w:val="20"/>
                <w:szCs w:val="20"/>
                <w:color w:val="auto"/>
              </w:rPr>
            </w:pPr>
            <w:r>
              <w:rPr>
                <w:rFonts w:ascii="Arial" w:cs="Arial" w:eastAsia="Arial" w:hAnsi="Arial"/>
                <w:sz w:val="18"/>
                <w:szCs w:val="18"/>
                <w:color w:val="auto"/>
                <w:w w:val="92"/>
              </w:rPr>
              <w:t>(incorporated by reference to Exhibit 10.7 to CME Group Inc.’s Form 10-Q, filed with the SEC on November 8, 2007, File No. 000-33379).</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320" w:type="dxa"/>
            <w:vAlign w:val="bottom"/>
            <w:gridSpan w:val="2"/>
          </w:tcPr>
          <w:p>
            <w:pPr>
              <w:ind w:left="44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4"/>
                <w:szCs w:val="14"/>
                <w:color w:val="auto"/>
              </w:rPr>
            </w:pPr>
          </w:p>
        </w:tc>
        <w:tc>
          <w:tcPr>
            <w:tcW w:w="10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00" w:type="dxa"/>
            <w:vAlign w:val="bottom"/>
            <w:gridSpan w:val="2"/>
          </w:tcPr>
          <w:p>
            <w:pPr>
              <w:spacing w:after="0" w:line="201" w:lineRule="exact"/>
              <w:rPr>
                <w:sz w:val="20"/>
                <w:szCs w:val="20"/>
                <w:color w:val="auto"/>
              </w:rPr>
            </w:pPr>
            <w:r>
              <w:rPr>
                <w:rFonts w:ascii="Arial" w:cs="Arial" w:eastAsia="Arial" w:hAnsi="Arial"/>
                <w:sz w:val="18"/>
                <w:szCs w:val="18"/>
                <w:color w:val="auto"/>
              </w:rPr>
              <w:t>10.25 (3)</w:t>
            </w:r>
          </w:p>
        </w:tc>
        <w:tc>
          <w:tcPr>
            <w:tcW w:w="10220" w:type="dxa"/>
            <w:vAlign w:val="bottom"/>
          </w:tcPr>
          <w:p>
            <w:pPr>
              <w:spacing w:after="0" w:line="201" w:lineRule="exact"/>
              <w:rPr>
                <w:sz w:val="20"/>
                <w:szCs w:val="20"/>
                <w:color w:val="auto"/>
              </w:rPr>
            </w:pPr>
            <w:r>
              <w:rPr>
                <w:rFonts w:ascii="Arial" w:cs="Arial" w:eastAsia="Arial" w:hAnsi="Arial"/>
                <w:sz w:val="18"/>
                <w:szCs w:val="18"/>
                <w:color w:val="auto"/>
                <w:w w:val="90"/>
              </w:rPr>
              <w:t>Shareholders Agreement dated May 4, 2006 and amended and restated on July 20, 2006 by and between Reuters Holdings Limited, CME FX</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1"/>
              </w:rPr>
              <w:t>Marketplace Inc., FXMarketSpace Limited (f/k/a RCFX Limited), Reuters Group PLC, Reuters Limited, the Company and Chicago Mercantile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3"/>
              </w:rPr>
              <w:t>Exchange Inc. (incorporated by reference to Exhibit 10.2 to Chicago Mercantile Exchange Holdings Inc. Form 10-Q, filed with the SEC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August 7, 2006, File No. 000-33379).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7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364-Day Revolving Credit Agreement, dated as of July 27, 2007, among CME Group Inc., as Borrower, the Lenders party thereto, and Lehman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1"/>
              </w:rPr>
              <w:t>Commercial Paper Inc., as Administrative Agent (incorporated by reference to Exhibit 10.1 to CME Group Inc.’s Form 8-K, filed with the SEC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8"/>
              </w:rPr>
              <w:t>on August 1, 2007, File No. 000-33379); Scheduled Commitment Decreases to the 364-Revolving Credit Agreement, dated August 31, 2007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0"/>
              </w:rPr>
              <w:t>September 24, 2007 (incorporated by reference to Exhibit 10.2 to CME Group Inc.’s Form 10-Q, filed with the SEC on August 3, 2007, File No.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000-33379); First Amendment, dated as of December 10, 2007, to that certain 364-Day Revolving Credit Agreement, dated as of July 27, 2007,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among CME Group Inc., as Borrower, the Lenders party thereto, and Lehman Commercial Paper Inc., as Administrative Agent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reference to Exhibit 10.1 to CME Group Inc.’s Form 8-K, filed with the SEC on December 13, 2007, File No. 000-33379).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7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Commercial Paper Dealer Agreement, dated as of August 16, 2007, between CME Group Inc., as Issuer, and Lehman Brothers Inc., as Dealer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(incorporated by reference to Exhibit 4.2 above).</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7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Commercial Paper Dealer Agreement, dated as of August 16, 2007, between CME Group Inc., as Issuer, and Lehman Brothers Inc., as Dealer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(incorporated by reference to Exhibit 4.3 above).</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7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6"/>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Association, as issuing and paying agent (incorporated by reference to Exhibit 4.4 above).</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7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2"/>
              </w:rPr>
              <w:t>Credit Agreement, dated as of October 12, 2007, between Chicago Mercantile Exchange Inc. and each of the banks from time to time party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89"/>
              </w:rPr>
              <w:t>thereto and the Bank of Montreal, as administrative agent, JP Morgan Chase Bank N.A., as collateral agent, and BMO Capital Markets, as lead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4"/>
              </w:rPr>
              <w:t>arranger (incorporated by reference to Exhibit 10.1 to CME Group Inc.’s Form 8-K, filed with the SEC on October 17, 2007, File No. 000-</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33379).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7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w w:val="90"/>
              </w:rPr>
              <w:t>Office Lease by and between 10-30 South Wacker, L.P and Chicago Mercantile Exchange Inc., dated as of August 24, 2007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reference to Exhibit 10.1 to CME Group Inc.’s Form 8-K, filed with the SEC on August 29, 2007, File No. 000-33379).</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21.1 (1)</w:t>
            </w:r>
          </w:p>
        </w:tc>
        <w:tc>
          <w:tcPr>
            <w:tcW w:w="10220" w:type="dxa"/>
            <w:vAlign w:val="bottom"/>
          </w:tcPr>
          <w:p>
            <w:pPr>
              <w:spacing w:after="0"/>
              <w:rPr>
                <w:sz w:val="20"/>
                <w:szCs w:val="20"/>
                <w:color w:val="auto"/>
              </w:rPr>
            </w:pPr>
            <w:r>
              <w:rPr>
                <w:rFonts w:ascii="Arial" w:cs="Arial" w:eastAsia="Arial" w:hAnsi="Arial"/>
                <w:sz w:val="18"/>
                <w:szCs w:val="18"/>
                <w:color w:val="auto"/>
              </w:rPr>
              <w:t>List of Subsidiaries of CME Group Inc.</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23.1 (1)</w:t>
            </w:r>
          </w:p>
        </w:tc>
        <w:tc>
          <w:tcPr>
            <w:tcW w:w="10220" w:type="dxa"/>
            <w:vAlign w:val="bottom"/>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31.1 (1)</w:t>
            </w:r>
          </w:p>
        </w:tc>
        <w:tc>
          <w:tcPr>
            <w:tcW w:w="10220" w:type="dxa"/>
            <w:vAlign w:val="bottom"/>
          </w:tcPr>
          <w:p>
            <w:pPr>
              <w:spacing w:after="0"/>
              <w:rPr>
                <w:sz w:val="20"/>
                <w:szCs w:val="20"/>
                <w:color w:val="auto"/>
              </w:rPr>
            </w:pPr>
            <w:r>
              <w:rPr>
                <w:rFonts w:ascii="Arial" w:cs="Arial" w:eastAsia="Arial" w:hAnsi="Arial"/>
                <w:sz w:val="18"/>
                <w:szCs w:val="18"/>
                <w:color w:val="auto"/>
              </w:rPr>
              <w:t>Section 302 -- Certification of Craig S. Donohue</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31.2 (1)</w:t>
            </w:r>
          </w:p>
        </w:tc>
        <w:tc>
          <w:tcPr>
            <w:tcW w:w="10220" w:type="dxa"/>
            <w:vAlign w:val="bottom"/>
          </w:tcPr>
          <w:p>
            <w:pPr>
              <w:spacing w:after="0"/>
              <w:rPr>
                <w:sz w:val="20"/>
                <w:szCs w:val="20"/>
                <w:color w:val="auto"/>
              </w:rPr>
            </w:pPr>
            <w:r>
              <w:rPr>
                <w:rFonts w:ascii="Arial" w:cs="Arial" w:eastAsia="Arial" w:hAnsi="Arial"/>
                <w:sz w:val="18"/>
                <w:szCs w:val="18"/>
                <w:color w:val="auto"/>
              </w:rPr>
              <w:t>Section 302 -- Certification of James E. Parisi</w:t>
            </w:r>
          </w:p>
        </w:tc>
        <w:tc>
          <w:tcPr>
            <w:tcW w:w="0" w:type="dxa"/>
            <w:vAlign w:val="bottom"/>
          </w:tcPr>
          <w:p>
            <w:pPr>
              <w:spacing w:after="0"/>
              <w:rPr>
                <w:sz w:val="1"/>
                <w:szCs w:val="1"/>
                <w:color w:val="auto"/>
              </w:rPr>
            </w:pPr>
          </w:p>
        </w:tc>
      </w:tr>
      <w:tr>
        <w:trPr>
          <w:trHeight w:val="324"/>
        </w:trPr>
        <w:tc>
          <w:tcPr>
            <w:tcW w:w="1200" w:type="dxa"/>
            <w:vAlign w:val="bottom"/>
            <w:gridSpan w:val="2"/>
          </w:tcPr>
          <w:p>
            <w:pPr>
              <w:spacing w:after="0"/>
              <w:rPr>
                <w:sz w:val="20"/>
                <w:szCs w:val="20"/>
                <w:color w:val="auto"/>
              </w:rPr>
            </w:pPr>
            <w:r>
              <w:rPr>
                <w:rFonts w:ascii="Arial" w:cs="Arial" w:eastAsia="Arial" w:hAnsi="Arial"/>
                <w:sz w:val="18"/>
                <w:szCs w:val="18"/>
                <w:color w:val="auto"/>
              </w:rPr>
              <w:t>32.1 (1)</w:t>
            </w: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request for confidential treatment pursuant to Rule 24b-2 of the Exchange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27th day of February, 2008.</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E. Parisi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Managing Director and Chief Financial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27, 2008.</w:t>
      </w:r>
    </w:p>
    <w:p>
      <w:pPr>
        <w:spacing w:after="0" w:line="168" w:lineRule="exact"/>
        <w:rPr>
          <w:sz w:val="20"/>
          <w:szCs w:val="20"/>
          <w:color w:val="auto"/>
        </w:rPr>
      </w:pPr>
    </w:p>
    <w:p>
      <w:pPr>
        <w:spacing w:after="0"/>
        <w:tabs>
          <w:tab w:leader="none" w:pos="60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Craig S. Donohue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Terrence A. Duffy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E. Parisi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Nancy W. Goble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Nancy W. Goble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E. Cermak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E. Cermak</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Dennis H. Chookaszian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963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Dennis H. Chookaszian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Jackie Clegg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Jackie Clegg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Corvino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F. Corvino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Executive Chairman of the Board and Director</w:t>
      </w: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Managing Director and Chief Financial Officer</w:t>
      </w:r>
    </w:p>
    <w:p>
      <w:pPr>
        <w:spacing w:after="0" w:line="200" w:lineRule="exact"/>
        <w:rPr>
          <w:sz w:val="20"/>
          <w:szCs w:val="20"/>
          <w:color w:val="auto"/>
        </w:rPr>
      </w:pPr>
    </w:p>
    <w:p>
      <w:pPr>
        <w:spacing w:after="0" w:line="291"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Managing Director and Chief Accounting Officer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ectPr>
          <w:pgSz w:w="11900" w:h="16838" w:orient="portrait"/>
          <w:cols w:equalWidth="0" w:num="2">
            <w:col w:w="4860" w:space="720"/>
            <w:col w:w="5780"/>
          </w:cols>
          <w:pgMar w:left="240" w:top="459" w:right="2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426"/>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Donaldson</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James A. Donaldson</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8"/>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J. Gepsman</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Martin J. Gepsman</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G. Gerdes</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Larry G. Gerdes</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R. Glickman</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Daniel R. Glickman</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Harrington</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Elizabeth Harrington</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Bruce F. Johnson</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Bruce F. Johnson</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M. Katler</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Gary M. Katler</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Patrick B. Lynch</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Patrick B. Lynch</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P. Miller II</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William P. Miller II</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Niciforo</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Joseph Niciforo</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C.C. Odom II</w:t>
            </w:r>
          </w:p>
        </w:tc>
        <w:tc>
          <w:tcPr>
            <w:tcW w:w="2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C.C. Odom II</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65"/>
        </w:trPr>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3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426"/>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L. Pietrzak</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John L. Pietrzak</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 J. Pollock</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Alex J. Pollock</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G. Salatich, Jr.</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William G. Salatich, Jr.</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F. Sandner</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John F. Sandner</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Terry L. Savage</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Terry L. Savage</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Howard J. Siegel</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Howard J. Siegel</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Stewart</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Christopher Stewart</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Wescott</w:t>
            </w:r>
          </w:p>
        </w:tc>
        <w:tc>
          <w:tcPr>
            <w:tcW w:w="2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David J. Wescott</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65"/>
        </w:trPr>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GRANDFATHERED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MANAGEMENT SUPPLEMENTAL DEFERRED SAVINGS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January 1,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History, Purpose and Effective Date</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291" w:lineRule="auto"/>
        <w:tabs>
          <w:tab w:leader="none" w:pos="1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Chicago Mercantile Exchange Inc., a Delaware corporation (the “Exchange”), maintains the Chicago Mercantile Exchange Inc. Amended and Restated Senior Management Supplemental Deferred Savings Plan (the “Plan”) to provide a select group of its key management employees with the opportunity to defer receipt of compensation and receive additional retirement income from the Exchange. The Plan was originally effective on January 1, 1993 (the “Effective Date”) and has been subsequently amended from time to time. The Plan is intended to constitute a plan maintained primarily for the purpose of providing deferred compensation for a select group of management or highly compensated employees within the meaning of Sections 201(2), 301(a)(3), and 401(a)(1) of the Employee Retirement Income Security Act of 1974, as amended (“ERISA”).</w:t>
      </w:r>
    </w:p>
    <w:p>
      <w:pPr>
        <w:spacing w:after="0" w:line="120" w:lineRule="exact"/>
        <w:rPr>
          <w:rFonts w:ascii="Arial" w:cs="Arial" w:eastAsia="Arial" w:hAnsi="Arial"/>
          <w:sz w:val="16"/>
          <w:szCs w:val="16"/>
          <w:color w:val="auto"/>
        </w:rPr>
      </w:pPr>
    </w:p>
    <w:p>
      <w:pPr>
        <w:ind w:right="200" w:firstLine="921"/>
        <w:spacing w:after="0" w:line="256"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document is an amendment and restatement of the Plan as in effect prior to 2005, and is applicable only to the portion (if any) of a Participant’s Account that was vested as of December 31, 2004, including credited earnings and losses with respect thereto (the “Grandfathered Account”). The Plan, as so amended and restated, shall be sometimes referred to as the “Chicago Mercantile Exchange Inc. Grandfathered Senior Management Supplemental Deferred Savings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87"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Retirement Committee (the “Retirement Committee”) appointed by the Compensation Committee (the “Compensation Committee”) of the Board of Directors of the Exchange is the Plan Administrator of the Plan. If the Compensation Committee fails to act to appoint the members of the Retirement Committee, then the Compensation Committee will be deemed to be the Retirement Committee hereunder. The Plan Administrator shall from time to time adopt rules for the administration of the Plan and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 the Plan, and whether a claimant is eligible for benefits under the Plan, the determination of the amount of benefits, if any, a claimant is entitled to receive, and making any other determinations which it believes necessary or advisable for the administration and operation of the Plan. Any such decision or action shall be final and binding upon all Participants and beneficiaries, and benefits under the Plan shall be paid only if the Plan Administrator decides in its discretion that the claimant is</w:t>
      </w:r>
    </w:p>
    <w:p>
      <w:pPr>
        <w:sectPr>
          <w:pgSz w:w="11900" w:h="16838" w:orient="portrait"/>
          <w:cols w:equalWidth="0" w:num="1">
            <w:col w:w="11420"/>
          </w:cols>
          <w:pgMar w:left="240" w:top="125" w:right="239" w:bottom="1440" w:gutter="0" w:footer="0" w:header="0"/>
        </w:sectPr>
      </w:pPr>
    </w:p>
    <w:bookmarkStart w:id="125" w:name="page126"/>
    <w:bookmarkEnd w:id="12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entitled to them. The Plan Administrator’s decision or action in respect of any of the above shall be conclusive and binding upon all Participants and their beneficiaries, heirs, assigns, administrators, executors and any other person claiming through or under them, subject to such individual’s rights to a review of the denial of any benefit claim under the claims procedure set forth in Section 1.11.</w:t>
      </w:r>
    </w:p>
    <w:p>
      <w:pPr>
        <w:spacing w:after="0" w:line="140" w:lineRule="exact"/>
        <w:rPr>
          <w:sz w:val="20"/>
          <w:szCs w:val="20"/>
          <w:color w:val="auto"/>
        </w:rPr>
      </w:pPr>
    </w:p>
    <w:p>
      <w:pPr>
        <w:ind w:right="20" w:firstLine="921"/>
        <w:spacing w:after="0" w:line="291"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providing for the administration of the Plan, the Plan Administrator may delegate responsibilities for the operation and administration of the Plan by written document filed with the Plan records. Any such delegation may be revoked at any time. The Secretary of the Exchange (or, on behalf of the Secretary of the Exchange, any Corporate Secretary or Assistant Secretary) shall certify to any interested person the names of the employees of the Exchange who are, from time to time, authorized to act on behalf of the Plan Administrator and who are responsible for the day-to-day operation and administration of the Plan. The Plan Administrator may appoint and compensate such specialists to aid it in the administration of the Plan and arrange for such other services as it considers necessary or appropriate to carry out the provisions of the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Year</w:t>
      </w:r>
      <w:r>
        <w:rPr>
          <w:rFonts w:ascii="Arial" w:cs="Arial" w:eastAsia="Arial" w:hAnsi="Arial"/>
          <w:sz w:val="18"/>
          <w:szCs w:val="18"/>
          <w:color w:val="auto"/>
        </w:rPr>
        <w:t>. The term “Plan Year” means the calendar year.</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Source of Benefit Payments</w:t>
      </w:r>
      <w:r>
        <w:rPr>
          <w:rFonts w:ascii="Arial" w:cs="Arial" w:eastAsia="Arial" w:hAnsi="Arial"/>
          <w:sz w:val="15"/>
          <w:szCs w:val="15"/>
          <w:color w:val="auto"/>
        </w:rPr>
        <w:t>. Subject to the terms and conditions of the Plan, any amount payable to or on account of a Participant under this Plan shall be paid from the general assets of the Exchange or from one or more trusts, the assets of which are subject to the claims of the Exchange’s general creditors. The amounts payable hereunder shall be reflected on the accounting records of the Exchange but shall not be construed to create, or require the creation of, a trust, custodial or escrow account. None of the individuals entitled to benefits under the Plan shall have any preferred claim on, or any beneficial ownership interest in, any assets of the Exchange or to any investment reserves, accounts, trusts or funds that the Exchange may purchase, establish or accumulate to aid in providing the benefits under the Plan, and any rights of such individuals under the Plan shall constitute unsecured contractual rights only. Nothing contained in the Plan shall constitute a guarantee by the Exchange that the assets of the Exchange shall be sufficient to pay any benefits to any person. Nothing contained in the Plan and no action taken pursuant to its provisions shall create a trust or fiduciary relationship of any kind between the Exchange and an employee or any other person.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Exchange.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Effect on Other Benefit Plans</w:t>
      </w:r>
      <w:r>
        <w:rPr>
          <w:rFonts w:ascii="Arial" w:cs="Arial" w:eastAsia="Arial" w:hAnsi="Arial"/>
          <w:sz w:val="16"/>
          <w:szCs w:val="16"/>
          <w:color w:val="auto"/>
        </w:rPr>
        <w:t>. Any amounts credited or paid under this Plan shall not be considered to be compensation for the purposes of any qualified plan (within the meaning of Section 401(a) of the Internal Revenue Code of 1986, as amended (the “Code”)) maintained by the Exchange. The treatment of such amounts under other employee benefit plans shall be in accordance with the provisions of such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Applicable Laws</w:t>
      </w:r>
      <w:r>
        <w:rPr>
          <w:rFonts w:ascii="Arial" w:cs="Arial" w:eastAsia="Arial" w:hAnsi="Arial"/>
          <w:sz w:val="18"/>
          <w:szCs w:val="18"/>
          <w:color w:val="auto"/>
        </w:rPr>
        <w:t>. The Plan shall be construed and administered in accordance with the laws of the State of Illinois.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6" w:name="page127"/>
    <w:bookmarkEnd w:id="126"/>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document required to be given to or filed with the Plan Administrator will be properly filed if delivered or mailed by registered mail, postage prepaid, to the Secretary of the Exchange, at its principal executive offices. The Plan Administrator may, by advance written notice to affected persons, revise such notice procedure from time to time. Any notice required under the Plan may be waived by the person entitled to notice.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9" w:lineRule="auto"/>
        <w:tabs>
          <w:tab w:leader="none" w:pos="11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purposes of the Plan, a claim for a benefit is a written application for a benefit filed with the Plan Administrator. In the event that any Participant or 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 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the time limits applicable to those procedures, including a statement of the claimant’s right to bring a civil action under ERISA Section 502(a) following the denial of his claim on review.</w:t>
      </w:r>
    </w:p>
    <w:p>
      <w:pPr>
        <w:spacing w:after="0" w:line="118"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the Plan Administrator requests additional information from a claimant prior to an initial determination or a determination on appeal, the Plan Administrator will notify the claimant and permit the claimant to have </w:t>
      </w:r>
      <w:r>
        <w:rPr>
          <w:rFonts w:ascii="Arial" w:cs="Arial" w:eastAsia="Arial" w:hAnsi="Arial"/>
          <w:sz w:val="18"/>
          <w:szCs w:val="18"/>
          <w:i w:val="1"/>
          <w:iCs w:val="1"/>
          <w:color w:val="auto"/>
        </w:rPr>
        <w:t>45</w:t>
      </w:r>
      <w:r>
        <w:rPr>
          <w:rFonts w:ascii="Arial" w:cs="Arial" w:eastAsia="Arial" w:hAnsi="Arial"/>
          <w:sz w:val="18"/>
          <w:szCs w:val="18"/>
          <w:color w:val="auto"/>
        </w:rPr>
        <w:t xml:space="preserve">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143" w:lineRule="exact"/>
        <w:rPr>
          <w:rFonts w:ascii="Arial" w:cs="Arial" w:eastAsia="Arial" w:hAnsi="Arial"/>
          <w:sz w:val="18"/>
          <w:szCs w:val="18"/>
          <w:color w:val="auto"/>
        </w:rPr>
      </w:pPr>
    </w:p>
    <w:p>
      <w:pPr>
        <w:ind w:right="240" w:firstLine="921"/>
        <w:spacing w:after="0" w:line="255" w:lineRule="auto"/>
        <w:tabs>
          <w:tab w:leader="none" w:pos="11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Within 60 days after the mailing or delivery by the Plan Administrator or its designee of such notice, such claimant may request, by mailing or delivery of written notice to the Plan Administrator, a review by the Plan Administrator of the decision denying the claim. The claimant may submit written comments, documents, records and other information relating to his claim, whether or not 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7" w:name="page128"/>
    <w:bookmarkEnd w:id="127"/>
    <w:p>
      <w:pPr>
        <w:ind w:right="180" w:firstLine="921"/>
        <w:spacing w:after="0" w:line="268"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claimant fails to request such a review within such 60-day period, it shall be conclusively determined for all purposes of this Plan that the denial of such claim by the Plan Administrator is correct.</w:t>
      </w:r>
    </w:p>
    <w:p>
      <w:pPr>
        <w:spacing w:after="0" w:line="131" w:lineRule="exact"/>
        <w:rPr>
          <w:rFonts w:ascii="Arial" w:cs="Arial" w:eastAsia="Arial" w:hAnsi="Arial"/>
          <w:sz w:val="18"/>
          <w:szCs w:val="18"/>
          <w:color w:val="auto"/>
        </w:rPr>
      </w:pPr>
    </w:p>
    <w:p>
      <w:pPr>
        <w:ind w:right="140" w:firstLine="921"/>
        <w:spacing w:after="0" w:line="290" w:lineRule="auto"/>
        <w:tabs>
          <w:tab w:leader="none" w:pos="11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After such review, the Plan Administrator shall determine whether such denial of the claim was correct and shall notify such claimant in writing of its 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(c) a statement that the claimant is entitled to receive, upon written request and free of charge, reasonable access to and copies of all documents, records and other information relevant to his claim for benefits; and (d) a statement of any voluntary appeal procedures offered by the Plan and the claimant’s right to obtain information about the procedures and to bring a civil action under ERISA Section 502(a).</w:t>
      </w: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2</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Participation</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Participant</w:t>
      </w:r>
      <w:r>
        <w:rPr>
          <w:rFonts w:ascii="Arial" w:cs="Arial" w:eastAsia="Arial" w:hAnsi="Arial"/>
          <w:sz w:val="16"/>
          <w:szCs w:val="16"/>
          <w:color w:val="auto"/>
        </w:rPr>
        <w:t>. The key employees of the Exchange eligible to participate in the Plan and the conditions for such participation shall be established, from time to time, by the Exchange; provided, however, that Participants shall be limited to a select group of management or highly compensated employees within the meaning of Sections 201(2), 301(a)(3), and 401(a)(1) of ERISA. If the Exchange determines that participation by one or more Participants shall cause the Plan to be subject to Part 2, 3 or 4 of Title I of ERISA, the entire interest of such Participant or Participants under the Plan shall be segregated from the Plan in the discretion of the Exchange, and such Participant or Participants shall cease to have any interest under the Plan.</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Plan Not Contract of Employment</w:t>
      </w:r>
      <w:r>
        <w:rPr>
          <w:rFonts w:ascii="Arial" w:cs="Arial" w:eastAsia="Arial" w:hAnsi="Arial"/>
          <w:sz w:val="18"/>
          <w:szCs w:val="18"/>
          <w:color w:val="auto"/>
        </w:rPr>
        <w:t>. The Plan does not constitute a contract of employment, and participation in the Plan will not give any employee the right to be retained in the employ of the Exchange nor any right or claim to any benefit under the Plan, unless such right or claim has specifically accrued under the terms of the Plan.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Deferred Compensation; Plan Accounting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Deferred Compensation Accounts</w:t>
      </w:r>
      <w:r>
        <w:rPr>
          <w:rFonts w:ascii="Arial" w:cs="Arial" w:eastAsia="Arial" w:hAnsi="Arial"/>
          <w:sz w:val="18"/>
          <w:szCs w:val="18"/>
          <w:color w:val="auto"/>
        </w:rPr>
        <w:t>. The Plan Administrator shall maintain, or cause to be maintained, an Account in the name of each Participant which shall reflect the sum of the following amounts:</w:t>
      </w:r>
    </w:p>
    <w:p>
      <w:pPr>
        <w:spacing w:after="0" w:line="5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base salary deferred by the Participant, in accordance with the provisions of subsection 3.2;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bonus deferred by the Participant, in accordance with the provisions of subsection 3.2;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28" w:name="page129"/>
    <w:bookmarkEnd w:id="128"/>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Matching Credits to be credited to the Participant’s Account in accordance with subsection 3.3;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the Make-Whole Credits to be credited to the Participant’s Account in accordance with subsection 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assumed rate of earnings to be credited to the Participant’s Account in accordance with subsection 3.5.</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beginning balance of each Participant’s Account on the Effective Date shall be the amount credited to him under the Plan as in effect immediately prior to the Effective Date.</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Deferral Election</w:t>
      </w:r>
      <w:r>
        <w:rPr>
          <w:rFonts w:ascii="Arial" w:cs="Arial" w:eastAsia="Arial" w:hAnsi="Arial"/>
          <w:sz w:val="16"/>
          <w:szCs w:val="16"/>
          <w:color w:val="auto"/>
        </w:rPr>
        <w:t>. Subject to such terms, conditions, and limitations as the Plan Administrator may, from time to time, impose, a Participant may make an irrevocable election to defer receipt of compensation earned by him from the Exchange in any Plan Year, by filing a deferral election in writing with the Plan Administrator at such time and in such manner as the Plan Administrator shall provide, but in no case later than the day preceding the first day of such Plan Year. Notwithstanding the preceding sentence, a newly-eligible Participant may file a deferral election within 30 days of becoming eligible to participate in the Plan with respect to all or a portion of the compensation earned by him after such election is filed. The maximum amount of base salary that may be deferred by a Participant for a Plan Year shall be equal to 20 percent. The maximum amount of bonus that may be deferred by a Participant for a Plan Year shall be equal to 20 percent. To the extent provided by the Plan Administrator, a Participant may make separate deferral elections with respect to base salary and bonus amounts. The Account of each Participant shall be credited with the amount deferred by the Participant as of the date on which such compensation would otherwise have been paid to the Participant or such other date as the Plan Administrator may reasonably provide.</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Matching Credits</w:t>
      </w:r>
      <w:r>
        <w:rPr>
          <w:rFonts w:ascii="Arial" w:cs="Arial" w:eastAsia="Arial" w:hAnsi="Arial"/>
          <w:sz w:val="16"/>
          <w:szCs w:val="16"/>
          <w:color w:val="auto"/>
        </w:rPr>
        <w:t>. Subject to such terms, conditions, and limitations as the Plan Administrator may, from time to time, impose, for each Plan Year, the Account of each Participant shall be credited with a “Matching Credit” at such time as the Plan Administrator shall determine. A Participant’s “Matching Credit” for each Plan Year shall be equal to the amount that, when added to the maximum amount of “Matching Contributions” that would be credited to the Participant for that year under the Exchange’s Tax Efficient Savings Plan (“TESP”) if the Participant made “Tax Efficient Contributions” to the TESP for that year to the full extent permitted under Section 402(g) of the Code, does not exceed 3 percent of his base salary (excluding bonus) for such Plan Year.</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Cash Balance Plan and TESP Make-Whole Credits</w:t>
      </w:r>
      <w:r>
        <w:rPr>
          <w:rFonts w:ascii="Arial" w:cs="Arial" w:eastAsia="Arial" w:hAnsi="Arial"/>
          <w:sz w:val="16"/>
          <w:szCs w:val="16"/>
          <w:color w:val="auto"/>
        </w:rPr>
        <w:t>. To the extent that the amount credited to a Participant’s account under the TESP in connection with the trading volume provisions of TESP or the Pension Plan for Employees of the Chicago Mercantile Exchange (the “Pension Plan”) is limited or reduced, either by reason of the limitation on compensation imposed by Section 401(a)(17) of the Code, or by reason of elective deferrals under this Plan, the Account of the Participant shall be credited with a “Make-Whole Credit” at such time as the Plan Administrator shall determine.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 </w:t>
      </w:r>
      <w:r>
        <w:rPr>
          <w:rFonts w:ascii="Arial" w:cs="Arial" w:eastAsia="Arial" w:hAnsi="Arial"/>
          <w:sz w:val="18"/>
          <w:szCs w:val="18"/>
          <w:u w:val="single" w:color="auto"/>
          <w:color w:val="auto"/>
        </w:rPr>
        <w:t>Adjustment of Accounts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1"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Upon becoming a Participant, a Participant shall elect from among the assumed investments that the Plan Administrator offers from time to time those investments in which the Participant’s Account shall be deemed invested and the percentage of contributions to be allocated to each such assumed investment. The Participant may change such allocation (with respect to either future credits to his or her Account or existing Account balances) by notification to the Plan Administrator in such manner as it shall direct, and the Plan Administrator shall implement such change in election as soon as practicable following receipt thereof. In the event a Participant fails to provide such direction, the Participant’s Account shall be adjusted on the basis of such default investment as the Plan Administrator shall establish from time to time.</w:t>
      </w:r>
    </w:p>
    <w:p>
      <w:pPr>
        <w:spacing w:after="0" w:line="120" w:lineRule="exact"/>
        <w:rPr>
          <w:rFonts w:ascii="Arial" w:cs="Arial" w:eastAsia="Arial" w:hAnsi="Arial"/>
          <w:sz w:val="16"/>
          <w:szCs w:val="16"/>
          <w:color w:val="auto"/>
        </w:rPr>
      </w:pPr>
    </w:p>
    <w:p>
      <w:pPr>
        <w:ind w:right="160" w:firstLine="921"/>
        <w:spacing w:after="0" w:line="314" w:lineRule="auto"/>
        <w:tabs>
          <w:tab w:leader="none" w:pos="1162"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credited to a Participant’s Account in accordance with Sections 3.2, 3.3 and 3.4 shall be adjusted from time to time in accordance with uniform procedures established by the Plan Administrator to reflect the value of an investment equal to the Participant’s Account balance in the assumed investments elected or deemed elected by the Participant to use for purposes of adjusting his Account. Such amount shall be determined without regard to taxes that would be payable with respect to any such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w:t>
      </w:r>
    </w:p>
    <w:p>
      <w:pPr>
        <w:spacing w:after="0" w:line="104" w:lineRule="exact"/>
        <w:rPr>
          <w:rFonts w:ascii="Arial" w:cs="Arial" w:eastAsia="Arial" w:hAnsi="Arial"/>
          <w:sz w:val="15"/>
          <w:szCs w:val="15"/>
          <w:color w:val="auto"/>
        </w:rPr>
      </w:pPr>
    </w:p>
    <w:p>
      <w:pPr>
        <w:ind w:firstLine="921"/>
        <w:spacing w:after="0" w:line="306"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of Plan Benefits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Vesting</w:t>
      </w:r>
      <w:r>
        <w:rPr>
          <w:rFonts w:ascii="Arial" w:cs="Arial" w:eastAsia="Arial" w:hAnsi="Arial"/>
          <w:sz w:val="18"/>
          <w:szCs w:val="18"/>
          <w:color w:val="auto"/>
        </w:rPr>
        <w:t>. A Participant shall have at all times a fully vested and nonforfeitable interest in the amounts theretofore credited or required to be credited to his Account under Section 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66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in this Section 4, the vested balance in a Participant’s Account shall be paid in a lump sum upon the Participant’s termination of active employment.</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Participant may elect after December 31, 2004 to receive the vested portion of the Participant’s Account either in a single lump sum payment as soon as practicable after his death or other termination date occurs, or in annual installments over a period of 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0" w:name="page131"/>
    <w:bookmarkEnd w:id="13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fewer years, in which case distribution shall be made in accordance with such election; provided, however, that any such election by a Participant who resigns or is dismissed prior to his retirement date (within the meaning of the Exchange’s cash balance pension plan) shall require the consent of the Exchange. A Participant may change his or her distribution election at any time; provided, however, that any such election change shall be void and of no force and effect if the Participant terminates employment within six months after making such change.</w:t>
      </w:r>
    </w:p>
    <w:p>
      <w:pPr>
        <w:spacing w:after="0" w:line="143"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Hardship Distributions</w:t>
      </w:r>
      <w:r>
        <w:rPr>
          <w:rFonts w:ascii="Arial" w:cs="Arial" w:eastAsia="Arial" w:hAnsi="Arial"/>
          <w:sz w:val="18"/>
          <w:szCs w:val="18"/>
          <w:color w:val="auto"/>
        </w:rPr>
        <w:t>. The Plan Administrator may, pursuant to rules adopted by it and applied in a uniform manner, accelerate the date of distribution of a Participant’s Account because of unforeseeable emergency at any time. “Hardship” shall mean an unforeseeable, severe financial condition resulting from (a) a sudden and unexpected illness or accident of the Participant or his dependent (as defined in section 152(a) of the Code); (b) loss of the Participant’s property due to casualty; or (c) other similar extraordinary and unforeseeable circumstances arising as a result of events beyond the control of the Participant, but which may not be relieved through other available resources of the Participant, as determined by the Plan Administrator in accordance with uniform rules adopted by it.</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Each Participant may from time to time designate any legal or natural person or persons (who may be designated contingently or successively) to whom his benefits under the Plan are to be paid if he dies before he receives all of his vested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4.4,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Distributions to Disabled Persons</w:t>
      </w:r>
      <w:r>
        <w:rPr>
          <w:rFonts w:ascii="Arial" w:cs="Arial" w:eastAsia="Arial" w:hAnsi="Arial"/>
          <w:sz w:val="16"/>
          <w:szCs w:val="16"/>
          <w:color w:val="auto"/>
        </w:rPr>
        <w:t>. Notwithstanding the provisions of this Section 4, if, in the Plan Administrator’s opinion, a Participant or beneficiary is under a legal disability or is in any way incapacitated so as to be unable to manage his financial affairs, the Plan Administrator may direct that payment be made to a relative or friend of such person for his benefit until claim is made by a conservator or other person legally charged with the care of his person or his estate, 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Benefits May Not be Assigned</w:t>
      </w:r>
      <w:r>
        <w:rPr>
          <w:rFonts w:ascii="Arial" w:cs="Arial" w:eastAsia="Arial" w:hAnsi="Arial"/>
          <w:sz w:val="16"/>
          <w:szCs w:val="16"/>
          <w:color w:val="auto"/>
        </w:rPr>
        <w:t>. Benefits payable under the Plan are expressly declared to be unassignable and nontransferable. Neither the Participant nor any other person shall have any voluntary or involuntary right to commute, sell, assign, pledge, anticipate, mortgage or otherwise encumber, transfer, hypothecate or convey in advance of actual receipt, any benefits payable under the Plan. No part of the benefits payable shall be, prior to actual payment, subject to seizure or sequestration for payment of any debts, judgments, alimony or separate maintenance owed by the Participant or any other person, or be transferred by operation of law in the event of the Participant’s or any other person’s bankruptcy or insolvency.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1" w:name="page132"/>
    <w:bookmarkEnd w:id="131"/>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4.7. </w:t>
      </w:r>
      <w:r>
        <w:rPr>
          <w:rFonts w:ascii="Arial" w:cs="Arial" w:eastAsia="Arial" w:hAnsi="Arial"/>
          <w:sz w:val="18"/>
          <w:szCs w:val="18"/>
          <w:u w:val="single" w:color="auto"/>
          <w:color w:val="auto"/>
        </w:rPr>
        <w:t>Withholding for Tax Liability</w:t>
      </w:r>
      <w:r>
        <w:rPr>
          <w:rFonts w:ascii="Arial" w:cs="Arial" w:eastAsia="Arial" w:hAnsi="Arial"/>
          <w:sz w:val="18"/>
          <w:szCs w:val="18"/>
          <w:color w:val="auto"/>
        </w:rPr>
        <w:t>. The Exchange may withhold or cause to be withheld from any payment of benefits made pursuant to the Plan any taxes required to be withheld and such sum as the Exchange may reasonably estimate to be necessary to cover any taxes for which the Exchange may be liable and which may be assessed with regard to such payment.</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Cash-Out Election</w:t>
      </w:r>
      <w:r>
        <w:rPr>
          <w:rFonts w:ascii="Arial" w:cs="Arial" w:eastAsia="Arial" w:hAnsi="Arial"/>
          <w:sz w:val="18"/>
          <w:szCs w:val="18"/>
          <w:color w:val="auto"/>
        </w:rPr>
        <w:t>. Prior to a Participant’s termination of active employment with the Exchange, the Participant may make a one-time election (a “Cash-Out Election”) to have his entire Account balance distributed to him, in a single lump sum payment, in cash, within 15 days following the date that such election is filed with the Exchange, subject to the following:</w:t>
      </w:r>
    </w:p>
    <w:p>
      <w:pPr>
        <w:spacing w:after="0" w:line="59" w:lineRule="exact"/>
        <w:rPr>
          <w:sz w:val="20"/>
          <w:szCs w:val="20"/>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actually distributed to an electing Participant under this subsection 4.9 shall be equal to the Participant’s entire Account balance, reduced by an amount equal to 10 percent of such balance. The portion of the Participant’s Account balance that is not distributed to the Participant pursuant to this paragraph (a) shall be forfeited as a penalty.</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the provisions of Section 3, for the remainder of the Plan Year in which the Cash-out Election is effective and for the next following Plan Year, no deferral election by the Participant under subsection 3.2 shall be given effect.</w:t>
      </w:r>
    </w:p>
    <w:p>
      <w:pPr>
        <w:spacing w:after="0" w:line="5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Participant’s Cash-Out Election shall not be effective unless the Participant makes a corresponding election under the Chicago Mercantile Exchange Supplemental Executive Retirement Plan.</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Notwithstanding the foregoing provisions of this subsection 4.9, and without limiting the amending authority reserved to the Exchange by the provisions of Section 5 of the Plan, the Exchange may amend this subsection 4.9 at any time and in any respect, even as to amounts previously credited to a Participant’s Account, to the extent that the Exchange determines that such amendment is necessary or desirable by reason of any change in tax laws or regulations or interpretations thereof; provided, however, that no such amendment shall apply with respect to amounts actually distributed under this subsection 4.9 before the later of the date on which the amendment is adopted or effective.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and Termination; 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w:t>
      </w:r>
    </w:p>
    <w:p>
      <w:pPr>
        <w:spacing w:after="0" w:line="90" w:lineRule="exact"/>
        <w:rPr>
          <w:sz w:val="20"/>
          <w:szCs w:val="20"/>
          <w:color w:val="auto"/>
        </w:rPr>
      </w:pPr>
    </w:p>
    <w:p>
      <w:pPr>
        <w:jc w:val="center"/>
        <w:ind w:left="5680" w:right="640" w:hanging="4759"/>
        <w:spacing w:after="0" w:line="440" w:lineRule="auto"/>
        <w:tabs>
          <w:tab w:leader="none" w:pos="11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Exchange may amend or terminate the Plan at any time and from time to time, and retroactively if deemed necessary or appropriate. 8</w:t>
      </w:r>
    </w:p>
    <w:p>
      <w:pPr>
        <w:sectPr>
          <w:pgSz w:w="11900" w:h="16838" w:orient="portrait"/>
          <w:cols w:equalWidth="0" w:num="1">
            <w:col w:w="11400"/>
          </w:cols>
          <w:pgMar w:left="240" w:top="280" w:right="259" w:bottom="1440" w:gutter="0" w:footer="0" w:header="0"/>
        </w:sectPr>
      </w:pPr>
    </w:p>
    <w:bookmarkStart w:id="132" w:name="page133"/>
    <w:bookmarkEnd w:id="132"/>
    <w:p>
      <w:pPr>
        <w:jc w:val="both"/>
        <w:ind w:right="100" w:firstLine="921"/>
        <w:spacing w:after="0" w:line="298"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 of the Plan shall be effected either (i) by resolution of the Compensation Committee or its successor, or (ii) by resolution of the Retirement Committee; provided, however, that only the Compensation Committee or its successor is authorized to approve an amendment that is anticipated to result in a material impact to the Exchange unless it otherwise acts to delegate this responsibility; and provided further that the Retirement Committee may adopt minor or administrative amendments to the Plan, including amendments to comply with applicable laws.</w:t>
      </w:r>
    </w:p>
    <w:p>
      <w:pPr>
        <w:spacing w:after="0" w:line="112" w:lineRule="exact"/>
        <w:rPr>
          <w:rFonts w:ascii="Arial" w:cs="Arial" w:eastAsia="Arial" w:hAnsi="Arial"/>
          <w:sz w:val="16"/>
          <w:szCs w:val="16"/>
          <w:color w:val="auto"/>
        </w:rPr>
      </w:pPr>
    </w:p>
    <w:p>
      <w:pPr>
        <w:ind w:right="400" w:firstLine="921"/>
        <w:spacing w:after="0" w:line="259"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Plan termination shall be effected by resolution of the Compensation Committee or its successor. In the event of a termination of the Plan, Participants’ vested Account balances shall be distributed in such manner as the Plan Administrator shall determine consistent with the requirements of Section 409A of the Code.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Exchange, its parents, subsidiaries, and affiliates, the Board of Directors of any of the foregoing, any officer, employer or agent of any of the foregoing, and the members of the Retirement Committee shall not incur any liability individually or on behalf of any other individuals or on behalf of the Exchange or its parents, subsidiaries, or affiliates for any act, or failure to act, made in good faith in relation to the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20th day of December,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MERCANTILE EXCHANGE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Hilda Harris Piell</w:t>
            </w:r>
          </w:p>
        </w:tc>
      </w:tr>
      <w:tr>
        <w:trPr>
          <w:trHeight w:val="3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180" w:type="dxa"/>
            <w:vAlign w:val="bottom"/>
          </w:tcPr>
          <w:p>
            <w:pPr>
              <w:spacing w:after="0"/>
              <w:rPr>
                <w:sz w:val="20"/>
                <w:szCs w:val="20"/>
                <w:color w:val="auto"/>
              </w:rPr>
            </w:pPr>
            <w:r>
              <w:rPr>
                <w:rFonts w:ascii="Arial" w:cs="Arial" w:eastAsia="Arial" w:hAnsi="Arial"/>
                <w:sz w:val="18"/>
                <w:szCs w:val="18"/>
                <w:color w:val="auto"/>
              </w:rPr>
              <w:t>MD &amp; Chief Organizational Development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CHICAGO MERCANTILE EXCHANGE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SENIOR MANAGEMENT SUPPLEMENTAL DEFERRED SAVINGS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January 1,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History, Purpose and Effective Date</w:t>
      </w:r>
      <w:r>
        <w:rPr>
          <w:rFonts w:ascii="Arial" w:cs="Arial" w:eastAsia="Arial" w:hAnsi="Arial"/>
          <w:sz w:val="18"/>
          <w:szCs w:val="18"/>
          <w:color w:val="auto"/>
        </w:rPr>
        <w:t>.</w:t>
      </w:r>
    </w:p>
    <w:p>
      <w:pPr>
        <w:spacing w:after="0" w:line="90" w:lineRule="exact"/>
        <w:rPr>
          <w:sz w:val="20"/>
          <w:szCs w:val="20"/>
          <w:color w:val="auto"/>
        </w:rPr>
      </w:pPr>
    </w:p>
    <w:p>
      <w:pPr>
        <w:ind w:left="-120" w:right="60" w:firstLine="921"/>
        <w:spacing w:after="0" w:line="294" w:lineRule="auto"/>
        <w:tabs>
          <w:tab w:leader="none" w:pos="10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Chicago Mercantile Exchange Inc., a Delaware corporation (the “Exchange”), maintains the Chicago Mercantile Exchange Inc. Senior Management Supplemental Deferred Savings Plan (the “Plan”) to provide a select group of its key management employees with the opportunity to defer receipt of compensation and receive additional retirement income from the Exchange. The Plan is intended to constitute a plan maintained primarily for the purpose of providing deferred compensation for a select group of management or highly compensated employees within the meaning of Sections 201(2), 301(a)(3), and 401(a)(l) of the Employee Retirement Income Security Act of 1974, as amended (“ERISA”).</w:t>
      </w:r>
    </w:p>
    <w:p>
      <w:pPr>
        <w:spacing w:after="0" w:line="115" w:lineRule="exact"/>
        <w:rPr>
          <w:rFonts w:ascii="Arial" w:cs="Arial" w:eastAsia="Arial" w:hAnsi="Arial"/>
          <w:sz w:val="16"/>
          <w:szCs w:val="16"/>
          <w:color w:val="auto"/>
        </w:rPr>
      </w:pPr>
    </w:p>
    <w:p>
      <w:pPr>
        <w:ind w:left="-120" w:right="340" w:firstLine="921"/>
        <w:spacing w:after="0" w:line="268" w:lineRule="auto"/>
        <w:tabs>
          <w:tab w:leader="none" w:pos="10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as of January 1, 2005 (the “Effective Date”), the Plan has been amended and restated to comply with Section 409A of the Internal Revenue Code of 1986, as amended (the “Code”).</w:t>
      </w:r>
    </w:p>
    <w:p>
      <w:pPr>
        <w:spacing w:after="0" w:line="131" w:lineRule="exact"/>
        <w:rPr>
          <w:rFonts w:ascii="Arial" w:cs="Arial" w:eastAsia="Arial" w:hAnsi="Arial"/>
          <w:sz w:val="18"/>
          <w:szCs w:val="18"/>
          <w:color w:val="auto"/>
        </w:rPr>
      </w:pPr>
    </w:p>
    <w:p>
      <w:pPr>
        <w:ind w:left="-120" w:right="40" w:firstLine="921"/>
        <w:spacing w:after="0" w:line="298" w:lineRule="auto"/>
        <w:tabs>
          <w:tab w:leader="none" w:pos="10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terms of the Plan as in effect prior to January 1, 2005, as modified and set forth in the document entitled “Chicago Mercantile Exchange Inc. Grandfathered Senior Management Supplemental Deferred Savings Plan” (the “Pre-2005 Plan”), shall apply to the portion (if any) of a Participant’s Account that was vested as of December 31, 2004, including credited earnings and losses with respect thereto (the “Grandfathered Account”), and the provisions of this amended and restated Plan shall not apply to such Grandfathered Account.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left="-120" w:firstLine="921"/>
        <w:spacing w:after="0" w:line="288" w:lineRule="auto"/>
        <w:tabs>
          <w:tab w:leader="none" w:pos="10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Retirement Committee (the “Retirement Committee”) appointed by the Compensation Committee (the “Compensation Committee”) of the Board of Directors of the Exchange is the Plan Administrator of the Plan. If the Compensation Committee fails to act to appoint the members of the Retirement Committee, then the Compensation Committee will be deemed to be the Retirement Committee hereunder. The Plan Administrator shall from time to time adopt rules for the administration of the Plan and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 the Plan, and whether a claimant is eligible for benefits under the Plan, the determination of the amount of benefits, if any, a claimant is entitled to receive, and making any other determinations which it believes necessary or advisable for the administration and operation of the Plan. Any such decision or action shall be final and binding upon all Participants and</w:t>
      </w:r>
    </w:p>
    <w:p>
      <w:pPr>
        <w:sectPr>
          <w:pgSz w:w="11900" w:h="16838" w:orient="portrait"/>
          <w:cols w:equalWidth="0" w:num="1">
            <w:col w:w="11180"/>
          </w:cols>
          <w:pgMar w:left="360" w:top="274" w:right="359" w:bottom="1440" w:gutter="0" w:footer="0" w:header="0"/>
        </w:sectPr>
      </w:pPr>
    </w:p>
    <w:bookmarkStart w:id="134" w:name="page135"/>
    <w:bookmarkEnd w:id="134"/>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beneficiaries, and benefits under the Plan shall be paid only if the Plan Administrator decides in its discretion that the claimant is entitled to them. The Plan Administrator’s decision or action in respect of any of the above shall be conclusive and binding upon all Participants and their beneficiaries, heirs, assigns, administrators, executors and any other person claiming through or under them, subject to such individual’s rights to a review of the denial of any benefit claim under the claims procedure set forth in Section 1.11.</w:t>
      </w:r>
    </w:p>
    <w:p>
      <w:pPr>
        <w:spacing w:after="0" w:line="143" w:lineRule="exact"/>
        <w:rPr>
          <w:sz w:val="20"/>
          <w:szCs w:val="20"/>
          <w:color w:val="auto"/>
        </w:rPr>
      </w:pPr>
    </w:p>
    <w:p>
      <w:pPr>
        <w:ind w:firstLine="921"/>
        <w:spacing w:after="0" w:line="291"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providing for the administration of the Plan, the Plan Administrator may delegate responsibilities for the operation and administration of the Plan by written document filed with the Plan records. Any such delegation may be revoked at any time. The Secretary of the Exchange (or, on behalf of the Secretary of the Exchange, any Corporate Secretary or Assistant Secretary) shall certify to any interested person the names of the employees of the Exchange who are, from time to time, authorized to act on behalf of the Plan Administrator and who are responsible for the day-to-day operation and administration of the Plan. The Plan Administrator may appoint and compensate such specialists to aid it in the administration of the Plan and arrange for such other services as it considers necessary or appropriate to carry out the provisions of the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Year</w:t>
      </w:r>
      <w:r>
        <w:rPr>
          <w:rFonts w:ascii="Arial" w:cs="Arial" w:eastAsia="Arial" w:hAnsi="Arial"/>
          <w:sz w:val="18"/>
          <w:szCs w:val="18"/>
          <w:color w:val="auto"/>
        </w:rPr>
        <w:t>. The term “Plan Year” means the calendar year.</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Source of Benefit Payments</w:t>
      </w:r>
      <w:r>
        <w:rPr>
          <w:rFonts w:ascii="Arial" w:cs="Arial" w:eastAsia="Arial" w:hAnsi="Arial"/>
          <w:sz w:val="15"/>
          <w:szCs w:val="15"/>
          <w:color w:val="auto"/>
        </w:rPr>
        <w:t>. Subject to the terms and conditions of the Plan, any amount payable to or on account of a Participant under this Plan shall be paid from the general assets of the Exchange or from one or more trusts, the assets of which are subject to the claims of the Exchange’s general creditors. The amounts payable hereunder shall be reflected on the accounting records of the Exchange but shall not be construed to create, or require the creation of, a trust, custodial or escrow account. None of the individuals entitled to benefits under the Plan shall have any preferred claim on, or any beneficial ownership interest in, any assets of the Exchange or to any investment reserves, accounts, trusts or funds that the Exchange may purchase, establish or accumulate to aid in providing the benefits under the Plan, and any rights of such individuals under the Plan shall constitute unsecured contractual rights only. Nothing contained in the Plan shall constitute a guarantee by the Exchange that the assets of the Exchange shall be sufficient to pay any benefits to any person. Nothing contained in the Plan and no action taken pursuant to its provisions shall create a trust or fiduciary relationship of any kind between the Exchange and an employee or any other person.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Exchange.</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Effect on Other Benefit Plans</w:t>
      </w:r>
      <w:r>
        <w:rPr>
          <w:rFonts w:ascii="Arial" w:cs="Arial" w:eastAsia="Arial" w:hAnsi="Arial"/>
          <w:sz w:val="18"/>
          <w:szCs w:val="18"/>
          <w:color w:val="auto"/>
        </w:rPr>
        <w:t>. Any amounts credited or paid under this Plan shall not be considered to be compensation for the purposes of any qualified plan (within the meaning of Section 401(a) of the Code) maintained by the Exchange. The treatment of such amounts under other employee benefit plans shall be in accordance with the provisions of such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Applicable Laws</w:t>
      </w:r>
      <w:r>
        <w:rPr>
          <w:rFonts w:ascii="Arial" w:cs="Arial" w:eastAsia="Arial" w:hAnsi="Arial"/>
          <w:sz w:val="18"/>
          <w:szCs w:val="18"/>
          <w:color w:val="auto"/>
        </w:rPr>
        <w:t>. The Plan shall be construed and administered in accordance with the laws of the State of Illinois.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5" w:name="page136"/>
    <w:bookmarkEnd w:id="135"/>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document required to be given to or filed with the Plan Administrator will be properly filed if delivered or mailed by registered mail, postage prepaid, to the Secretary of the Exchange, at its principal executive offices. The Plan Administrator may, by advance written notice to affected persons, revise such notice procedure from time to time. Any notice required under the Plan may be waived by the person entitled to notice.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9"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purposes of the Plan, a claim for a benefit is a written application for a benefit filed with the Plan Administrator. In the event that any Participant or 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 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the time limits applicable to those procedures, including a statement of the claimant’s right to bring a civil action under ERISA Section 502(a) following the denial of his claim on review.</w:t>
      </w:r>
    </w:p>
    <w:p>
      <w:pPr>
        <w:spacing w:after="0" w:line="118"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Plan Administrator requests additional information from a claimant prior to an initial determination or a determination on appeal, the Plan Administrator will notify the claimant and permit the claimant to have 45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143" w:lineRule="exact"/>
        <w:rPr>
          <w:rFonts w:ascii="Arial" w:cs="Arial" w:eastAsia="Arial" w:hAnsi="Arial"/>
          <w:sz w:val="18"/>
          <w:szCs w:val="18"/>
          <w:color w:val="auto"/>
        </w:rPr>
      </w:pPr>
    </w:p>
    <w:p>
      <w:pPr>
        <w:ind w:right="240" w:firstLine="921"/>
        <w:spacing w:after="0" w:line="255"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Within 60 days after the mailing or delivery by the Plan Administrator or its designee of such notice, such claimant may request, by mailing or delivery of written notice to the Plan Administrator, a review by the Plan Administrator of the decision denying the claim. The claimant may submit written comments, documents, records and other information relating to his claim, whether or not 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6" w:name="page137"/>
    <w:bookmarkEnd w:id="136"/>
    <w:p>
      <w:pPr>
        <w:ind w:right="140" w:firstLine="921"/>
        <w:spacing w:after="0" w:line="268" w:lineRule="auto"/>
        <w:tabs>
          <w:tab w:leader="none" w:pos="1162"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claimant fails to request such a review within such 60-day period, it shall be conclusively determined for all purposes of this Plan that the denial of such claim by the Plan Administrator is correct.</w:t>
      </w:r>
    </w:p>
    <w:p>
      <w:pPr>
        <w:spacing w:after="0" w:line="131" w:lineRule="exact"/>
        <w:rPr>
          <w:rFonts w:ascii="Arial" w:cs="Arial" w:eastAsia="Arial" w:hAnsi="Arial"/>
          <w:sz w:val="18"/>
          <w:szCs w:val="18"/>
          <w:color w:val="auto"/>
        </w:rPr>
      </w:pPr>
    </w:p>
    <w:p>
      <w:pPr>
        <w:ind w:right="100" w:firstLine="921"/>
        <w:spacing w:after="0" w:line="290"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color w:val="auto"/>
        </w:rPr>
        <w:t>After such review, the Plan Administrator shall determine whether such denial of the claim was correct and shall notify such claimant in writing of its 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(c) a statement that the claimant is entitled to receive, upon written request and free of charge, reasonable access to and copies of all documents, records and other information relevant to his claim for benefits; and (d) a statement of any voluntary appeal procedures offered by the Plan and the claimant’s right to obtain information about the procedures and to bring a civil action under ERISA Section 502(a).</w:t>
      </w: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2</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Participation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90" w:lineRule="exact"/>
        <w:rPr>
          <w:sz w:val="20"/>
          <w:szCs w:val="20"/>
          <w:color w:val="auto"/>
        </w:rPr>
      </w:pPr>
    </w:p>
    <w:p>
      <w:pPr>
        <w:jc w:val="both"/>
        <w:ind w:right="120" w:firstLine="921"/>
        <w:spacing w:after="0" w:line="259"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Employees of the Exchange are eligible to participate in the Plan (“Participants”) if they satisfy the eligibility criteria set forth in Section 3.2(a), 3.3(a), or 3.4(a); provided, however, that Participants shall be limited to a select group of management or highly compensated employees within the meaning of Sections 201(2), 301(a)(3), and 401(a)(l) of ERISA.</w:t>
      </w:r>
    </w:p>
    <w:p>
      <w:pPr>
        <w:spacing w:after="0" w:line="140"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Exchange determines that participation by one or more Participants shall cause the Plan to be subject to Part 2, 3 or 4 of Title I of ERISA, the entire interest of such Participant or Participants under the Plan shall be segregated from the Plan in the discretion of the Exchange, and such Participant or Participants shall cease to have any interest under the Plan.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Plan Not Contract of Employment</w:t>
      </w:r>
      <w:r>
        <w:rPr>
          <w:rFonts w:ascii="Arial" w:cs="Arial" w:eastAsia="Arial" w:hAnsi="Arial"/>
          <w:sz w:val="18"/>
          <w:szCs w:val="18"/>
          <w:color w:val="auto"/>
        </w:rPr>
        <w:t>. The Plan does not constitute a contract of employment, and participation in the Plan will not give any employee the right to be retained in the employ of the Exchange nor any right or claim to any benefit under the Plan, unless such right or claim has specifically accrued under the terms of the Plan.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Deferred Compensation; Plan Accounting</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Deferred Compensation Accounts</w:t>
      </w:r>
      <w:r>
        <w:rPr>
          <w:rFonts w:ascii="Arial" w:cs="Arial" w:eastAsia="Arial" w:hAnsi="Arial"/>
          <w:sz w:val="18"/>
          <w:szCs w:val="18"/>
          <w:color w:val="auto"/>
        </w:rPr>
        <w:t>. The Plan Administrator shall maintain, or cause to be maintained, an Account in the name of each Participant consisting of the following subaccounts (as applicable):</w:t>
      </w:r>
    </w:p>
    <w:p>
      <w:pPr>
        <w:spacing w:after="0" w:line="51" w:lineRule="exact"/>
        <w:rPr>
          <w:sz w:val="20"/>
          <w:szCs w:val="20"/>
          <w:color w:val="auto"/>
        </w:rPr>
      </w:pPr>
    </w:p>
    <w:p>
      <w:pPr>
        <w:ind w:right="620" w:firstLine="921"/>
        <w:spacing w:after="0" w:line="268"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subaccount (the “Elective Deferral Account”) consisting of the base salary and/or bonus deferred by the Participant in accordance with Section 3.2, as adjusted in accordance with Section 3.5;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37" w:name="page138"/>
    <w:bookmarkEnd w:id="137"/>
    <w:p>
      <w:pPr>
        <w:ind w:right="480" w:firstLine="921"/>
        <w:spacing w:after="0" w:line="268"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subaccount (the “401(k) Make-Whole Account”) consisting of the 401(k) Savings Plan Make-Whole Credits credited to the Participant’s Account in accordance with Section 3.3, as adjusted in accordance with Section 3.5; and</w:t>
      </w:r>
    </w:p>
    <w:p>
      <w:pPr>
        <w:spacing w:after="0" w:line="13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subaccount (the “Cash Balance Make-Whole Account”) consisting of the Cash Balance Plan Make-Whole Credits credited to the Participant’s Account in accordance with Section 3.4, as adjusted in accordance with Section 3.5.</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Participant’s Account shall also be segregated according to the Plan Year to which credits to the Account relate (each such segregated portion of the Account is sometimes referred to herein as a “Plan Year Account”).</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beginning balance of each Participant’s Plan Year Account on the Effective Date shall be the amount credited to such respective Plan Year Accounts under the Plan as in effect immediately prior to the Effective Date; provided, however, that the portion of the Participant’s Account consisting of the Participant’s Grandfathered Account shall be segregated and shall be subject to the provisions of the Pre-2005 Plan as provided under Section 1.1(c).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Deferral Election</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332" w:lineRule="auto"/>
        <w:tabs>
          <w:tab w:leader="none" w:pos="11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provisions of this Section 3.2 shall apply with respect to a Plan Year only to Participants who (i) as of the October 1 immediately preceding the commencement of such Plan Year, are officers of the Exchange, or (ii) become officers of the Exchange before October 1 of the Plan Year.</w:t>
      </w:r>
    </w:p>
    <w:p>
      <w:pPr>
        <w:spacing w:after="0" w:line="85" w:lineRule="exact"/>
        <w:rPr>
          <w:rFonts w:ascii="Arial" w:cs="Arial" w:eastAsia="Arial" w:hAnsi="Arial"/>
          <w:sz w:val="16"/>
          <w:szCs w:val="16"/>
          <w:color w:val="auto"/>
        </w:rPr>
      </w:pPr>
    </w:p>
    <w:p>
      <w:pPr>
        <w:ind w:firstLine="921"/>
        <w:spacing w:after="0" w:line="253"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such terms, conditions, and limitations as the Plan Administrator may, from time to time, impose, a Participant may make an irrevocable election to defer receipt of base salary and/or bonus earned by him from the Exchange in any Plan Year, by filing a deferral election in writing with the Plan Administrator at such time and in such manner as the Plan Administrator shall provide, but in no case later than the day preceding the first day of such Plan Year. Notwithstanding the preceding sentence, a Participant who first becomes an officer of the Exchange before October 1 of a Plan Year may file a deferral election within 30 days of becoming eligible to participate in the deferral election feature of the Plan with respect to compensation earned by him during the portion of such Plan Year after such election is filed. A Participant’s election under this Section 3.2(b) shall apply only to the Plan Year for which it is made and not for any subsequent Plan Year.</w:t>
      </w:r>
    </w:p>
    <w:p>
      <w:pPr>
        <w:spacing w:after="0" w:line="147"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maximum percentage of base salary that may be deferred by a Participant for a Plan Year shall be 50%. The maximum percentage of bonus that may be deferred by a Participant for a Plan Year shall be 100%.</w:t>
      </w:r>
    </w:p>
    <w:p>
      <w:pPr>
        <w:spacing w:after="0" w:line="131" w:lineRule="exact"/>
        <w:rPr>
          <w:rFonts w:ascii="Arial" w:cs="Arial" w:eastAsia="Arial" w:hAnsi="Arial"/>
          <w:sz w:val="18"/>
          <w:szCs w:val="18"/>
          <w:color w:val="auto"/>
        </w:rPr>
      </w:pPr>
    </w:p>
    <w:p>
      <w:pPr>
        <w:ind w:right="360" w:firstLine="921"/>
        <w:spacing w:after="0" w:line="332" w:lineRule="auto"/>
        <w:tabs>
          <w:tab w:leader="none" w:pos="11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Elective Deferral Account of each Participant shall be credited with the amount deferred by the Participant as of the date on which such compensation would otherwise have been paid to the Participant or such other date as the Plan Administrator may reasonably provide.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38" w:name="page139"/>
    <w:bookmarkEnd w:id="13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8"/>
          <w:szCs w:val="18"/>
          <w:u w:val="single" w:color="auto"/>
          <w:color w:val="auto"/>
        </w:rPr>
        <w:t>401(k) Savings Plan Make-Whole Credits</w:t>
      </w:r>
      <w:r>
        <w:rPr>
          <w:rFonts w:ascii="Arial" w:cs="Arial" w:eastAsia="Arial" w:hAnsi="Arial"/>
          <w:sz w:val="18"/>
          <w:szCs w:val="18"/>
          <w:color w:val="auto"/>
        </w:rPr>
        <w:t>.</w:t>
      </w:r>
    </w:p>
    <w:p>
      <w:pPr>
        <w:spacing w:after="0" w:line="90" w:lineRule="exact"/>
        <w:rPr>
          <w:sz w:val="20"/>
          <w:szCs w:val="20"/>
          <w:color w:val="auto"/>
        </w:rPr>
      </w:pPr>
    </w:p>
    <w:p>
      <w:pPr>
        <w:ind w:left="-40" w:firstLine="921"/>
        <w:spacing w:after="0" w:line="256" w:lineRule="auto"/>
        <w:tabs>
          <w:tab w:leader="none" w:pos="111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of this Section 3.3 shall apply with respect to a Plan Year to a Participant (i) whose base salary (excluding bonus) for such Plan Year exceeds the dollar limitation under Section 401(a)(17) of the Code for such Plan Year, or (ii) is an officer of the Exchange at any time during such Plan Year; provided, however, that for Plan Years beginning before January 1, 2007, only Participants who are officers of the Exchange at any time during such Plan Year shall be subject to this Section 3.3.</w:t>
      </w:r>
    </w:p>
    <w:p>
      <w:pPr>
        <w:spacing w:after="0" w:line="143" w:lineRule="exact"/>
        <w:rPr>
          <w:rFonts w:ascii="Arial" w:cs="Arial" w:eastAsia="Arial" w:hAnsi="Arial"/>
          <w:sz w:val="18"/>
          <w:szCs w:val="18"/>
          <w:color w:val="auto"/>
        </w:rPr>
      </w:pPr>
    </w:p>
    <w:p>
      <w:pPr>
        <w:ind w:left="-40" w:right="100" w:firstLine="921"/>
        <w:spacing w:after="0" w:line="239" w:lineRule="auto"/>
        <w:tabs>
          <w:tab w:leader="none" w:pos="112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Subject to such terms, conditions, and limitations as the Plan Administrator may from time to time impose, for each Plan Year the 401(k) Make-Whole Account of each Participant shall be credited with a “401(k) Savings Plan Make-Whole Credit.” Such 401(k) Savings Plan Make-Whole Credit shall be credited to the Participant’s Account at such time or times as the Plan Administrator shall determine but no later than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following the end of such Plan Year.</w:t>
      </w:r>
    </w:p>
    <w:p>
      <w:pPr>
        <w:spacing w:after="0" w:line="183" w:lineRule="exact"/>
        <w:rPr>
          <w:rFonts w:ascii="Arial" w:cs="Arial" w:eastAsia="Arial" w:hAnsi="Arial"/>
          <w:sz w:val="18"/>
          <w:szCs w:val="18"/>
          <w:color w:val="auto"/>
        </w:rPr>
      </w:pPr>
    </w:p>
    <w:p>
      <w:pPr>
        <w:ind w:left="-40" w:right="280" w:firstLine="921"/>
        <w:spacing w:after="0" w:line="256" w:lineRule="auto"/>
        <w:tabs>
          <w:tab w:leader="none" w:pos="111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401(k) Savings Plan Make-Whole Credit shall be 3 percent of the greater of the following amounts: (i) the amount, if any, by which the Participant’s base salary (excluding bonus, but before reduction by any portion of base salary deferred pursuant to Section 3.2) for such Plan Year exceeds the dollar limitation under Section 401(a)(17) of the Code for such Plan Year, or (ii) the portion, if any, of the Participant’s base salary deferred for such Plan Year pursuant to Section 3.2.</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Cash Balance Plan Make-Whole Credits</w:t>
      </w:r>
      <w:r>
        <w:rPr>
          <w:rFonts w:ascii="Arial" w:cs="Arial" w:eastAsia="Arial" w:hAnsi="Arial"/>
          <w:sz w:val="18"/>
          <w:szCs w:val="18"/>
          <w:color w:val="auto"/>
        </w:rPr>
        <w:t>.</w:t>
      </w:r>
    </w:p>
    <w:p>
      <w:pPr>
        <w:spacing w:after="0" w:line="90" w:lineRule="exact"/>
        <w:rPr>
          <w:sz w:val="20"/>
          <w:szCs w:val="20"/>
          <w:color w:val="auto"/>
        </w:rPr>
      </w:pPr>
    </w:p>
    <w:p>
      <w:pPr>
        <w:ind w:left="-40" w:right="140" w:firstLine="921"/>
        <w:spacing w:after="0" w:line="294" w:lineRule="auto"/>
        <w:tabs>
          <w:tab w:leader="none" w:pos="111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provisions of this Section 3.4 shall apply with respect to a Plan Year to a Participant (i) whose base salary and bonus paid in such Plan Year exceeds the dollar limitation under Section 401(a)(17) of the Code for such Plan Year, or (ii) is an officer of the Exchange at any time during such Plan Year; provided, however, that for Plan Years beginning before January 1, 2007, only Participants who are officers of the Exchange at any time during such Plan Year shall be subject to this Section 3.4; and provided, further, that no Participant who is a “grandfathered employee” eligible to continue accruing benefits after December 31, 2007 under the Chicago Board of Trade Employees Pension Plan shall be subject to this Section 3.4.</w:t>
      </w:r>
    </w:p>
    <w:p>
      <w:pPr>
        <w:spacing w:after="0" w:line="115" w:lineRule="exact"/>
        <w:rPr>
          <w:rFonts w:ascii="Arial" w:cs="Arial" w:eastAsia="Arial" w:hAnsi="Arial"/>
          <w:sz w:val="16"/>
          <w:szCs w:val="16"/>
          <w:color w:val="auto"/>
        </w:rPr>
      </w:pPr>
    </w:p>
    <w:p>
      <w:pPr>
        <w:ind w:left="-40" w:right="160" w:firstLine="921"/>
        <w:spacing w:after="0" w:line="238" w:lineRule="auto"/>
        <w:tabs>
          <w:tab w:leader="none" w:pos="112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To the extent that the amount credited for any Plan Year to a Participant’s account under the Pension Plan for Employees of the Chicago Mercantile Exchange (the “Pension Plan”) is limited or reduced, either by reason of the limitation on compensation imposed by Section 401(a)(17) of the Code, or by reason of elective deferrals under this Plan, the Account of the Participant shall be credited with a “Cash Balance Plan Make-Whole Credit,” to be calculated in such manner and credited at such time or times as the Plan Administrator shall determine but no later than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months after the end of such Plan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39" w:name="page140"/>
    <w:bookmarkEnd w:id="1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 </w:t>
      </w:r>
      <w:r>
        <w:rPr>
          <w:rFonts w:ascii="Arial" w:cs="Arial" w:eastAsia="Arial" w:hAnsi="Arial"/>
          <w:sz w:val="18"/>
          <w:szCs w:val="18"/>
          <w:u w:val="single" w:color="auto"/>
          <w:color w:val="auto"/>
        </w:rPr>
        <w:t>Adjustment of Accounts</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291" w:lineRule="auto"/>
        <w:tabs>
          <w:tab w:leader="none" w:pos="11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Upon becoming a Participant, a Participant shall elect from among the assumed investments that the Plan Administrator offers from time to time those investments in which the Participant’s Account shall be deemed invested and the percentage of contributions to be allocated to each such assumed investment. The Participant may change such allocation (with respect to either future credits to his or her Account or existing Account balances) by notification to the Plan Administrator in such manner as it shall direct, and the Plan Administrator shall implement such change in election as soon as practicable following receipt thereof. In the event a Participant fails to provide such direction, the Participant’s Account shall be adjusted on the basis of such default investment as the Plan Administrator shall establish from time to time.</w:t>
      </w:r>
    </w:p>
    <w:p>
      <w:pPr>
        <w:spacing w:after="0" w:line="120" w:lineRule="exact"/>
        <w:rPr>
          <w:rFonts w:ascii="Arial" w:cs="Arial" w:eastAsia="Arial" w:hAnsi="Arial"/>
          <w:sz w:val="16"/>
          <w:szCs w:val="16"/>
          <w:color w:val="auto"/>
        </w:rPr>
      </w:pPr>
    </w:p>
    <w:p>
      <w:pPr>
        <w:ind w:left="-20" w:right="160" w:firstLine="921"/>
        <w:spacing w:after="0" w:line="314" w:lineRule="auto"/>
        <w:tabs>
          <w:tab w:leader="none" w:pos="1142"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amounts credited to a Participant’s Account in accordance with Sections 3.2, 3.3 and 3.4 shall be adjusted from time to time in accordance with uniform procedures established by the Plan Administrator to reflect the value of an investment equal to the Participant’s Account balance in the assumed investments elected or deemed elected by the Participant to use for purposes of adjusting his Account. Such amount shall be determined without regard to taxes that would be payable with respect to any such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w:t>
      </w:r>
    </w:p>
    <w:p>
      <w:pPr>
        <w:spacing w:after="0" w:line="104" w:lineRule="exact"/>
        <w:rPr>
          <w:rFonts w:ascii="Arial" w:cs="Arial" w:eastAsia="Arial" w:hAnsi="Arial"/>
          <w:sz w:val="15"/>
          <w:szCs w:val="15"/>
          <w:color w:val="auto"/>
        </w:rPr>
      </w:pPr>
    </w:p>
    <w:p>
      <w:pPr>
        <w:ind w:left="-20" w:firstLine="921"/>
        <w:spacing w:after="0" w:line="306" w:lineRule="auto"/>
        <w:tabs>
          <w:tab w:leader="none" w:pos="11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Plan Benefits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90" w:lineRule="exact"/>
        <w:rPr>
          <w:sz w:val="20"/>
          <w:szCs w:val="20"/>
          <w:color w:val="auto"/>
        </w:rPr>
      </w:pPr>
    </w:p>
    <w:p>
      <w:pPr>
        <w:ind w:left="-20" w:right="1000" w:firstLine="921"/>
        <w:spacing w:after="0" w:line="268" w:lineRule="auto"/>
        <w:tabs>
          <w:tab w:leader="none" w:pos="11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portion of a Participant’s Account attributable to base salary or bonus deferred pursuant to Section 3.2 shall be fully vested and nonforfeitable at all times.</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76"/>
        </w:numPr>
        <w:rPr>
          <w:rFonts w:ascii="Arial" w:cs="Arial" w:eastAsia="Arial" w:hAnsi="Arial"/>
          <w:sz w:val="18"/>
          <w:szCs w:val="18"/>
          <w:color w:val="auto"/>
        </w:rPr>
      </w:pPr>
      <w:r>
        <w:rPr>
          <w:rFonts w:ascii="Arial" w:cs="Arial" w:eastAsia="Arial" w:hAnsi="Arial"/>
          <w:sz w:val="18"/>
          <w:szCs w:val="18"/>
          <w:color w:val="auto"/>
        </w:rPr>
        <w:t>Vesting of the portion of a Participant’s Account attributable to 401(k) Savings Plan Make-Whole Credits credited under Section 3.3 shall be determined as follows:</w:t>
      </w:r>
    </w:p>
    <w:p>
      <w:pPr>
        <w:spacing w:after="0" w:line="50" w:lineRule="exact"/>
        <w:rPr>
          <w:rFonts w:ascii="Arial" w:cs="Arial" w:eastAsia="Arial" w:hAnsi="Arial"/>
          <w:sz w:val="18"/>
          <w:szCs w:val="18"/>
          <w:color w:val="auto"/>
        </w:rPr>
      </w:pPr>
    </w:p>
    <w:p>
      <w:pPr>
        <w:ind w:left="440" w:right="180" w:firstLine="881"/>
        <w:spacing w:after="0" w:line="268" w:lineRule="auto"/>
        <w:tabs>
          <w:tab w:leader="none" w:pos="1523"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portion of a Participant’s Account attributable to 401(k) Savings Plan Make-Whole Credits credited for Plan Years beginning prior to January 1, 2007 shall be fully vested and nonforfeitable.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40" w:name="page141"/>
    <w:bookmarkEnd w:id="140"/>
    <w:p>
      <w:pPr>
        <w:ind w:left="400" w:right="140" w:firstLine="881"/>
        <w:spacing w:after="0" w:line="256" w:lineRule="auto"/>
        <w:tabs>
          <w:tab w:leader="none" w:pos="1535"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portion of a Participant’s Account attributable to 401(k) Savings Plan Make-Whole Credits credited under Section 3.3 for Plan Years beginning on or after January 1, 2007 shall be fully vested and nonforfeitable in the case of a Participant who was an employee of the Exchange on December 31, 2006 and has been continuously employed by the Exchange from that date until the date as of which the 401(k) Savings Plan Make-Whole Credit is credited,</w:t>
      </w:r>
    </w:p>
    <w:p>
      <w:pPr>
        <w:spacing w:after="0" w:line="62" w:lineRule="exact"/>
        <w:rPr>
          <w:rFonts w:ascii="Arial" w:cs="Arial" w:eastAsia="Arial" w:hAnsi="Arial"/>
          <w:sz w:val="18"/>
          <w:szCs w:val="18"/>
          <w:color w:val="auto"/>
        </w:rPr>
      </w:pPr>
    </w:p>
    <w:p>
      <w:pPr>
        <w:ind w:left="400" w:right="20" w:firstLine="881"/>
        <w:spacing w:after="0" w:line="259" w:lineRule="auto"/>
        <w:tabs>
          <w:tab w:leader="none" w:pos="1584"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otherwise provided in Section 4.1(b)(ii), the vested portion of a Participant’s 401(k) Make-Whole Account credited with respect to Plan Years beginning on or after January 1, 2007 shall be based on his or her Years of Vesting Service (as defined in the Chicago Mercantile Exchange Inc. 401(k) Savings Plan), as determined in the following table:</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of Vesting Service</w:t>
            </w:r>
          </w:p>
        </w:tc>
        <w:tc>
          <w:tcPr>
            <w:tcW w:w="220" w:type="dxa"/>
            <w:vAlign w:val="bottom"/>
          </w:tcPr>
          <w:p>
            <w:pPr>
              <w:spacing w:after="0"/>
              <w:rPr>
                <w:sz w:val="15"/>
                <w:szCs w:val="15"/>
                <w:color w:val="auto"/>
              </w:rPr>
            </w:pPr>
          </w:p>
        </w:tc>
        <w:tc>
          <w:tcPr>
            <w:tcW w:w="294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Vested percentage</w:t>
            </w:r>
          </w:p>
        </w:tc>
      </w:tr>
      <w:tr>
        <w:trPr>
          <w:trHeight w:val="201"/>
        </w:trPr>
        <w:tc>
          <w:tcPr>
            <w:tcW w:w="3360" w:type="dxa"/>
            <w:vAlign w:val="bottom"/>
          </w:tcPr>
          <w:p>
            <w:pPr>
              <w:spacing w:after="0" w:line="201" w:lineRule="exact"/>
              <w:rPr>
                <w:sz w:val="20"/>
                <w:szCs w:val="20"/>
                <w:color w:val="auto"/>
              </w:rPr>
            </w:pPr>
            <w:r>
              <w:rPr>
                <w:rFonts w:ascii="Arial" w:cs="Arial" w:eastAsia="Arial" w:hAnsi="Arial"/>
                <w:sz w:val="18"/>
                <w:szCs w:val="18"/>
                <w:color w:val="auto"/>
              </w:rPr>
              <w:t>Less than 2</w:t>
            </w:r>
          </w:p>
        </w:tc>
        <w:tc>
          <w:tcPr>
            <w:tcW w:w="220" w:type="dxa"/>
            <w:vAlign w:val="bottom"/>
          </w:tcPr>
          <w:p>
            <w:pPr>
              <w:spacing w:after="0"/>
              <w:rPr>
                <w:sz w:val="17"/>
                <w:szCs w:val="17"/>
                <w:color w:val="auto"/>
              </w:rPr>
            </w:pPr>
          </w:p>
        </w:tc>
        <w:tc>
          <w:tcPr>
            <w:tcW w:w="2940" w:type="dxa"/>
            <w:vAlign w:val="bottom"/>
          </w:tcPr>
          <w:p>
            <w:pPr>
              <w:jc w:val="right"/>
              <w:ind w:right="1182"/>
              <w:spacing w:after="0" w:line="201" w:lineRule="exact"/>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w:t>
            </w:r>
          </w:p>
        </w:tc>
        <w:tc>
          <w:tcPr>
            <w:tcW w:w="3160" w:type="dxa"/>
            <w:vAlign w:val="bottom"/>
            <w:gridSpan w:val="2"/>
          </w:tcPr>
          <w:p>
            <w:pPr>
              <w:jc w:val="right"/>
              <w:ind w:right="1182"/>
              <w:spacing w:after="0"/>
              <w:rPr>
                <w:sz w:val="20"/>
                <w:szCs w:val="20"/>
                <w:color w:val="auto"/>
              </w:rPr>
            </w:pPr>
            <w:r>
              <w:rPr>
                <w:rFonts w:ascii="Arial" w:cs="Arial" w:eastAsia="Arial" w:hAnsi="Arial"/>
                <w:sz w:val="18"/>
                <w:szCs w:val="18"/>
                <w:color w:val="auto"/>
              </w:rPr>
              <w:t>20%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3</w:t>
            </w:r>
          </w:p>
        </w:tc>
        <w:tc>
          <w:tcPr>
            <w:tcW w:w="3160" w:type="dxa"/>
            <w:vAlign w:val="bottom"/>
            <w:gridSpan w:val="2"/>
          </w:tcPr>
          <w:p>
            <w:pPr>
              <w:jc w:val="right"/>
              <w:ind w:right="1182"/>
              <w:spacing w:after="0"/>
              <w:rPr>
                <w:sz w:val="20"/>
                <w:szCs w:val="20"/>
                <w:color w:val="auto"/>
              </w:rPr>
            </w:pPr>
            <w:r>
              <w:rPr>
                <w:rFonts w:ascii="Arial" w:cs="Arial" w:eastAsia="Arial" w:hAnsi="Arial"/>
                <w:sz w:val="18"/>
                <w:szCs w:val="18"/>
                <w:color w:val="auto"/>
              </w:rPr>
              <w:t>40%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4</w:t>
            </w:r>
          </w:p>
        </w:tc>
        <w:tc>
          <w:tcPr>
            <w:tcW w:w="3160" w:type="dxa"/>
            <w:vAlign w:val="bottom"/>
            <w:gridSpan w:val="2"/>
          </w:tcPr>
          <w:p>
            <w:pPr>
              <w:jc w:val="right"/>
              <w:ind w:right="1182"/>
              <w:spacing w:after="0"/>
              <w:rPr>
                <w:sz w:val="20"/>
                <w:szCs w:val="20"/>
                <w:color w:val="auto"/>
              </w:rPr>
            </w:pPr>
            <w:r>
              <w:rPr>
                <w:rFonts w:ascii="Arial" w:cs="Arial" w:eastAsia="Arial" w:hAnsi="Arial"/>
                <w:sz w:val="18"/>
                <w:szCs w:val="18"/>
                <w:color w:val="auto"/>
              </w:rPr>
              <w:t>60%</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5 or more</w:t>
            </w:r>
          </w:p>
        </w:tc>
        <w:tc>
          <w:tcPr>
            <w:tcW w:w="3160" w:type="dxa"/>
            <w:vAlign w:val="bottom"/>
            <w:gridSpan w:val="2"/>
          </w:tcPr>
          <w:p>
            <w:pPr>
              <w:jc w:val="right"/>
              <w:ind w:right="1182"/>
              <w:spacing w:after="0"/>
              <w:rPr>
                <w:sz w:val="20"/>
                <w:szCs w:val="20"/>
                <w:color w:val="auto"/>
              </w:rPr>
            </w:pPr>
            <w:r>
              <w:rPr>
                <w:rFonts w:ascii="Arial" w:cs="Arial" w:eastAsia="Arial" w:hAnsi="Arial"/>
                <w:sz w:val="18"/>
                <w:szCs w:val="18"/>
                <w:color w:val="auto"/>
              </w:rPr>
              <w:t>100%</w:t>
            </w:r>
          </w:p>
        </w:tc>
      </w:tr>
    </w:tbl>
    <w:p>
      <w:pPr>
        <w:spacing w:after="0" w:line="75" w:lineRule="exact"/>
        <w:rPr>
          <w:sz w:val="20"/>
          <w:szCs w:val="20"/>
          <w:color w:val="auto"/>
        </w:rPr>
      </w:pPr>
    </w:p>
    <w:p>
      <w:pPr>
        <w:ind w:left="400" w:right="220" w:firstLine="881"/>
        <w:spacing w:after="0" w:line="268" w:lineRule="auto"/>
        <w:tabs>
          <w:tab w:leader="none" w:pos="15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event of a Participant’s termination of employment for any reason other than death before such Participant’s 401(k) Make-Whole Account is fully vested, the nonvested portion of his or her 401(k) Make-Whole Account shall be forfeited.</w:t>
      </w:r>
    </w:p>
    <w:p>
      <w:pPr>
        <w:spacing w:after="0" w:line="131" w:lineRule="exact"/>
        <w:rPr>
          <w:rFonts w:ascii="Arial" w:cs="Arial" w:eastAsia="Arial" w:hAnsi="Arial"/>
          <w:sz w:val="18"/>
          <w:szCs w:val="18"/>
          <w:color w:val="auto"/>
        </w:rPr>
      </w:pPr>
    </w:p>
    <w:p>
      <w:pPr>
        <w:ind w:left="-60" w:right="440" w:firstLine="921"/>
        <w:spacing w:after="0" w:line="268" w:lineRule="auto"/>
        <w:tabs>
          <w:tab w:leader="none" w:pos="1092"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of the portion of a Participant’s Account attributable to Cash Balance Plan Make-Whole Credits credited under Section 3.4 shall be determined as follows:</w:t>
      </w:r>
    </w:p>
    <w:p>
      <w:pPr>
        <w:spacing w:after="0" w:line="50" w:lineRule="exact"/>
        <w:rPr>
          <w:rFonts w:ascii="Arial" w:cs="Arial" w:eastAsia="Arial" w:hAnsi="Arial"/>
          <w:sz w:val="18"/>
          <w:szCs w:val="18"/>
          <w:color w:val="auto"/>
        </w:rPr>
      </w:pPr>
    </w:p>
    <w:p>
      <w:pPr>
        <w:ind w:left="400" w:right="260" w:firstLine="881"/>
        <w:spacing w:after="0" w:line="268" w:lineRule="auto"/>
        <w:tabs>
          <w:tab w:leader="none" w:pos="1486"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portion of a Participant’s Account attributable to Cash Balance Plan Make-Whole Credits credited for Plan Years beginning prior to January 1, 2007 shall be fully vested and nonforfeitable.</w:t>
      </w:r>
    </w:p>
    <w:p>
      <w:pPr>
        <w:spacing w:after="0" w:line="50" w:lineRule="exact"/>
        <w:rPr>
          <w:rFonts w:ascii="Arial" w:cs="Arial" w:eastAsia="Arial" w:hAnsi="Arial"/>
          <w:sz w:val="18"/>
          <w:szCs w:val="18"/>
          <w:color w:val="auto"/>
        </w:rPr>
      </w:pPr>
    </w:p>
    <w:p>
      <w:pPr>
        <w:ind w:left="400" w:firstLine="881"/>
        <w:spacing w:after="0" w:line="306" w:lineRule="auto"/>
        <w:tabs>
          <w:tab w:leader="none" w:pos="153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portion of a Participant’s Account attributable to Cash Balance Plan Make-Whole Credits credited for Plan Years beginning on or after January 1, 2007 shall be fully vested and nonforfeitable in the case of a Participant who was an employee of the Exchange on December 31, 2006 and has been continuously employed by the Exchange from that date until the date as of which the Cash Balance Plan Make-Whole Credit is credited.</w:t>
      </w:r>
    </w:p>
    <w:p>
      <w:pPr>
        <w:spacing w:after="0" w:line="25" w:lineRule="exact"/>
        <w:rPr>
          <w:rFonts w:ascii="Arial" w:cs="Arial" w:eastAsia="Arial" w:hAnsi="Arial"/>
          <w:sz w:val="16"/>
          <w:szCs w:val="16"/>
          <w:color w:val="auto"/>
        </w:rPr>
      </w:pPr>
    </w:p>
    <w:p>
      <w:pPr>
        <w:ind w:left="400" w:right="120" w:firstLine="881"/>
        <w:spacing w:after="0" w:line="255" w:lineRule="auto"/>
        <w:tabs>
          <w:tab w:leader="none" w:pos="1584"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Except as otherwise provided by Section 4.1(c)(ii), the portion of a Participant’s Account attributable to Cash Balance Plan Make-Whole Credits credited for Plan Years beginning on or after January 1, 2007 shall become 100% vested and nonforfeitable upon the completion of three years of Eligibility Service (as defined in the Pension Plan) and shall be 0% vested prior to that time. In the event of a Participant’s termination of employment for any reason other than death prior to the completion of three years of Eligibility Service, the portion of his or her Account to which this Section 4.1(c)(iii) applies shall be forfeited.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80" w:right="279" w:bottom="1440" w:gutter="0" w:footer="0" w:header="0"/>
        </w:sectPr>
      </w:pPr>
    </w:p>
    <w:bookmarkStart w:id="141" w:name="page142"/>
    <w:bookmarkEnd w:id="14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u w:val="single" w:color="auto"/>
          <w:color w:val="auto"/>
        </w:rPr>
        <w:t>Timing of Payment; Distribution Elections</w:t>
      </w:r>
    </w:p>
    <w:p>
      <w:pPr>
        <w:spacing w:after="0" w:line="90" w:lineRule="exact"/>
        <w:rPr>
          <w:sz w:val="20"/>
          <w:szCs w:val="20"/>
          <w:color w:val="auto"/>
        </w:rPr>
      </w:pPr>
    </w:p>
    <w:p>
      <w:pPr>
        <w:ind w:left="-40" w:right="20" w:firstLine="921"/>
        <w:spacing w:after="0" w:line="294" w:lineRule="auto"/>
        <w:tabs>
          <w:tab w:leader="none" w:pos="11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as otherwise provided in this Section 4, the vested balance in each Plan Year Account of a Participant shall be paid in a lump sum on the first payroll date following the end of the Restricted Period. For purposes hereof, the “Restricted Period” means the period commencing on the Participant’s separation from service and ending on the six-month anniversary of such separation from service or, if earlier, the date of the Participant’s death. Notwithstanding the foregoing, in the event a Participant has made a valid distribution election with respect to a Plan Year Account in accordance with Section 4.2(b) or (c), such Plan Year Account shall be distributed in accordance with such election (subject to the limitations of Section 4.2(d)).</w:t>
      </w:r>
    </w:p>
    <w:p>
      <w:pPr>
        <w:spacing w:after="0" w:line="115" w:lineRule="exact"/>
        <w:rPr>
          <w:rFonts w:ascii="Arial" w:cs="Arial" w:eastAsia="Arial" w:hAnsi="Arial"/>
          <w:sz w:val="16"/>
          <w:szCs w:val="16"/>
          <w:color w:val="auto"/>
        </w:rPr>
      </w:pPr>
    </w:p>
    <w:p>
      <w:pPr>
        <w:ind w:left="-40" w:right="40" w:firstLine="921"/>
        <w:spacing w:after="0" w:line="254" w:lineRule="auto"/>
        <w:tabs>
          <w:tab w:leader="none" w:pos="11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respect any Plan Year Account relating to a Plan Year before 2007 for which a Participant made a valid irrevocable distribution election between January 1, 2005 and September 30, 2006, pursuant to rules and procedures adopted by the Plan Administrator intended in good faith to comply with Section 409A of the Code and Internal Revenue Service guidance issued thereunder, the vested balance of such Plan Year Account shall be paid in accordance with such election. Such election must specify (i) whether the Plan Year Account is to be paid in a lump sum or in substantially equal annual installments, in either case paid or commencing at the time of the Participant’s separation from service, and (ii) if installments are elected, the number of such installments (not to exceed five).</w:t>
      </w:r>
    </w:p>
    <w:p>
      <w:pPr>
        <w:spacing w:after="0" w:line="144" w:lineRule="exact"/>
        <w:rPr>
          <w:rFonts w:ascii="Arial" w:cs="Arial" w:eastAsia="Arial" w:hAnsi="Arial"/>
          <w:sz w:val="18"/>
          <w:szCs w:val="18"/>
          <w:color w:val="auto"/>
        </w:rPr>
      </w:pPr>
    </w:p>
    <w:p>
      <w:pPr>
        <w:ind w:left="-40" w:right="40" w:firstLine="921"/>
        <w:spacing w:after="0" w:line="286" w:lineRule="auto"/>
        <w:tabs>
          <w:tab w:leader="none" w:pos="11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 respect to any Plan Year Account relating to a Plan Year after 2006, a Participant may elect in such manner as the Plan Administrator may prescribe the time and manner in which the vested portion of such Plan Year Account shall be distributed. Such election shall specify either (i) that payment is to be made (or is to commence) upon the Participant’s separation from service, or (ii) that payment is to be made (or is to commence) upon the earlier of the Participant’s separation from service or a specific date that is not earlier than two years after the first day of the Plan Year to which the Plan Year Account relates. The election shall also specify whether the Plan Year Account is to be paid in a lump sum or in substantially equal annual installments, and if installments are elected, the number of such installments (not to exceed five) (a “form of payment election”). In the case of a Participant who elects to have payment of his or her Plan Year Account be made (or commence) upon the earlier of the Participant’s separation from service or a fixed date in accordance with clause (ii) of this Section 4.2(c), the Participant may make a separate form of payment election for each such payment trigger. A Participant’s Payment Election with respect to a Plan Year Account shall be made before the first day of the Plan Year to which such Plan Year Account relates or, in the case of a Participant who first becomes eligible for the Plan after January 1 and before October 1 of the Plan Year pursuant to Section 3.2, within the first 30 days of such eligibility. Except as otherwise provided in this Section 4, a Participant’s Payment Election shall be irrevocable.</w:t>
      </w:r>
    </w:p>
    <w:p>
      <w:pPr>
        <w:spacing w:after="0" w:line="127" w:lineRule="exact"/>
        <w:rPr>
          <w:rFonts w:ascii="Arial" w:cs="Arial" w:eastAsia="Arial" w:hAnsi="Arial"/>
          <w:sz w:val="16"/>
          <w:szCs w:val="16"/>
          <w:color w:val="auto"/>
        </w:rPr>
      </w:pPr>
    </w:p>
    <w:p>
      <w:pPr>
        <w:ind w:left="-40" w:firstLine="921"/>
        <w:spacing w:after="0" w:line="259" w:lineRule="auto"/>
        <w:tabs>
          <w:tab w:leader="none" w:pos="11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(i) with respect to any distribution triggered by the Participant’s separation from service, no portion of such Plan Year Account shall be paid until the first payroll date after the end of the Restricted Period, and (ii) the foregoing restriction shall not affect the timing of any installment payment after the first installment.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8"/>
          <w:szCs w:val="18"/>
          <w:u w:val="single" w:color="auto"/>
          <w:color w:val="auto"/>
        </w:rPr>
        <w:t>Unforeseeable Emergencies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55"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of a Participant’s Unforeseeable Emergency, such Participant may request an emergency withdrawal from his or her vested Account. Any such request shall be subject to the approval of the Plan Administrator, which approval (a) shall only be granted to the extent reasonably needed to satisfy the need created by the Unforeseeable Emergency, and (b) shall not be granted to the extent that such need may be relieved (i) through reimbursement or compensation by insurance or otherwise or (ii) by liquidation of the Participant’s assets (to the extent the liquidation of such assets would not itself cause severe financial hardship).</w:t>
      </w:r>
    </w:p>
    <w:p>
      <w:pPr>
        <w:spacing w:after="0" w:line="142"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of a Participant’s Unforeseeable Emergency on account of which the Participant receives a withdrawal pursuant to Section 4.3(a), the Participant’s Deferral Election shall be canceled.</w:t>
      </w:r>
    </w:p>
    <w:p>
      <w:pPr>
        <w:spacing w:after="0" w:line="131" w:lineRule="exact"/>
        <w:rPr>
          <w:rFonts w:ascii="Arial" w:cs="Arial" w:eastAsia="Arial" w:hAnsi="Arial"/>
          <w:sz w:val="18"/>
          <w:szCs w:val="18"/>
          <w:color w:val="auto"/>
        </w:rPr>
      </w:pPr>
    </w:p>
    <w:p>
      <w:pPr>
        <w:ind w:firstLine="921"/>
        <w:spacing w:after="0" w:line="288" w:lineRule="auto"/>
        <w:tabs>
          <w:tab w:leader="none" w:pos="11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“Unforeseeable Emergency” means a severe financial hardship of the Participant or beneficiary resulting from an illness or accident of the Participant or his or her spouse or dependent (as defined in Section 152(a) of the Code), loss of the Participant’s property due to casualty (including the need to rebuild a home following damage to a home not otherwise covered by insurance), or other similar extraordinary and unforeseeable circumstances arising as a result of events beyond the Participant’s control. Circumstances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a spouse or a dependent (as defined in Section 152(a) of the Code). The purchase of a home and the payment of college tuition generally are not Unforeseeable Emergencies. Whether the Participant is faced with an Unforeseeable Emergency permitting an emergency withdrawal shall be determined by the Plan Administrator in its sole discretion, based on the relevant facts and circumstances and applying regulations and other guidance under Section 409A of the Code.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Each Participant may from time to time designate any legal or natural person or persons (who may be designated contingently or successively) to whom his benefits under the Plan are to be paid if he dies before he receives all of his vested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4.4,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3" w:name="page144"/>
    <w:bookmarkEnd w:id="14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4.5. </w:t>
      </w:r>
      <w:r>
        <w:rPr>
          <w:rFonts w:ascii="Arial" w:cs="Arial" w:eastAsia="Arial" w:hAnsi="Arial"/>
          <w:sz w:val="16"/>
          <w:szCs w:val="16"/>
          <w:u w:val="single" w:color="auto"/>
          <w:color w:val="auto"/>
        </w:rPr>
        <w:t>Distributions to Disabled Persons</w:t>
      </w:r>
      <w:r>
        <w:rPr>
          <w:rFonts w:ascii="Arial" w:cs="Arial" w:eastAsia="Arial" w:hAnsi="Arial"/>
          <w:sz w:val="16"/>
          <w:szCs w:val="16"/>
          <w:color w:val="auto"/>
        </w:rPr>
        <w:t>. Notwithstanding the provisions of this Section 4, if, in the Plan Administrator’s opinion, a Participant or beneficiary is under a legal disability or is in any way incapacitated so as to be unable to manage his financial affairs, the Plan Administrator may direct that payment be made to a relative or friend of such person for his benefit until claim is made by a conservator or other person legally charged with the care of his person or his estate, 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Benefits May Not be Assigned</w:t>
      </w:r>
      <w:r>
        <w:rPr>
          <w:rFonts w:ascii="Arial" w:cs="Arial" w:eastAsia="Arial" w:hAnsi="Arial"/>
          <w:sz w:val="16"/>
          <w:szCs w:val="16"/>
          <w:color w:val="auto"/>
        </w:rPr>
        <w:t>. Neither the Participant nor any other person shall have any voluntary or involuntary right to commute, sell, assign, pledge, anticipate, mortgage or otherwise encumber, transfer, hypothecate or convey in advance of actual receipt the amounts, if any, payable hereunder, or any part hereof, which are expressly declared to be unassignable and non-transferable. No part of the amounts payable shall be, prior to actual payment, subject to seizure or sequestration for payment of any debts, judgments, alimony or separate maintenance owed by the Participant or any other person, or be transferred by operation of law in the event of the Participant’s or any other person’s bankruptcy or insolvency.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Withholding for Tax Liability</w:t>
      </w:r>
      <w:r>
        <w:rPr>
          <w:rFonts w:ascii="Arial" w:cs="Arial" w:eastAsia="Arial" w:hAnsi="Arial"/>
          <w:sz w:val="18"/>
          <w:szCs w:val="18"/>
          <w:color w:val="auto"/>
        </w:rPr>
        <w:t>. The Exchange may withhold or cause to be withheld from any payment of benefits made pursuant to the Plan any taxes required to be withheld and such sum as the Exchange may reasonably estimate to be necessary to cover any taxes for which the Exchange may be liable and which may be assessed with regard to such payment.</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SECTION 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Section 409A</w:t>
      </w:r>
      <w:r>
        <w:rPr>
          <w:rFonts w:ascii="Arial" w:cs="Arial" w:eastAsia="Arial" w:hAnsi="Arial"/>
          <w:sz w:val="18"/>
          <w:szCs w:val="18"/>
          <w:color w:val="auto"/>
        </w:rPr>
        <w:t>. This Plan is intended to comply with the requirements of Section 409A of the Code and shall be interpreted in a manner consistent therewith. Accordingly, notwithstanding any provisions of the Plan to the contrary:</w:t>
      </w:r>
    </w:p>
    <w:p>
      <w:pPr>
        <w:spacing w:after="0" w:line="51" w:lineRule="exact"/>
        <w:rPr>
          <w:sz w:val="20"/>
          <w:szCs w:val="20"/>
          <w:color w:val="auto"/>
        </w:rPr>
      </w:pPr>
    </w:p>
    <w:p>
      <w:pPr>
        <w:ind w:right="180" w:firstLine="921"/>
        <w:spacing w:after="0" w:line="268"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Plan shall be operated at all times in accordance with the requirements of Section 409A of the Code and, in the event of any inconsistency between any provision of the Plan and Section 409A, the provisions of Section 409A shall control.</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provision in the Plan that is determined to violate the requirements of Section 409A of the Code shall be void and without effect.</w:t>
      </w:r>
    </w:p>
    <w:p>
      <w:pPr>
        <w:spacing w:after="0" w:line="194" w:lineRule="exact"/>
        <w:rPr>
          <w:rFonts w:ascii="Arial" w:cs="Arial" w:eastAsia="Arial" w:hAnsi="Arial"/>
          <w:sz w:val="16"/>
          <w:szCs w:val="16"/>
          <w:color w:val="auto"/>
        </w:rPr>
      </w:pPr>
    </w:p>
    <w:p>
      <w:pPr>
        <w:ind w:right="140" w:firstLine="921"/>
        <w:spacing w:after="0" w:line="268"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provision required by Section 409A of the Code to appear in the Plan document that is not expressly set forth herein shall be deemed to be set forth herein, and the Plan shall be administered in all respects as if such provision was expressly set forth herein.</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Exchange, its parents, subsidiaries, and affiliates, the Board of Directors of any of the foregoing, any officer, employer or agent of any of the foregoing, and the members of the Retirement Committee shall not incur any liability individually or on behalf of any other individuals or on behalf of the Exchange or its parents, subsidiaries, or affiliates for any act, or failure to act, made in good faith in relation to the Plan.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and Termination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Exchange may amend or terminate the Plan at any time and from time to time, and retroactively if deemed necessary or appropriate.</w:t>
      </w:r>
    </w:p>
    <w:p>
      <w:pPr>
        <w:spacing w:after="0" w:line="194" w:lineRule="exact"/>
        <w:rPr>
          <w:rFonts w:ascii="Arial" w:cs="Arial" w:eastAsia="Arial" w:hAnsi="Arial"/>
          <w:sz w:val="16"/>
          <w:szCs w:val="16"/>
          <w:color w:val="auto"/>
        </w:rPr>
      </w:pPr>
    </w:p>
    <w:p>
      <w:pPr>
        <w:jc w:val="both"/>
        <w:ind w:right="100" w:firstLine="921"/>
        <w:spacing w:after="0" w:line="298" w:lineRule="auto"/>
        <w:tabs>
          <w:tab w:leader="none" w:pos="1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amendment of the Plan shall be effected either (i) by resolution of the Compensation Committee or its successor, or (ii) by resolution of the Retirement Committee; provided, however, that only the Compensation Committee or its successor is authorized to approve an amendment that is anticipated to result in a material impact to the Exchange unless it otherwise acts to delegate this responsibility; and provided further that the Retirement Committee may adopt minor or administrative amendments to the Plan, including amendments to comply with applicable laws.</w:t>
      </w:r>
    </w:p>
    <w:p>
      <w:pPr>
        <w:spacing w:after="0" w:line="112" w:lineRule="exact"/>
        <w:rPr>
          <w:rFonts w:ascii="Arial" w:cs="Arial" w:eastAsia="Arial" w:hAnsi="Arial"/>
          <w:sz w:val="16"/>
          <w:szCs w:val="16"/>
          <w:color w:val="auto"/>
        </w:rPr>
      </w:pPr>
    </w:p>
    <w:p>
      <w:pPr>
        <w:ind w:right="400" w:firstLine="921"/>
        <w:spacing w:after="0" w:line="259" w:lineRule="auto"/>
        <w:tabs>
          <w:tab w:leader="none" w:pos="11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Plan termination shall be effected by resolution of the Compensation Committee or its successor. In the event of a termination of the Plan, Participants’ vested Account balances shall be distributed in such manner as the Plan Administrator shall determine consistent with the requirements of Section 409A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20th day of December,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MERCANTILE EXCHANGE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Hilda Harris Piell</w:t>
            </w:r>
          </w:p>
        </w:tc>
      </w:tr>
      <w:tr>
        <w:trPr>
          <w:trHeight w:val="3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180" w:type="dxa"/>
            <w:vAlign w:val="bottom"/>
          </w:tcPr>
          <w:p>
            <w:pPr>
              <w:spacing w:after="0"/>
              <w:rPr>
                <w:sz w:val="20"/>
                <w:szCs w:val="20"/>
                <w:color w:val="auto"/>
              </w:rPr>
            </w:pPr>
            <w:r>
              <w:rPr>
                <w:rFonts w:ascii="Arial" w:cs="Arial" w:eastAsia="Arial" w:hAnsi="Arial"/>
                <w:sz w:val="18"/>
                <w:szCs w:val="18"/>
                <w:color w:val="auto"/>
              </w:rPr>
              <w:t>MD &amp; Chief Organizational Development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GRANDFATHERED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EXECUTIVE RETIREMENT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as of January 1,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History, Purpose and Effective Date</w:t>
      </w:r>
      <w:r>
        <w:rPr>
          <w:rFonts w:ascii="Arial" w:cs="Arial" w:eastAsia="Arial" w:hAnsi="Arial"/>
          <w:sz w:val="16"/>
          <w:szCs w:val="16"/>
          <w:color w:val="auto"/>
        </w:rPr>
        <w:t>. The Chicago Mercantile Exchange Inc. Amended and Restated Supplemental Executive Retirement Plan (the “Plan”) was established, effective as of January 1, 1993 (the “Effective Date”) by Chicago Mercantile Exchange, an Illinois not-for-profit corporation (“CME”)), to provide its eligible key management employees with an opportunity to receive additional retirement income. Pursuant to a series of demutualization transactions and an agreement and plan of merger, effective as of November 13, 2000, Chicago Mercantile Exchange Inc., a shareholder-owned, for-profit Delaware corporation (the “Exchange”) succeeded to the assets, liabilities and business of CME and to the power, authority and responsibility of CME under and with respect to the Plan. Effective as of December 3, 2001, pursuant to a further corporate reorganization, the Exchange became a wholly-owned subsidiary of Chicago Mercantile Exchange Holdings Inc. (“CME Holdings”). The Plan is intended to constitute a plan maintained primarily for the purpose of providing deferred compensation for a select group of management or highly compensated employees within the meaning of Section 201(2), 301(a)(3) and 401(a)(l) of the Employee Retirement Income Security Act of 1974, as amended (“ERISA”).</w:t>
      </w:r>
    </w:p>
    <w:p>
      <w:pPr>
        <w:spacing w:after="0" w:line="120"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This document is an amendment and restatement of the Plan as in effect prior to 2005, and is applicable only to the portion (if any) of a Participant’s Account that was vested as of December 31, 2004, including credited earnings and losses with respect thereto (the “Grandfathered Account”). The Plan, as so amended and restated, shall be sometimes referred to as the “Chicago Mercantile Exchange Inc. Grandfathered Supplemental Executive Retirement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90" w:lineRule="auto"/>
        <w:tabs>
          <w:tab w:leader="none" w:pos="11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Retirement Committee (the “Retirement Committee”) appointed by the Compensation Committee (the “Compensation Committee”) of the Board of Directors of the Exchange is the Plan Administrator of the Plan. If the Compensation Committee fails to act to appoint the members of the Retirement Committee, then the Compensation Committee will be deemed to be the Retirement Committee hereunder. The Plan Administrator shall from time to time adopt rules for the administration of the Plan and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 the Plan, and whether a claimant is eligible for benefits under the Plan, the determination of the amount</w:t>
      </w:r>
    </w:p>
    <w:p>
      <w:pPr>
        <w:sectPr>
          <w:pgSz w:w="11900" w:h="16838" w:orient="portrait"/>
          <w:cols w:equalWidth="0" w:num="1">
            <w:col w:w="11420"/>
          </w:cols>
          <w:pgMar w:left="240" w:top="125" w:right="239" w:bottom="1440" w:gutter="0" w:footer="0" w:header="0"/>
        </w:sectPr>
      </w:pPr>
    </w:p>
    <w:bookmarkStart w:id="146" w:name="page147"/>
    <w:bookmarkEnd w:id="14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benefits, if any, a claimant is entitled to receive, and making any other determinations which it believes necessary or advisable for the administration and operation of the Plan. Any such decision or action shall be final and binding upon all Participants and beneficiaries, and benefits under the Plan shall be paid only if the Plan Administrator decides in its discretion that the claimant is entitled to them. The Plan Administrator’s decision or action in respect of any of the above shall be conclusive and binding upon all Participants and their beneficiaries, heirs, assigns, administrators, executors and any other person claiming through or under them, subject to such individual’s rights to a review of the denial of any benefit claim under the claims procedure set forth in Section 1.11.</w:t>
      </w:r>
    </w:p>
    <w:p>
      <w:pPr>
        <w:spacing w:after="0" w:line="116" w:lineRule="exact"/>
        <w:rPr>
          <w:sz w:val="20"/>
          <w:szCs w:val="20"/>
          <w:color w:val="auto"/>
        </w:rPr>
      </w:pPr>
    </w:p>
    <w:p>
      <w:pPr>
        <w:ind w:firstLine="921"/>
        <w:spacing w:after="0" w:line="291" w:lineRule="auto"/>
        <w:tabs>
          <w:tab w:leader="none" w:pos="11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providing for the administration of the Plan, the Plan Administrator may delegate responsibilities for the operation and administration of the Plan by written document filed with the Plan records. Any such delegation may be revoked at any time. The Secretary of the Exchange (or, on behalf of the Secretary of the Exchange, any Corporate Secretary or Assistant Secretary) shall certify to any interested person the names of the employees of the Exchange who are, from time to time, authorized to act on behalf of the Plan Administrator and who are responsible for the day-to-day operation and administration of the Plan. The Plan Administrator may appoint and compensate such specialists to aid it in the administration of the Plan and arrange for such other services as it considers necessary or appropriate to carry out the provisions of the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Year</w:t>
      </w:r>
      <w:r>
        <w:rPr>
          <w:rFonts w:ascii="Arial" w:cs="Arial" w:eastAsia="Arial" w:hAnsi="Arial"/>
          <w:sz w:val="18"/>
          <w:szCs w:val="18"/>
          <w:color w:val="auto"/>
        </w:rPr>
        <w:t>. The term “Plan Year” means the calendar year.</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Source of Benefit Payments</w:t>
      </w:r>
      <w:r>
        <w:rPr>
          <w:rFonts w:ascii="Arial" w:cs="Arial" w:eastAsia="Arial" w:hAnsi="Arial"/>
          <w:sz w:val="16"/>
          <w:szCs w:val="16"/>
          <w:color w:val="auto"/>
        </w:rPr>
        <w:t>. Subject to the terms and conditions of the Plan, any amount payable to or on account of a Participant under this Plan shall be paid from the general assets of the Exchange or from one or more trusts, the assets of which are subject to the claims of the Exchange’s general creditors. The amounts payable hereunder shall be reflected on the accounting records of the Exchange but shall not be construed to create, or require the creation of, a trust, custodial or escrow account. None of the individuals entitled to benefits under the Plan shall have any preferred claim on, or any beneficial ownership interest in, any assets of the Exchange or to any investment reserves, accounts, trusts or funds that the Exchange may purchase, establish or accumulate to aid in providing the benefits under the Plan, and any rights of such individuals under the Plan or any such reserves, accounts, trusts or funds shall constitute unsecured contractual rights only. Nothing contained in the Plan shall constitute a guarantee by the Exchange that the assets of the Exchange shall be sufficient to pay any benefits to any person. Nothing contained in the Plan and no action taken pursuant to its provisions shall create a trust or fiduciary relationship of any kind between the Exchange and an employee or any other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Exchange.</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Effect on Other Benefit Plans</w:t>
      </w:r>
      <w:r>
        <w:rPr>
          <w:rFonts w:ascii="Arial" w:cs="Arial" w:eastAsia="Arial" w:hAnsi="Arial"/>
          <w:sz w:val="18"/>
          <w:szCs w:val="18"/>
          <w:color w:val="auto"/>
        </w:rPr>
        <w:t>. Any amounts credited or paid under this Plan shall not be considered to be compensation for the purposes of any qualified plan (within the meaning of Section 401 (a) of the Internal Revenue Code of 1986, as amended, maintained by the Exchange. The treatment of such amounts under other employee benefit plans shall be pursuant to the provisions of such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 </w:t>
      </w:r>
      <w:r>
        <w:rPr>
          <w:rFonts w:ascii="Arial" w:cs="Arial" w:eastAsia="Arial" w:hAnsi="Arial"/>
          <w:sz w:val="18"/>
          <w:szCs w:val="18"/>
          <w:u w:val="single" w:color="auto"/>
          <w:color w:val="auto"/>
        </w:rPr>
        <w:t>Applicable Laws</w:t>
      </w:r>
      <w:r>
        <w:rPr>
          <w:rFonts w:ascii="Arial" w:cs="Arial" w:eastAsia="Arial" w:hAnsi="Arial"/>
          <w:sz w:val="18"/>
          <w:szCs w:val="18"/>
          <w:color w:val="auto"/>
        </w:rPr>
        <w:t>. The Plan shall be construed and administered in accordance with the laws of the State of Illinois.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document required to be given to or filed with the Plan Administrator will be properly filed if delivered or mailed by registered mail, postage prepaid, to the Secretary of the Exchange, at its principal executive offices. The Plan Administrator may, by advance written notice to affected persons, revise such notice procedure from time to time. Any notice required under the Plan may be waived by the person entitled to notice.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9"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purposes of the Plan, a claim for a benefit is a written application for a benefit filed with the Plan Administrator. In the event that any Participant or 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 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the time limits applicable to those procedures, including a statement of the claimant’s right to bring a civil action under ERISA Section 502(a) following the denial of his claim on review.</w:t>
      </w:r>
    </w:p>
    <w:p>
      <w:pPr>
        <w:spacing w:after="0" w:line="118"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Plan Administrator requests additional information from a claimant prior to an initial determination or a determination on appeal, the Plan Administrator will notify the claimant and permit the claimant to have 45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143" w:lineRule="exact"/>
        <w:rPr>
          <w:rFonts w:ascii="Arial" w:cs="Arial" w:eastAsia="Arial" w:hAnsi="Arial"/>
          <w:sz w:val="18"/>
          <w:szCs w:val="18"/>
          <w:color w:val="auto"/>
        </w:rPr>
      </w:pPr>
    </w:p>
    <w:p>
      <w:pPr>
        <w:ind w:right="240" w:firstLine="921"/>
        <w:spacing w:after="0" w:line="255"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Within 60 days after the mailing or delivery by the Plan Administrator or its designee of such notice, such claimant may request, by mailing or delivery of written notice to the Plan Administrator, a review by the Plan Administrator of the decision denying the claim. The claimant may submit written comments, documents, records and other information relating to his claim, whether or not 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8" w:name="page149"/>
    <w:bookmarkEnd w:id="148"/>
    <w:p>
      <w:pPr>
        <w:ind w:right="18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claimant fails to request such a review within such 60-day period, it shall be conclusively determined for all purposes of this Plan that the denial of such claim by the Plan Administrator is correct.</w:t>
      </w:r>
    </w:p>
    <w:p>
      <w:pPr>
        <w:spacing w:after="0" w:line="131" w:lineRule="exact"/>
        <w:rPr>
          <w:rFonts w:ascii="Arial" w:cs="Arial" w:eastAsia="Arial" w:hAnsi="Arial"/>
          <w:sz w:val="18"/>
          <w:szCs w:val="18"/>
          <w:color w:val="auto"/>
        </w:rPr>
      </w:pPr>
    </w:p>
    <w:p>
      <w:pPr>
        <w:ind w:right="140" w:firstLine="921"/>
        <w:spacing w:after="0" w:line="290" w:lineRule="auto"/>
        <w:tabs>
          <w:tab w:leader="none" w:pos="115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After such review, the Plan Administrator shall determine whether such denial of the claim was correct and shall notify such claimant in writing of its 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(c) a statement that the claimant is entitled to receive, upon written request and free of charge, reasonable access to and copies of all documents, records and other information relevant to his claim for benefits; and (d) a statement of any voluntary appeal procedures offered by the Plan and the claimant’s right to obtain information about the procedures and to bring a civil action under ERISA Section 502(a).</w:t>
      </w: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2</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Participation</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Participant</w:t>
      </w:r>
      <w:r>
        <w:rPr>
          <w:rFonts w:ascii="Arial" w:cs="Arial" w:eastAsia="Arial" w:hAnsi="Arial"/>
          <w:sz w:val="16"/>
          <w:szCs w:val="16"/>
          <w:color w:val="auto"/>
        </w:rPr>
        <w:t>. The key employees eligible to participate in the Plan and the conditions for such participation shall be established, from time to time, by the Exchange; provided, however, that Participants shall be limited to a select group of management or highly compensated employees within the meaning of Sections 201(1), 301(a)(2) and 401(a)(l) of ERISA. If the Exchange determines that participation by one or more Participants shall cause the Plan to be subject to Part 2, 3 or 4 of Title I of ERISA, the entire interest of such Participant or Participants under the Plan shall be segregated from the Plan in the discretion of the Exchange, and such Participant or Participants shall cease to have any interest under the Plan.</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Plan Not Contract of Employment</w:t>
      </w:r>
      <w:r>
        <w:rPr>
          <w:rFonts w:ascii="Arial" w:cs="Arial" w:eastAsia="Arial" w:hAnsi="Arial"/>
          <w:sz w:val="18"/>
          <w:szCs w:val="18"/>
          <w:color w:val="auto"/>
        </w:rPr>
        <w:t>. The Plan does not constitute a contract of employment, and participation in the Plan will not give any employee the right to be retained in the employ of the Exchange nor any right or claim to any benefit under the Plan, unless such right or claim has specifically accrued under the terms of the Plan.</w:t>
      </w:r>
    </w:p>
    <w:p>
      <w:pPr>
        <w:spacing w:after="0" w:line="302"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3</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Plan Benefits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Deferred Compensation Accounts</w:t>
      </w:r>
      <w:r>
        <w:rPr>
          <w:rFonts w:ascii="Arial" w:cs="Arial" w:eastAsia="Arial" w:hAnsi="Arial"/>
          <w:sz w:val="18"/>
          <w:szCs w:val="18"/>
          <w:color w:val="auto"/>
        </w:rPr>
        <w:t>. The Plan Administrator shall maintain, or cause to be maintained, an Account in the name of each Participant which shall reflect the sum of the following amounts:</w:t>
      </w:r>
    </w:p>
    <w:p>
      <w:pPr>
        <w:spacing w:after="0" w:line="51" w:lineRule="exact"/>
        <w:rPr>
          <w:sz w:val="20"/>
          <w:szCs w:val="20"/>
          <w:color w:val="auto"/>
        </w:rPr>
      </w:pPr>
    </w:p>
    <w:p>
      <w:pPr>
        <w:jc w:val="center"/>
        <w:ind w:left="5680" w:right="1340" w:hanging="5226"/>
        <w:spacing w:after="0" w:line="440" w:lineRule="auto"/>
        <w:tabs>
          <w:tab w:leader="none" w:pos="90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“Deferred Compensation Credits” to be credited to the Participant’s Account in accordance with subsection 3.2; and 4</w:t>
      </w:r>
    </w:p>
    <w:p>
      <w:pPr>
        <w:sectPr>
          <w:pgSz w:w="11900" w:h="16838" w:orient="portrait"/>
          <w:cols w:equalWidth="0" w:num="1">
            <w:col w:w="11420"/>
          </w:cols>
          <w:pgMar w:left="240" w:top="280" w:right="239" w:bottom="1440" w:gutter="0" w:footer="0" w:header="0"/>
        </w:sectPr>
      </w:pPr>
    </w:p>
    <w:bookmarkStart w:id="149" w:name="page150"/>
    <w:bookmarkEnd w:id="149"/>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assumed rate of earnings to be credited to the Participant’s Account in accordance with subsection 3.3.</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Deferred Compensation Credits</w:t>
      </w:r>
      <w:r>
        <w:rPr>
          <w:rFonts w:ascii="Arial" w:cs="Arial" w:eastAsia="Arial" w:hAnsi="Arial"/>
          <w:sz w:val="18"/>
          <w:szCs w:val="18"/>
          <w:color w:val="auto"/>
        </w:rPr>
        <w:t>. Unless otherwise determined by the Compensation Committee, for each Plan Year beginning on or after January 1, 2003, three percent of each Participant’s base earnings and bonus paid in such Plan Year shall be awarded as Deferred Compensation Credits. The amount of Deferred Compensation Credits awarded to a Participant for any such Plan Year shall be credited to his Account as of the first business day of the next following Plan Year.</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Adjustment of Accounts</w:t>
      </w:r>
      <w:r>
        <w:rPr>
          <w:rFonts w:ascii="Arial" w:cs="Arial" w:eastAsia="Arial" w:hAnsi="Arial"/>
          <w:sz w:val="16"/>
          <w:szCs w:val="16"/>
          <w:color w:val="auto"/>
        </w:rPr>
        <w:t>. The amounts credited to a Participant’s Account in accordance with Section 3.2 shall be adjusted from time to time in accordance with uniform procedures established by the Plan Administrator to reflect the value of an investment equal to the Participant’s Account balance in one or more assumed investments that the Plan Administrator offers from time to time, and which the Participant directs the Plan Administrator to use for purposes of adjusting his Account. In the event a Participant fails to provide such direction, the Participant’s Account shall be adjusted on the basis of such default investment as the Plan Administrator shall establish from time to time. Amounts credited pursuant to this Section 3.3 shall be determined without regard to taxes that would be payable with respect to any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 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289"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4</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Payment of Plan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Vesting</w:t>
      </w:r>
      <w:r>
        <w:rPr>
          <w:rFonts w:ascii="Arial" w:cs="Arial" w:eastAsia="Arial" w:hAnsi="Arial"/>
          <w:sz w:val="18"/>
          <w:szCs w:val="18"/>
          <w:color w:val="auto"/>
        </w:rPr>
        <w:t>. A Participant’s vested interest in his Account shall be determined as follows:</w:t>
      </w:r>
    </w:p>
    <w:p>
      <w:pPr>
        <w:spacing w:after="0" w:line="90" w:lineRule="exact"/>
        <w:rPr>
          <w:sz w:val="20"/>
          <w:szCs w:val="20"/>
          <w:color w:val="auto"/>
        </w:rPr>
      </w:pPr>
    </w:p>
    <w:p>
      <w:pPr>
        <w:ind w:right="80" w:firstLine="921"/>
        <w:spacing w:after="0" w:line="259" w:lineRule="auto"/>
        <w:tabs>
          <w:tab w:leader="none" w:pos="11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Participant shall have at all times a fully vested and nonforfeitable interest in (i) the amount of any Deferred Compensation Credits credited to the Participant’s Account on or before December 31, 1996, and (ii) any assumed investment adjustment theretofore or thereafter credited with respect to such Deferred Compensation Credits under Section 3.3.</w:t>
      </w:r>
    </w:p>
    <w:p>
      <w:pPr>
        <w:spacing w:after="0" w:line="140" w:lineRule="exact"/>
        <w:rPr>
          <w:rFonts w:ascii="Arial" w:cs="Arial" w:eastAsia="Arial" w:hAnsi="Arial"/>
          <w:sz w:val="18"/>
          <w:szCs w:val="18"/>
          <w:color w:val="auto"/>
        </w:rPr>
      </w:pPr>
    </w:p>
    <w:p>
      <w:pPr>
        <w:ind w:right="380" w:firstLine="921"/>
        <w:spacing w:after="0" w:line="259"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Participant shall have a fully vested and nonforfeitable interest in the amount of any Deferred Compensation Credits credited to the Participant’s Account in accordance with Section 3.2 on or after January 1, 2004 (and any assumed investment adjustments thereon) upon completion of five Years of Vesting Service (as described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0" w:name="page151"/>
    <w:bookmarkEnd w:id="150"/>
    <w:p>
      <w:pPr>
        <w:ind w:firstLine="921"/>
        <w:spacing w:after="0" w:line="291" w:lineRule="auto"/>
        <w:tabs>
          <w:tab w:leader="none" w:pos="1152"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Participant shall have a fully vested and nonforfeitable interest in the amount of any Deferred Compensation Credits credited to the Participant’s Account in accordance with Section 3.2 on or after January 1, 1997 and before January 1, 2004 (“Post-1996 Credits”), and any assumed investment adjustments thereon, as of December 10 of the fourth Plan Year following the Plan Year as of which such Deferred Compensation Credits are credited to the Participant’s Account. Prior thereto, the amount of any Post-1996 Credits (and any assumed investment adjustments thereon) shall be vested and nonforfeitable as of December 10th of the Plan Year that follows the Plan Year as of which such Post-1996 Credits were credited to the Participant’s Account by the number of Plan Years determined in accordance with the following schedule:</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b w:val="1"/>
                <w:bCs w:val="1"/>
                <w:color w:val="auto"/>
                <w:w w:val="94"/>
              </w:rPr>
              <w:t>Number of Plan Years following the</w:t>
            </w:r>
          </w:p>
        </w:tc>
        <w:tc>
          <w:tcPr>
            <w:tcW w:w="134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Plan Year as of which the Post-1996</w:t>
            </w:r>
          </w:p>
        </w:tc>
        <w:tc>
          <w:tcPr>
            <w:tcW w:w="134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8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Credits were credited to his Account</w:t>
            </w:r>
          </w:p>
        </w:tc>
        <w:tc>
          <w:tcPr>
            <w:tcW w:w="1340" w:type="dxa"/>
            <w:vAlign w:val="bottom"/>
          </w:tcPr>
          <w:p>
            <w:pPr>
              <w:spacing w:after="0"/>
              <w:rPr>
                <w:sz w:val="15"/>
                <w:szCs w:val="15"/>
                <w:color w:val="auto"/>
              </w:rPr>
            </w:pPr>
          </w:p>
        </w:tc>
        <w:tc>
          <w:tcPr>
            <w:tcW w:w="29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The vested percentage shall be</w:t>
            </w:r>
          </w:p>
        </w:tc>
      </w:tr>
      <w:tr>
        <w:trPr>
          <w:trHeight w:val="195"/>
        </w:trPr>
        <w:tc>
          <w:tcPr>
            <w:tcW w:w="2240" w:type="dxa"/>
            <w:vAlign w:val="bottom"/>
          </w:tcPr>
          <w:p>
            <w:pPr>
              <w:spacing w:after="0" w:line="195" w:lineRule="exact"/>
              <w:rPr>
                <w:sz w:val="20"/>
                <w:szCs w:val="20"/>
                <w:color w:val="auto"/>
              </w:rPr>
            </w:pPr>
            <w:r>
              <w:rPr>
                <w:rFonts w:ascii="Arial" w:cs="Arial" w:eastAsia="Arial" w:hAnsi="Arial"/>
                <w:sz w:val="18"/>
                <w:szCs w:val="18"/>
                <w:color w:val="auto"/>
              </w:rPr>
              <w:t>Four Plan Years</w:t>
            </w:r>
          </w:p>
        </w:tc>
        <w:tc>
          <w:tcPr>
            <w:tcW w:w="1340" w:type="dxa"/>
            <w:vAlign w:val="bottom"/>
          </w:tcPr>
          <w:p>
            <w:pPr>
              <w:spacing w:after="0"/>
              <w:rPr>
                <w:sz w:val="16"/>
                <w:szCs w:val="16"/>
                <w:color w:val="auto"/>
              </w:rPr>
            </w:pPr>
          </w:p>
        </w:tc>
        <w:tc>
          <w:tcPr>
            <w:tcW w:w="2940" w:type="dxa"/>
            <w:vAlign w:val="bottom"/>
          </w:tcPr>
          <w:p>
            <w:pPr>
              <w:jc w:val="right"/>
              <w:ind w:right="1102"/>
              <w:spacing w:after="0" w:line="195" w:lineRule="exact"/>
              <w:rPr>
                <w:sz w:val="20"/>
                <w:szCs w:val="20"/>
                <w:color w:val="auto"/>
              </w:rPr>
            </w:pPr>
            <w:r>
              <w:rPr>
                <w:rFonts w:ascii="Arial" w:cs="Arial" w:eastAsia="Arial" w:hAnsi="Arial"/>
                <w:sz w:val="18"/>
                <w:szCs w:val="18"/>
                <w:color w:val="auto"/>
              </w:rPr>
              <w:t>100%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Three Plan Years</w:t>
            </w:r>
          </w:p>
        </w:tc>
        <w:tc>
          <w:tcPr>
            <w:tcW w:w="4280" w:type="dxa"/>
            <w:vAlign w:val="bottom"/>
            <w:gridSpan w:val="2"/>
          </w:tcPr>
          <w:p>
            <w:pPr>
              <w:jc w:val="right"/>
              <w:ind w:right="1122"/>
              <w:spacing w:after="0" w:line="217" w:lineRule="exact"/>
              <w:rPr>
                <w:sz w:val="20"/>
                <w:szCs w:val="20"/>
                <w:color w:val="auto"/>
              </w:rPr>
            </w:pP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Two Plan Years</w:t>
            </w:r>
          </w:p>
        </w:tc>
        <w:tc>
          <w:tcPr>
            <w:tcW w:w="4280" w:type="dxa"/>
            <w:vAlign w:val="bottom"/>
            <w:gridSpan w:val="2"/>
          </w:tcPr>
          <w:p>
            <w:pPr>
              <w:jc w:val="right"/>
              <w:ind w:right="1122"/>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One Plan Year</w:t>
            </w:r>
          </w:p>
        </w:tc>
        <w:tc>
          <w:tcPr>
            <w:tcW w:w="4280" w:type="dxa"/>
            <w:vAlign w:val="bottom"/>
            <w:gridSpan w:val="2"/>
          </w:tcPr>
          <w:p>
            <w:pPr>
              <w:jc w:val="right"/>
              <w:ind w:right="1102"/>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Participant’s Years of Vesting Service as of any date shall be equal to the number of years of service credited to the Participant for vesting purposes as of such date under the provisions of the Pension Plan for Employees of the Chicago Mercantile Exchange Inc. (the “Pension Plan”) or, in the case of a Participant who is not eligible to participate in the Pension Plan, the number of years of service that would be credited to the Participant for vesting purposes under the Pension Plan as of such date if the Participant were eligible to participate in the Pension Plan. The unvested portion of a Participant’s Account shall be forfeited upon the Participant’s separation from service.</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Accelerated Vesting</w:t>
      </w:r>
      <w:r>
        <w:rPr>
          <w:rFonts w:ascii="Arial" w:cs="Arial" w:eastAsia="Arial" w:hAnsi="Arial"/>
          <w:sz w:val="16"/>
          <w:szCs w:val="16"/>
          <w:color w:val="auto"/>
        </w:rPr>
        <w:t>. Notwithstanding the provisions of Section 4.1, if a Participant’s termination of active employment with the Exchange occurs on account of his death, retirement after attaining age 55 years and completing 15 years of continuous service with the Exchange, or disability, the amount of any Post-1996 Credits (and any assumed investment adjustments thereon) not theretofore vested shall be vested and nonforfeitable as of December 10 of the Plan Year that follows the Plan Year as of which such Post-1996 Credits were credited to the Participant’s Account by the number of Plan Years determined in accordance with the following schedule (in lieu of the schedule in Section 4.1):</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b w:val="1"/>
                <w:bCs w:val="1"/>
                <w:color w:val="auto"/>
                <w:w w:val="94"/>
              </w:rPr>
              <w:t>Number of Plan Years following the</w:t>
            </w:r>
          </w:p>
        </w:tc>
        <w:tc>
          <w:tcPr>
            <w:tcW w:w="134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Plan Year as of which the Post-1996</w:t>
            </w:r>
          </w:p>
        </w:tc>
        <w:tc>
          <w:tcPr>
            <w:tcW w:w="134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8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Credits were credited to his Account</w:t>
            </w:r>
          </w:p>
        </w:tc>
        <w:tc>
          <w:tcPr>
            <w:tcW w:w="1340" w:type="dxa"/>
            <w:vAlign w:val="bottom"/>
          </w:tcPr>
          <w:p>
            <w:pPr>
              <w:spacing w:after="0"/>
              <w:rPr>
                <w:sz w:val="15"/>
                <w:szCs w:val="15"/>
                <w:color w:val="auto"/>
              </w:rPr>
            </w:pPr>
          </w:p>
        </w:tc>
        <w:tc>
          <w:tcPr>
            <w:tcW w:w="29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The vested percentage shall be</w:t>
            </w:r>
          </w:p>
        </w:tc>
      </w:tr>
      <w:tr>
        <w:trPr>
          <w:trHeight w:val="195"/>
        </w:trPr>
        <w:tc>
          <w:tcPr>
            <w:tcW w:w="2240" w:type="dxa"/>
            <w:vAlign w:val="bottom"/>
          </w:tcPr>
          <w:p>
            <w:pPr>
              <w:spacing w:after="0" w:line="195" w:lineRule="exact"/>
              <w:rPr>
                <w:sz w:val="20"/>
                <w:szCs w:val="20"/>
                <w:color w:val="auto"/>
              </w:rPr>
            </w:pPr>
            <w:r>
              <w:rPr>
                <w:rFonts w:ascii="Arial" w:cs="Arial" w:eastAsia="Arial" w:hAnsi="Arial"/>
                <w:sz w:val="18"/>
                <w:szCs w:val="18"/>
                <w:color w:val="auto"/>
              </w:rPr>
              <w:t>Four Plan Years</w:t>
            </w:r>
          </w:p>
        </w:tc>
        <w:tc>
          <w:tcPr>
            <w:tcW w:w="1340" w:type="dxa"/>
            <w:vAlign w:val="bottom"/>
          </w:tcPr>
          <w:p>
            <w:pPr>
              <w:spacing w:after="0"/>
              <w:rPr>
                <w:sz w:val="16"/>
                <w:szCs w:val="16"/>
                <w:color w:val="auto"/>
              </w:rPr>
            </w:pPr>
          </w:p>
        </w:tc>
        <w:tc>
          <w:tcPr>
            <w:tcW w:w="2940" w:type="dxa"/>
            <w:vAlign w:val="bottom"/>
          </w:tcPr>
          <w:p>
            <w:pPr>
              <w:jc w:val="right"/>
              <w:ind w:right="1182"/>
              <w:spacing w:after="0" w:line="195" w:lineRule="exact"/>
              <w:rPr>
                <w:sz w:val="20"/>
                <w:szCs w:val="20"/>
                <w:color w:val="auto"/>
              </w:rPr>
            </w:pPr>
            <w:r>
              <w:rPr>
                <w:rFonts w:ascii="Arial" w:cs="Arial" w:eastAsia="Arial" w:hAnsi="Arial"/>
                <w:sz w:val="18"/>
                <w:szCs w:val="18"/>
                <w:color w:val="auto"/>
              </w:rPr>
              <w:t>100%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Three Plan Years</w:t>
            </w:r>
          </w:p>
        </w:tc>
        <w:tc>
          <w:tcPr>
            <w:tcW w:w="4280" w:type="dxa"/>
            <w:vAlign w:val="bottom"/>
            <w:gridSpan w:val="2"/>
          </w:tcPr>
          <w:p>
            <w:pPr>
              <w:jc w:val="right"/>
              <w:ind w:right="1182"/>
              <w:spacing w:after="0"/>
              <w:rPr>
                <w:sz w:val="20"/>
                <w:szCs w:val="20"/>
                <w:color w:val="auto"/>
              </w:rPr>
            </w:pPr>
            <w:r>
              <w:rPr>
                <w:rFonts w:ascii="Arial" w:cs="Arial" w:eastAsia="Arial" w:hAnsi="Arial"/>
                <w:sz w:val="18"/>
                <w:szCs w:val="18"/>
                <w:color w:val="auto"/>
              </w:rPr>
              <w:t>80%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Two Plan Years</w:t>
            </w:r>
          </w:p>
        </w:tc>
        <w:tc>
          <w:tcPr>
            <w:tcW w:w="4280" w:type="dxa"/>
            <w:vAlign w:val="bottom"/>
            <w:gridSpan w:val="2"/>
          </w:tcPr>
          <w:p>
            <w:pPr>
              <w:jc w:val="right"/>
              <w:ind w:right="1182"/>
              <w:spacing w:after="0"/>
              <w:rPr>
                <w:sz w:val="20"/>
                <w:szCs w:val="20"/>
                <w:color w:val="auto"/>
              </w:rPr>
            </w:pPr>
            <w:r>
              <w:rPr>
                <w:rFonts w:ascii="Arial" w:cs="Arial" w:eastAsia="Arial" w:hAnsi="Arial"/>
                <w:sz w:val="18"/>
                <w:szCs w:val="18"/>
                <w:color w:val="auto"/>
              </w:rPr>
              <w:t>60%</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One Plan Year</w:t>
            </w:r>
          </w:p>
        </w:tc>
        <w:tc>
          <w:tcPr>
            <w:tcW w:w="4280" w:type="dxa"/>
            <w:vAlign w:val="bottom"/>
            <w:gridSpan w:val="2"/>
          </w:tcPr>
          <w:p>
            <w:pPr>
              <w:jc w:val="right"/>
              <w:ind w:right="1182"/>
              <w:spacing w:after="0"/>
              <w:rPr>
                <w:sz w:val="20"/>
                <w:szCs w:val="20"/>
                <w:color w:val="auto"/>
              </w:rPr>
            </w:pPr>
            <w:r>
              <w:rPr>
                <w:rFonts w:ascii="Arial" w:cs="Arial" w:eastAsia="Arial" w:hAnsi="Arial"/>
                <w:sz w:val="18"/>
                <w:szCs w:val="18"/>
                <w:color w:val="auto"/>
              </w:rPr>
              <w:t>40%</w:t>
            </w:r>
          </w:p>
        </w:tc>
      </w:tr>
      <w:tr>
        <w:trPr>
          <w:trHeight w:val="365"/>
        </w:trPr>
        <w:tc>
          <w:tcPr>
            <w:tcW w:w="2240" w:type="dxa"/>
            <w:vAlign w:val="bottom"/>
          </w:tcPr>
          <w:p>
            <w:pPr>
              <w:spacing w:after="0"/>
              <w:rPr>
                <w:sz w:val="24"/>
                <w:szCs w:val="24"/>
                <w:color w:val="auto"/>
              </w:rPr>
            </w:pPr>
          </w:p>
        </w:tc>
        <w:tc>
          <w:tcPr>
            <w:tcW w:w="4280" w:type="dxa"/>
            <w:vAlign w:val="bottom"/>
            <w:gridSpan w:val="2"/>
          </w:tcPr>
          <w:p>
            <w:pPr>
              <w:jc w:val="right"/>
              <w:ind w:right="160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280" w:right="259" w:bottom="1440" w:gutter="0" w:footer="0" w:header="0"/>
        </w:sectPr>
      </w:pPr>
    </w:p>
    <w:bookmarkStart w:id="151" w:name="page152"/>
    <w:bookmarkEnd w:id="151"/>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Participant’s termination of active employment occurs under this Section 4.2, the portion of any Post-1996 Credits (and any investment adjustments thereon) that are not theretofore vested in accordance with Section 4.1 or the foregoing provisions of this Section 4.2 and which shall be vested and nonforfeitable as of December 10 of the Plan Year in which credited to the Participant’s Account shall be twenty percent (20%).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sz w:val="20"/>
          <w:szCs w:val="20"/>
          <w:color w:val="auto"/>
        </w:rPr>
      </w:pPr>
    </w:p>
    <w:p>
      <w:pPr>
        <w:ind w:right="560" w:firstLine="464"/>
        <w:spacing w:after="0" w:line="268"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otherwise provided in this Section 4, the vested balance in a Participant’s Account shall be paid in a lump sum on the first payroll date occurring more than six months after the Participant’s termination of active employment.</w:t>
      </w:r>
    </w:p>
    <w:p>
      <w:pPr>
        <w:spacing w:after="0" w:line="131" w:lineRule="exact"/>
        <w:rPr>
          <w:rFonts w:ascii="Arial" w:cs="Arial" w:eastAsia="Arial" w:hAnsi="Arial"/>
          <w:sz w:val="18"/>
          <w:szCs w:val="18"/>
          <w:color w:val="auto"/>
        </w:rPr>
      </w:pPr>
    </w:p>
    <w:p>
      <w:pPr>
        <w:ind w:right="60" w:firstLine="464"/>
        <w:spacing w:after="0" w:line="254"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Participant may elect after December 31, 2004 to receive the vested portion of the Participant’s Account either in a single lump sum payment as soon as practicable after his death or other termination date occurs, or in annual installments over a period of 5 or fewer years, in which case distribution shall be made in accordance with such election; provided, however, that any such election by a Participant who resigns or is dismissed prior to his retirement date (within the meaning of the Exchange’s cash balance pension plan) shall require the consent of the Exchange. A Participant may change his or her distribution election at any time; provided, however, that any such election change shall be void and of no force and effect if the Participant separates from service within six months after making such change.</w:t>
      </w:r>
    </w:p>
    <w:p>
      <w:pPr>
        <w:spacing w:after="0" w:line="144" w:lineRule="exact"/>
        <w:rPr>
          <w:rFonts w:ascii="Arial" w:cs="Arial" w:eastAsia="Arial" w:hAnsi="Arial"/>
          <w:sz w:val="18"/>
          <w:szCs w:val="18"/>
          <w:color w:val="auto"/>
        </w:rPr>
      </w:pPr>
    </w:p>
    <w:p>
      <w:pPr>
        <w:ind w:left="700" w:hanging="236"/>
        <w:spacing w:after="0"/>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portion of his Account balance that is not vested in accordance with subsection 4.1 or 4.2 at his termination of active employment shall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Unforeseeable Emergencies</w:t>
      </w:r>
      <w:r>
        <w:rPr>
          <w:rFonts w:ascii="Arial" w:cs="Arial" w:eastAsia="Arial" w:hAnsi="Arial"/>
          <w:sz w:val="16"/>
          <w:szCs w:val="16"/>
          <w:color w:val="auto"/>
        </w:rPr>
        <w:t>. The Plan Administrator may, pursuant to rules adopted by it and applied in a uniform manner, accelerate the date of distribution of a Participant’s Account because of unforeseeable emergency at any time. “Unforeseeable emergency” shall mean as determined by the Plan Administrator in accordance with uniform rules adopted by it. The amount that may be distributed pursuant to this subsection 4.4 is limited to the amount necessary to satisfy the emergency plus amounts necessary to pay taxes reasonably anticipated as a result of the distribution, after taking into account the extent to which the hardship is or may be relieved through reimbursement or compensation by insurance or otherwise or by liquidation of the Participant’s assets (to the extent the liquidation of such assets would not itself cause severe financial hardship).</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Each Participant may from time to time designate any legal or natural person or persons (who may be designated contingently or successively) to whom his benefits under the Plan are to be paid if he dies before he receives all of his vested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4.5,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9" w:right="239" w:bottom="1440" w:gutter="0" w:footer="0" w:header="0"/>
        </w:sectPr>
      </w:pPr>
    </w:p>
    <w:bookmarkStart w:id="152" w:name="page153"/>
    <w:bookmarkEnd w:id="152"/>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4.6. </w:t>
      </w:r>
      <w:r>
        <w:rPr>
          <w:rFonts w:ascii="Arial" w:cs="Arial" w:eastAsia="Arial" w:hAnsi="Arial"/>
          <w:sz w:val="16"/>
          <w:szCs w:val="16"/>
          <w:u w:val="single" w:color="auto"/>
          <w:color w:val="auto"/>
        </w:rPr>
        <w:t>Distributions to Disabled Persons</w:t>
      </w:r>
      <w:r>
        <w:rPr>
          <w:rFonts w:ascii="Arial" w:cs="Arial" w:eastAsia="Arial" w:hAnsi="Arial"/>
          <w:sz w:val="16"/>
          <w:szCs w:val="16"/>
          <w:color w:val="auto"/>
        </w:rPr>
        <w:t>. Notwithstanding the provisions of this Section 4, if, in the Plan Administrator’s opinion, a Participant or beneficiary is under a legal disability or is in any way incapacitated so as to be unable to manage his financial affairs, the Plan Administrator may direct that payment be made to a relative or friend of such person for his benefit until claim is made by a conservator or other person legally charged with the care of his person or his estate, 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Benefits May Not be Assigned</w:t>
      </w:r>
      <w:r>
        <w:rPr>
          <w:rFonts w:ascii="Arial" w:cs="Arial" w:eastAsia="Arial" w:hAnsi="Arial"/>
          <w:sz w:val="16"/>
          <w:szCs w:val="16"/>
          <w:color w:val="auto"/>
        </w:rPr>
        <w:t>. Neither the Participant nor any other person shall have any voluntary or involuntary right to commute, sell, assign, pledge, anticipate, mortgage or otherwise encumber, transfer, hypothecate or convey in advance of actual receipt the amounts, if any, payable hereunder, or any part hereof, which are expressly declared to be unassignable and non-transferable. No part of the amounts payable shall be, prior to actual payment, subject to seizure or sequestration for payment of any debts, judgments, alimony or separate maintenance owed by the Participant or any other person, or be transferred by operation of law in the event of the Participant’s or any other person’s bankruptcy or insolvency.</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Withholding for Tax Liability</w:t>
      </w:r>
      <w:r>
        <w:rPr>
          <w:rFonts w:ascii="Arial" w:cs="Arial" w:eastAsia="Arial" w:hAnsi="Arial"/>
          <w:sz w:val="18"/>
          <w:szCs w:val="18"/>
          <w:color w:val="auto"/>
        </w:rPr>
        <w:t>. The Exchange may withhold or cause to be withheld from any payment of benefits made pursuant to the Plan any taxes required to be withheld and such sum as the Exchange may reasonably estimate to be necessary to cover any taxes for which the Exchange may be liable and which may be assessed with regard to such payment.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Cash-Out Election</w:t>
      </w:r>
      <w:r>
        <w:rPr>
          <w:rFonts w:ascii="Arial" w:cs="Arial" w:eastAsia="Arial" w:hAnsi="Arial"/>
          <w:sz w:val="18"/>
          <w:szCs w:val="18"/>
          <w:color w:val="auto"/>
        </w:rPr>
        <w:t>. Prior to a Participant’s termination of active employment with the Exchange, the Participant may make a one-time election (a “Cash-Out Election”) to have the entire nonforfeitable balance of his Account distributed to him, in a single lump sum payment, in cash, within 15 days following the date that such election is filed with the Exchange, subject to the following:</w:t>
      </w:r>
    </w:p>
    <w:p>
      <w:pPr>
        <w:spacing w:after="0" w:line="59" w:lineRule="exact"/>
        <w:rPr>
          <w:sz w:val="20"/>
          <w:szCs w:val="20"/>
          <w:color w:val="auto"/>
        </w:rPr>
      </w:pPr>
    </w:p>
    <w:p>
      <w:pPr>
        <w:ind w:left="900" w:right="60" w:hanging="446"/>
        <w:spacing w:after="0" w:line="256"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Participant’s nonforfeitable Account balance shall be determined under subsection 4.1 of the Plan as though the Participant had terminated from the employ of the Exchange on the date on which the Cash-Out Election is filed and, for this purpose, the accelerated vesting provisions of subsection 4.2 shall not apply even if the Participant has attained age </w:t>
      </w:r>
      <w:r>
        <w:rPr>
          <w:rFonts w:ascii="Arial" w:cs="Arial" w:eastAsia="Arial" w:hAnsi="Arial"/>
          <w:sz w:val="18"/>
          <w:szCs w:val="18"/>
          <w:i w:val="1"/>
          <w:iCs w:val="1"/>
          <w:color w:val="auto"/>
        </w:rPr>
        <w:t>55</w:t>
      </w:r>
      <w:r>
        <w:rPr>
          <w:rFonts w:ascii="Arial" w:cs="Arial" w:eastAsia="Arial" w:hAnsi="Arial"/>
          <w:sz w:val="18"/>
          <w:szCs w:val="18"/>
          <w:color w:val="auto"/>
        </w:rPr>
        <w:t xml:space="preserve"> and completed 15 years of continuous service with the Exchange at the time of his election.</w:t>
      </w:r>
    </w:p>
    <w:p>
      <w:pPr>
        <w:spacing w:after="0" w:line="62" w:lineRule="exact"/>
        <w:rPr>
          <w:rFonts w:ascii="Arial" w:cs="Arial" w:eastAsia="Arial" w:hAnsi="Arial"/>
          <w:sz w:val="18"/>
          <w:szCs w:val="18"/>
          <w:color w:val="auto"/>
        </w:rPr>
      </w:pPr>
    </w:p>
    <w:p>
      <w:pPr>
        <w:ind w:left="900" w:right="60" w:hanging="446"/>
        <w:spacing w:after="0" w:line="298"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amount actually distributed to an electing Participant under this subsection 4.9 shall be equal to the Participant’s nonforfeitable Account balance determined under subparagraph (a) next above, reduced by a penalty amount equal to 10 percent of such nonforfeitable Account balance. The 10 percent penalty amount shall be deducted from the Participant’s Account and forfeited. The portion of the Participant’s Account balance that is not distributable by reason of subsection 4.1 or 4.2 shall then be treated as set forth in subsection 4.10.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53" w:name="page154"/>
    <w:bookmarkEnd w:id="153"/>
    <w:p>
      <w:pPr>
        <w:ind w:left="900" w:right="64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Participant’s Cash-Out Election shall not be effective unless the Participant makes a corresponding election under the Chicago Mercantile Exchange Senior Management Supplemental Deferred Savings Plan.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Forfeitures and Adjustments for Partial Distributions</w:t>
      </w:r>
      <w:r>
        <w:rPr>
          <w:rFonts w:ascii="Arial" w:cs="Arial" w:eastAsia="Arial" w:hAnsi="Arial"/>
          <w:sz w:val="16"/>
          <w:szCs w:val="16"/>
          <w:color w:val="auto"/>
        </w:rPr>
        <w:t>. In the event that a distribution upon an unforeseeable emergency under subsection 4.4 or a distribution pursuant to a Cash-Out Election under subsection 4.9 is made with respect to any Participant, the portion of his Account balance that is not distributable by reason of subsection 4.1 or 4.2 (but not any vested amount that is forfeited as a penalty under subsection 4.9) shall be credited to a “Subaccount” maintained in the Participant’s name which shall be adjusted from time to time in accordance with Section 3.3 based on the assumed investment alternatives selected by the Participant thereunder. Upon the Participant’s subsequent termination of employment or any subsequent distribution to the Participant, the balance in his Subaccount shall be treated as follows:</w:t>
      </w:r>
    </w:p>
    <w:p>
      <w:pPr>
        <w:spacing w:after="0" w:line="39" w:lineRule="exact"/>
        <w:rPr>
          <w:sz w:val="20"/>
          <w:szCs w:val="20"/>
          <w:color w:val="auto"/>
        </w:rPr>
      </w:pPr>
    </w:p>
    <w:p>
      <w:pPr>
        <w:ind w:left="900" w:right="54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Participant’s subsequent termination of employment or distribution occurs after such Subaccount is fully vested and nonforfeitable in accordance with Section 4.1 or 4.2, the balance of such Subaccount shall be distributable to or on behalf of the Participant in accordance with Section 4.</w:t>
      </w:r>
    </w:p>
    <w:p>
      <w:pPr>
        <w:spacing w:after="0" w:line="59"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Participant’s subsequent termination of employment or distribution occurs before the balance of the Subaccount is fully vested, the nonforfeitable balance in the Subaccount shall be an amount determined as follows:</w:t>
      </w:r>
    </w:p>
    <w:p>
      <w:pPr>
        <w:spacing w:after="0" w:line="50" w:lineRule="exact"/>
        <w:rPr>
          <w:rFonts w:ascii="Arial" w:cs="Arial" w:eastAsia="Arial" w:hAnsi="Arial"/>
          <w:sz w:val="18"/>
          <w:szCs w:val="18"/>
          <w:color w:val="auto"/>
        </w:rPr>
      </w:pPr>
    </w:p>
    <w:p>
      <w:pPr>
        <w:jc w:val="both"/>
        <w:ind w:left="1480" w:right="40" w:hanging="567"/>
        <w:spacing w:after="0" w:line="357" w:lineRule="auto"/>
        <w:tabs>
          <w:tab w:leader="none" w:pos="1480"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an amount equal to the nonforfeitable balance of his Account at the time of the previous distribution upon an unforeseeable emergency or Cash-out Election (including the 10 percent penalty amount in the case of a Cash-Out Election) shall be added to his Subaccount balance;</w:t>
      </w:r>
    </w:p>
    <w:p>
      <w:pPr>
        <w:ind w:left="1480" w:right="120" w:hanging="567"/>
        <w:spacing w:after="0" w:line="259"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next</w:t>
      </w:r>
      <w:r>
        <w:rPr>
          <w:rFonts w:ascii="Arial" w:cs="Arial" w:eastAsia="Arial" w:hAnsi="Arial"/>
          <w:sz w:val="18"/>
          <w:szCs w:val="18"/>
          <w:color w:val="auto"/>
        </w:rPr>
        <w:t>, his Subaccount balance, as adjusted under subparagraph (i) next above, shall be reduced to an amount equal to the product of such balance multiplied by his vested percentage determined under Section 4.1 or 4.2, as applicable, at the time of the subsequent termination or distribution; and</w:t>
      </w:r>
    </w:p>
    <w:p>
      <w:pPr>
        <w:spacing w:after="0" w:line="59" w:lineRule="exact"/>
        <w:rPr>
          <w:rFonts w:ascii="Arial" w:cs="Arial" w:eastAsia="Arial" w:hAnsi="Arial"/>
          <w:sz w:val="18"/>
          <w:szCs w:val="18"/>
          <w:color w:val="auto"/>
        </w:rPr>
      </w:pPr>
    </w:p>
    <w:p>
      <w:pPr>
        <w:ind w:left="1480" w:right="360" w:hanging="567"/>
        <w:spacing w:after="0" w:line="268"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the adjusted Subaccount balance, as determined under subparagraph (ii) next above, shall be reduced (but not below zero) by an amount equal to the amount added to his Subaccount balance under subparagraph (i) next above.</w:t>
      </w:r>
    </w:p>
    <w:p>
      <w:pPr>
        <w:spacing w:after="0" w:line="51"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amount determined after the foregoing adjustments shall be nonforfeitable and distributable to or for his benefit in accordance with Section 4. The portion of his Subaccount balance, if any, which is not vested in accordance with this Section 4.10 shall be forfeited if the Participant has terminated active employment with the Exchange, or, if the Participant’s employment has not terminated, shall continue to be adjusted in accordance with Section 3.3, and shall be further adjusted under this Section 4.10 upon the Participant’s subsequent termination of employment or any subsequent distribution in accordance with the terms of the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54" w:name="page155"/>
    <w:bookmarkEnd w:id="154"/>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provisions of this Section 4.10, and without limiting the amending authority reserved to the Exchange by the provisions of Section 5.1 of the Plan, the Exchange may amend this Section 4.10 at any time and in any respect, even as to amounts previously credited to a Participant’s Account, to the extent that the Exchange determines that such amendment is necessary or desirable by reason of any change in tax laws or regulations or interpretations thereof; provided, however, that no such amendment shall apply with respect to amounts actually distributed under this Section 4.10 before the later of the date on which the amendment is adopted or effective.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and Termination; 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Exchange may amend or terminate the Plan at any time and from time to time, and retroactively if deemed necessary or appropriate.</w:t>
      </w:r>
    </w:p>
    <w:p>
      <w:pPr>
        <w:spacing w:after="0" w:line="194" w:lineRule="exact"/>
        <w:rPr>
          <w:rFonts w:ascii="Arial" w:cs="Arial" w:eastAsia="Arial" w:hAnsi="Arial"/>
          <w:sz w:val="16"/>
          <w:szCs w:val="16"/>
          <w:color w:val="auto"/>
        </w:rPr>
      </w:pPr>
    </w:p>
    <w:p>
      <w:pPr>
        <w:jc w:val="both"/>
        <w:ind w:right="100" w:firstLine="921"/>
        <w:spacing w:after="0" w:line="298" w:lineRule="auto"/>
        <w:tabs>
          <w:tab w:leader="none" w:pos="1162"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amendment of the Plan shall be effected either (i) by resolution of the Compensation Committee or its successor, or (ii) by resolution of the Retirement Committee; provided, however, that only the Compensation Committee or its successor is authorized to approve an amendment that is anticipated to result in a material impact to the Exchange unless it otherwise acts to delegate this responsibility; and provided further that the Retirement Committee may adopt minor or administrative amendments to the Plan, including amendments to comply with applicable laws.</w:t>
      </w:r>
    </w:p>
    <w:p>
      <w:pPr>
        <w:spacing w:after="0" w:line="112" w:lineRule="exact"/>
        <w:rPr>
          <w:rFonts w:ascii="Arial" w:cs="Arial" w:eastAsia="Arial" w:hAnsi="Arial"/>
          <w:sz w:val="16"/>
          <w:szCs w:val="16"/>
          <w:color w:val="auto"/>
        </w:rPr>
      </w:pPr>
    </w:p>
    <w:p>
      <w:pPr>
        <w:ind w:right="400" w:firstLine="921"/>
        <w:spacing w:after="0" w:line="259" w:lineRule="auto"/>
        <w:tabs>
          <w:tab w:leader="none" w:pos="11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Plan termination shall be effected by resolution of the Compensation Committee or its successor. In the event of a termination of the Plan, Participants’ vested Account balances shall be distributed in such manner as the Plan Administrator shall determine consistent with the requirements of Section 409A of the Code.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Exchange, its parents, subsidiaries, and affiliates, the Board of Directors of any of the foregoing, any officer, employer or agent of any of the foregoing, and the members of the Retirement Committee shall not incur any liability individually or on behalf of any other individuals or on behalf of the Exchange or its parents, subsidiaries, or affiliates for any act, or failure to act, made in good faith in relation to the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20th day of December,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MERCANTILE EXCHANGE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Hilda Harris Piell</w:t>
            </w:r>
          </w:p>
        </w:tc>
      </w:tr>
      <w:tr>
        <w:trPr>
          <w:trHeight w:val="3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180" w:type="dxa"/>
            <w:vAlign w:val="bottom"/>
          </w:tcPr>
          <w:p>
            <w:pPr>
              <w:spacing w:after="0"/>
              <w:rPr>
                <w:sz w:val="20"/>
                <w:szCs w:val="20"/>
                <w:color w:val="auto"/>
              </w:rPr>
            </w:pPr>
            <w:r>
              <w:rPr>
                <w:rFonts w:ascii="Arial" w:cs="Arial" w:eastAsia="Arial" w:hAnsi="Arial"/>
                <w:sz w:val="18"/>
                <w:szCs w:val="18"/>
                <w:color w:val="auto"/>
              </w:rPr>
              <w:t>MD &amp; Chief Organizational Development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5" w:name="page156"/>
    <w:bookmarkEnd w:id="15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CHICAGO MERCANTILE EXCHANGE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SUPPLEMENTAL EXECUTIVE RETIREMENT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Amended and Restated Effective January 1, 2008)</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SECTION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History, Purpose and Effective Date</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88"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Chicago Mercantile Exchange Inc. Amended and Restated Supplemental Executive Retirement Plan (the “Plan”) was established, effective as of January 1, 1993, by Chicago Mercantile Exchange, an Illinois not-for-profit corporation (“CME”), to provide its eligible key management employees with an opportunity to receive additional retirement income. Pursuant to a series of demutualization transactions and an agreement and plan of merger, effective as of November 13, 2000, Chicago Mercantile Exchange Inc., a shareholder-owned, for-profit Delaware corporation (the “Exchange”) succeeded to the assets, liabilities and business of CME and to the power, authority and responsibility of CME under and with respect to the Plan. Effective as of December 3, 2001, pursuant to a further corporate reorganization, the Exchange became a wholly-owned subsidiary of Chicago Mercantile Exchange Holdings Inc. (“CME Holdings”). The Plan is intended to constitute a plan maintained primarily for the purpose of providing deferred compensation for a select group of management or highly compensated employees within the meaning of Sections 201(2), 301(a)(3) and 401(a)(l) of the Employee Retirement Income Security Act of 1974, as amended (“ERISA”).</w:t>
      </w:r>
    </w:p>
    <w:p>
      <w:pPr>
        <w:spacing w:after="0" w:line="119" w:lineRule="exact"/>
        <w:rPr>
          <w:rFonts w:ascii="Arial" w:cs="Arial" w:eastAsia="Arial" w:hAnsi="Arial"/>
          <w:sz w:val="16"/>
          <w:szCs w:val="16"/>
          <w:color w:val="auto"/>
        </w:rPr>
      </w:pPr>
    </w:p>
    <w:p>
      <w:pPr>
        <w:ind w:firstLine="921"/>
        <w:spacing w:after="0" w:line="259"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Plan was amended and restated effective January 1, 2005 to reflect interim Internal Revenue Service guidance under Section 409A of the Internal Revenue Code of 1986, as amended (the “Code”). Effective as of January 1, 2008 (the “Effective Date”), the Plan is hereby further amended and restated to comply with final regulations under Section 409A of the Code.</w:t>
      </w:r>
    </w:p>
    <w:p>
      <w:pPr>
        <w:spacing w:after="0" w:line="140" w:lineRule="exact"/>
        <w:rPr>
          <w:rFonts w:ascii="Arial" w:cs="Arial" w:eastAsia="Arial" w:hAnsi="Arial"/>
          <w:sz w:val="18"/>
          <w:szCs w:val="18"/>
          <w:color w:val="auto"/>
        </w:rPr>
      </w:pPr>
    </w:p>
    <w:p>
      <w:pPr>
        <w:ind w:right="40" w:firstLine="921"/>
        <w:spacing w:after="0" w:line="298"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terms of the Plan as in effect prior to January 1, 2005, as modified and set forth in the document entitled “Chicago Mercantile Exchange Inc. Grandfathered Supplemental Executive Retirement Plan” (the “Pre-2005 Plan”), shall apply to the portion (if any) of a Participant’s Account that was vested as of December 31, 2004, including credited earnings and losses with respect thereto (the “Grandfathered Account”), and the provisions of this amended and restated Plan shall not apply to such Grandfathered Account.</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Plan Freeze</w:t>
      </w:r>
      <w:r>
        <w:rPr>
          <w:rFonts w:ascii="Arial" w:cs="Arial" w:eastAsia="Arial" w:hAnsi="Arial"/>
          <w:sz w:val="18"/>
          <w:szCs w:val="18"/>
          <w:color w:val="auto"/>
        </w:rPr>
        <w:t>. Effective for Plan Years beginning on or after January 1, 2006, the Plan has been frozen and no further Deferred Compensation Credits shall be awarded.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921"/>
        <w:spacing w:after="0" w:line="259" w:lineRule="auto"/>
        <w:tabs>
          <w:tab w:leader="none" w:pos="11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Retirement Committee (the “Retirement Committee”) appointed by the Compensation Committee (the “Compensation Committee”) of the Board of Directors of the Exchange is the Plan Administrator of the Plan. If the Compensation Committee fails to act to appoint the members of the Retirement Committee, then the Compensation Committee will be deemed to be</w:t>
      </w:r>
    </w:p>
    <w:p>
      <w:pPr>
        <w:sectPr>
          <w:pgSz w:w="11900" w:h="16838" w:orient="portrait"/>
          <w:cols w:equalWidth="0" w:num="1">
            <w:col w:w="11360"/>
          </w:cols>
          <w:pgMar w:left="240" w:top="280" w:right="299" w:bottom="1440" w:gutter="0" w:footer="0" w:header="0"/>
        </w:sectPr>
      </w:pPr>
    </w:p>
    <w:bookmarkStart w:id="156" w:name="page157"/>
    <w:bookmarkEnd w:id="15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Retirement Committee hereunder. The Plan Administrator shall from time to time adopt rules for the administration of the Plan and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 the Plan, and whether a claimant is eligible for benefits under the Plan, the determination of the amount of benefits, if any, a claimant is entitled to receive, and making any other determinations which it believes necessary or advisable for the administration and operation of the Plan. Any such decision or action shall be final and binding upon all Participants and beneficiaries, and benefits under the Plan shall be paid only if the Plan Administrator decides in its discretion that the claimant is entitled to them. The Plan Administrator’s decision or action in respect of any of the above shall be conclusive and binding upon all Participants and their beneficiaries, heirs, assigns, administrators, executors and any other person claiming through or under them, subject to such individual’s rights to a review of the denial of any benefit claim under the claims procedure set forth in Section 1.12.</w:t>
      </w:r>
    </w:p>
    <w:p>
      <w:pPr>
        <w:spacing w:after="0" w:line="123" w:lineRule="exact"/>
        <w:rPr>
          <w:sz w:val="20"/>
          <w:szCs w:val="20"/>
          <w:color w:val="auto"/>
        </w:rPr>
      </w:pPr>
    </w:p>
    <w:p>
      <w:pPr>
        <w:ind w:firstLine="921"/>
        <w:spacing w:after="0" w:line="291" w:lineRule="auto"/>
        <w:tabs>
          <w:tab w:leader="none" w:pos="1162"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providing for the administration of the Plan, the Plan Administrator may delegate responsibilities for the operation and administration of the Plan by written document filed with the Plan records. Any such delegation may be revoked at any time. The Secretary of the Exchange (or, on behalf of the Secretary of the Exchange, any Corporate Secretary or Assistant Secretary) shall certify to any interested person the names of the employees of the Exchange who are, from time to time, authorized to act on behalf of the Plan Administrator and who are responsible for the day-to-day operation and administration of the Plan. The Plan Administrator may appoint and compensate such specialists to aid it in the administration of the Plan and arrange for such other services as it considers necessary or appropriate to carry out the provisions of the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Plan Year</w:t>
      </w:r>
      <w:r>
        <w:rPr>
          <w:rFonts w:ascii="Arial" w:cs="Arial" w:eastAsia="Arial" w:hAnsi="Arial"/>
          <w:sz w:val="18"/>
          <w:szCs w:val="18"/>
          <w:color w:val="auto"/>
        </w:rPr>
        <w:t>. The term “Plan Year” means the calendar year.</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Source of Benefit Payments</w:t>
      </w:r>
      <w:r>
        <w:rPr>
          <w:rFonts w:ascii="Arial" w:cs="Arial" w:eastAsia="Arial" w:hAnsi="Arial"/>
          <w:sz w:val="15"/>
          <w:szCs w:val="15"/>
          <w:color w:val="auto"/>
        </w:rPr>
        <w:t>. Subject to the terms and conditions of the Plan, any amount payable to or on account of a Participant under this Plan shall be paid from the general assets of the Exchange or from one or more trusts, the assets of which are subject to the claims of the Exchange’s general creditors. The amounts payable hereunder shall be reflected on the accounting records of the Exchange but shall not be construed to create, or require the creation of, a trust, custodial or escrow account. None of the individuals entitled to benefits under the Plan shall have any preferred claim on, or any beneficial ownership interest in, any assets of the Exchange or to any investment reserves, accounts, trusts or funds that the Exchange may purchase, establish or accumulate to aid in providing the benefits under the Plan, and any rights of such individuals under the Plan shall constitute unsecured contractual rights only. Nothing contained in the Plan shall constitute a guarantee by the Exchange that the assets of the Exchange shall be sufficient to pay any benefits to any person. Nothing contained in the Plan and no action taken pursuant to its provisions shall create a trust or fiduciary relationship of any kind between the Exchange and an employee or any other person.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Exchange.</w:t>
      </w:r>
    </w:p>
    <w:p>
      <w:pPr>
        <w:sectPr>
          <w:pgSz w:w="11900" w:h="16838" w:orient="portrait"/>
          <w:cols w:equalWidth="0" w:num="1">
            <w:col w:w="11420"/>
          </w:cols>
          <w:pgMar w:left="240" w:top="280" w:right="239" w:bottom="1440" w:gutter="0" w:footer="0" w:header="0"/>
        </w:sectPr>
      </w:pPr>
    </w:p>
    <w:bookmarkStart w:id="157" w:name="page158"/>
    <w:bookmarkEnd w:id="157"/>
    <w:p>
      <w:pPr>
        <w:ind w:right="4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 </w:t>
      </w:r>
      <w:r>
        <w:rPr>
          <w:rFonts w:ascii="Arial" w:cs="Arial" w:eastAsia="Arial" w:hAnsi="Arial"/>
          <w:sz w:val="18"/>
          <w:szCs w:val="18"/>
          <w:u w:val="single" w:color="auto"/>
          <w:color w:val="auto"/>
        </w:rPr>
        <w:t>Effect on Other Benefit Plans</w:t>
      </w:r>
      <w:r>
        <w:rPr>
          <w:rFonts w:ascii="Arial" w:cs="Arial" w:eastAsia="Arial" w:hAnsi="Arial"/>
          <w:sz w:val="18"/>
          <w:szCs w:val="18"/>
          <w:color w:val="auto"/>
        </w:rPr>
        <w:t>. Any amounts credited or paid under this Plan shall not be considered to be compensation for the purposes of any qualified plan (within the meaning of Section 401(a) of the Code) maintained by the Exchange. The treatment of such amounts under other employee benefit plans shall be in accordance with the provisions of such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Applicable Laws</w:t>
      </w:r>
      <w:r>
        <w:rPr>
          <w:rFonts w:ascii="Arial" w:cs="Arial" w:eastAsia="Arial" w:hAnsi="Arial"/>
          <w:sz w:val="18"/>
          <w:szCs w:val="18"/>
          <w:color w:val="auto"/>
        </w:rPr>
        <w:t>. The Plan shall be construed and administered in accordance with the laws of the State of Illinois.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document required to be given to or filed with the Plan Administrator will be properly filed if delivered or mailed by registered mail, postage prepaid, to the Secretary of the Exchange, at its principal executive offices. The Plan Administrator may, by advance written notice to affected persons, revise such notice procedure from time to time. Any notice required under the Plan may be waived by the person entitled to notice.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9" w:lineRule="auto"/>
        <w:tabs>
          <w:tab w:leader="none" w:pos="115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the Plan, a claim for a benefit is a written application for a benefit filed with the Plan Administrator. In the event that any Participant or 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 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the time limits applicable to those procedures, including a statement of the claimant’s right to bring a civil action under ERISA Section 502(a) following the denial of his claim on review.</w:t>
      </w:r>
    </w:p>
    <w:p>
      <w:pPr>
        <w:spacing w:after="0" w:line="118"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Plan Administrator requests additional information from a claimant prior to an initial determination or a determination on appeal, the Plan Administrator will notify the claimant and permit the claimant to have 45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143" w:lineRule="exact"/>
        <w:rPr>
          <w:rFonts w:ascii="Arial" w:cs="Arial" w:eastAsia="Arial" w:hAnsi="Arial"/>
          <w:sz w:val="18"/>
          <w:szCs w:val="18"/>
          <w:color w:val="auto"/>
        </w:rPr>
      </w:pPr>
    </w:p>
    <w:p>
      <w:pPr>
        <w:ind w:right="240" w:firstLine="921"/>
        <w:spacing w:after="0" w:line="259" w:lineRule="auto"/>
        <w:tabs>
          <w:tab w:leader="none" w:pos="11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Within 60 days after the mailing or delivery by the Plan Administrator or its designee of such notice, such claimant may request, by mailing or delivery of written notice to the Plan Administrator, a review by the Plan Administrator of the decision denying the claim. The claimant may submit written comments, documents, records and other information relating to his claim, whether or not</w:t>
      </w:r>
    </w:p>
    <w:p>
      <w:pPr>
        <w:sectPr>
          <w:pgSz w:w="11900" w:h="16838" w:orient="portrait"/>
          <w:cols w:equalWidth="0" w:num="1">
            <w:col w:w="11420"/>
          </w:cols>
          <w:pgMar w:left="240" w:top="280" w:right="239" w:bottom="1440" w:gutter="0" w:footer="0" w:header="0"/>
        </w:sectPr>
      </w:pPr>
    </w:p>
    <w:bookmarkStart w:id="158" w:name="page159"/>
    <w:bookmarkEnd w:id="158"/>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132" w:lineRule="exact"/>
        <w:rPr>
          <w:sz w:val="20"/>
          <w:szCs w:val="20"/>
          <w:color w:val="auto"/>
        </w:rPr>
      </w:pPr>
    </w:p>
    <w:p>
      <w:pPr>
        <w:ind w:right="180" w:firstLine="921"/>
        <w:spacing w:after="0" w:line="268" w:lineRule="auto"/>
        <w:tabs>
          <w:tab w:leader="none" w:pos="11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claimant fails to request such a review within such 60-day period, it shall be conclusively determined for all purposes of this Plan that the denial of such claim by the Plan Administrator is correct.</w:t>
      </w:r>
    </w:p>
    <w:p>
      <w:pPr>
        <w:spacing w:after="0" w:line="131" w:lineRule="exact"/>
        <w:rPr>
          <w:rFonts w:ascii="Arial" w:cs="Arial" w:eastAsia="Arial" w:hAnsi="Arial"/>
          <w:sz w:val="18"/>
          <w:szCs w:val="18"/>
          <w:color w:val="auto"/>
        </w:rPr>
      </w:pPr>
    </w:p>
    <w:p>
      <w:pPr>
        <w:ind w:right="140" w:firstLine="921"/>
        <w:spacing w:after="0" w:line="290" w:lineRule="auto"/>
        <w:tabs>
          <w:tab w:leader="none" w:pos="11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After such review, the Plan Administrator shall determine whether such denial of the claim was correct and shall notify such claimant in writing of its 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(c) a statement that the claimant is entitled to receive, upon written request and free of charge, reasonable access to and copies of all documents, records and other information relevant to his claim for benefits; and (d) a statement of any voluntary appeal procedures offered by the Plan and the claimant’s right to obtain information about the procedures and to bring a civil action under ERISA Section 502(a).</w:t>
      </w: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2</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Participation</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Participant</w:t>
      </w:r>
      <w:r>
        <w:rPr>
          <w:rFonts w:ascii="Arial" w:cs="Arial" w:eastAsia="Arial" w:hAnsi="Arial"/>
          <w:sz w:val="16"/>
          <w:szCs w:val="16"/>
          <w:color w:val="auto"/>
        </w:rPr>
        <w:t>. The key employees of the Exchange eligible to participate in the Plan and the conditions for such participation shall be established, from time to time, by the Exchange; provided, however, that Participants shall be limited to a select group of management or highly compensated employees within the meaning of Sections 201(1), 301(a)(3) and 401(a)(l) of ERISA. If the Exchange determines that participation by one or more Participants shall cause the Plan to be subject to Part 2, 3 or 4 of Title I of ERISA, the entire interest of such Participant or Participants under the Plan shall be segregated from the Plan in the discretion of the Exchange, and such Participant or Participants shall cease to have any interest under the Plan.</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Plan Not Contract of Employment</w:t>
      </w:r>
      <w:r>
        <w:rPr>
          <w:rFonts w:ascii="Arial" w:cs="Arial" w:eastAsia="Arial" w:hAnsi="Arial"/>
          <w:sz w:val="18"/>
          <w:szCs w:val="18"/>
          <w:color w:val="auto"/>
        </w:rPr>
        <w:t>. The Plan does not constitute a contract of employment, and participation in the Plan will not give any employee the right to be retained in the employ of the Exchange nor any right or claim to any benefit under the Plan, unless such right or claim has specifically accrued under the terms of the Plan.</w:t>
      </w:r>
    </w:p>
    <w:p>
      <w:pPr>
        <w:spacing w:after="0" w:line="302"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3</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Plan Benefits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Deferred Compensation Accounts</w:t>
      </w:r>
      <w:r>
        <w:rPr>
          <w:rFonts w:ascii="Arial" w:cs="Arial" w:eastAsia="Arial" w:hAnsi="Arial"/>
          <w:sz w:val="18"/>
          <w:szCs w:val="18"/>
          <w:color w:val="auto"/>
        </w:rPr>
        <w:t>. The Plan Administrator shall maintain, or cause to be maintained, an Account in the name of each Participant which shall reflect the sum of the following amounts: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amount of Deferred Compensation Credits to be credited to the Participant’s Account in accordance with Section 3.2; and</w:t>
      </w:r>
    </w:p>
    <w:p>
      <w:pPr>
        <w:sectPr>
          <w:pgSz w:w="11900" w:h="16838" w:orient="portrait"/>
          <w:cols w:equalWidth="0" w:num="1">
            <w:col w:w="11420"/>
          </w:cols>
          <w:pgMar w:left="240" w:top="280" w:right="239" w:bottom="1440" w:gutter="0" w:footer="0" w:header="0"/>
        </w:sectPr>
      </w:pPr>
    </w:p>
    <w:bookmarkStart w:id="159" w:name="page160"/>
    <w:bookmarkEnd w:id="15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assumed rate of earnings to be credited to the Participant’s Account in accordance with Section 3.3.</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beginning balance of each Participant’s Account on the Effective Date shall be the amount credited to him under the Plan as in effect immediately prior to the Effective Date; provided, however, that the portion of the Participant’s Account consisting of the Participant’s Grandfathered Account shall be segregated and shall be subject to the provisions of the Pre-2005 Plan as provided under Section 1.1(c).</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Deferred Compensation Credits</w:t>
      </w:r>
      <w:r>
        <w:rPr>
          <w:rFonts w:ascii="Arial" w:cs="Arial" w:eastAsia="Arial" w:hAnsi="Arial"/>
          <w:sz w:val="18"/>
          <w:szCs w:val="18"/>
          <w:color w:val="auto"/>
        </w:rPr>
        <w:t>. Unless otherwise determined by the Compensation Committee, for each Plan Year beginning on or after January 1, 2003 and prior to January 1, 2006, three percent of each Participant’s base earnings and bonus paid in such Plan Year shall be awarded as Deferred Compensation Credits. The amount of Deferred Compensation Credits awarded to a Participant for any such Plan Year shall be credited to his Account as of the first business day of the next following Plan Year. No further Deferred Compensation Credits shall be awarded under the Plan for Plan Years beginning on or after January 1, 2006.</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Adjustment of Accounts</w:t>
      </w:r>
      <w:r>
        <w:rPr>
          <w:rFonts w:ascii="Arial" w:cs="Arial" w:eastAsia="Arial" w:hAnsi="Arial"/>
          <w:sz w:val="16"/>
          <w:szCs w:val="16"/>
          <w:color w:val="auto"/>
        </w:rPr>
        <w:t>. The amounts credited to a Participant’s Account in accordance with Section 3.2 shall be adjusted from time to time in accordance with uniform procedures established by the Plan Administrator to reflect the value of an investment equal to the Participant’s Account balance in one or more assumed investments that the Plan Administrator offers from time to time, and which the Participant directs the Plan Administrator to use for purposes of adjusting his Account. In the event a Participant fails to provide such direction, the Participant’s Account shall be adjusted on the basis of such default investment as the Plan Administrator shall establish from time to time. Amounts credited pursuant to this Section 3.3 shall be determined without regard to taxes that would be payable with respect to any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 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289"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SECTION 4</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Payment of Plan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Vesting</w:t>
      </w:r>
      <w:r>
        <w:rPr>
          <w:rFonts w:ascii="Arial" w:cs="Arial" w:eastAsia="Arial" w:hAnsi="Arial"/>
          <w:sz w:val="18"/>
          <w:szCs w:val="18"/>
          <w:color w:val="auto"/>
        </w:rPr>
        <w:t>. A Participant’s vested interest in his Account shall be determined as follows:</w:t>
      </w:r>
    </w:p>
    <w:p>
      <w:pPr>
        <w:spacing w:after="0" w:line="90" w:lineRule="exact"/>
        <w:rPr>
          <w:sz w:val="20"/>
          <w:szCs w:val="20"/>
          <w:color w:val="auto"/>
        </w:rPr>
      </w:pPr>
    </w:p>
    <w:p>
      <w:pPr>
        <w:ind w:right="80" w:firstLine="921"/>
        <w:spacing w:after="0" w:line="259" w:lineRule="auto"/>
        <w:tabs>
          <w:tab w:leader="none" w:pos="11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Participant shall have at all times a fully vested and nonforfeitable interest in (i) the amount of any Deferred Compensation Credits credited to the Participant’s Account on or before December 31, 1996, and (ii) any assumed investment adjustment theretofore or thereafter credited with respect to such Deferred Compensation Credits under Section 3.3.</w:t>
      </w:r>
    </w:p>
    <w:p>
      <w:pPr>
        <w:sectPr>
          <w:pgSz w:w="11900" w:h="16838" w:orient="portrait"/>
          <w:cols w:equalWidth="0" w:num="1">
            <w:col w:w="11400"/>
          </w:cols>
          <w:pgMar w:left="240" w:top="280" w:right="259" w:bottom="1440" w:gutter="0" w:footer="0" w:header="0"/>
        </w:sectPr>
      </w:pPr>
    </w:p>
    <w:bookmarkStart w:id="160" w:name="page161"/>
    <w:bookmarkEnd w:id="160"/>
    <w:p>
      <w:pPr>
        <w:ind w:right="380" w:firstLine="921"/>
        <w:spacing w:after="0" w:line="259" w:lineRule="auto"/>
        <w:tabs>
          <w:tab w:leader="none" w:pos="11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Participant shall have a fully vested and nonforfeitable interest in the amount of any Deferred Compensation Credits credited to the Participant’s Account in accordance with Section 3.2 on or after January 1, 2004 (and any assumed investment adjustments thereon) upon completion of five Years of Vesting Service (as described below).</w:t>
      </w:r>
    </w:p>
    <w:p>
      <w:pPr>
        <w:spacing w:after="0" w:line="140" w:lineRule="exact"/>
        <w:rPr>
          <w:rFonts w:ascii="Arial" w:cs="Arial" w:eastAsia="Arial" w:hAnsi="Arial"/>
          <w:sz w:val="18"/>
          <w:szCs w:val="18"/>
          <w:color w:val="auto"/>
        </w:rPr>
      </w:pPr>
    </w:p>
    <w:p>
      <w:pPr>
        <w:ind w:firstLine="921"/>
        <w:spacing w:after="0" w:line="291" w:lineRule="auto"/>
        <w:tabs>
          <w:tab w:leader="none" w:pos="115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Participant shall have a fully vested and nonforfeitable interest in the amount of any Deferred Compensation Credits credited to the Participant’s Account in accordance with Section 3.2 on or after January 1, 1997 and before January 1, 2004 (“Post-1996 Credits”), and any assumed investment adjustments thereon, as of December 10 of the fourth Plan Year following the Plan Year as of which such Deferred Compensation Credits are credited to the Participant’s Account. Prior thereto, the amount of any Post-1996 Credits (and any assumed investment adjustments thereon) shall be vested and nonforfeitable as of December 10th of the Plan Year that follows the Plan Year as of which such Post-1996 Credits were credited to the Participant’s Account by the number of Plan Years determined in accordance with the following schedule:</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b w:val="1"/>
                <w:bCs w:val="1"/>
                <w:color w:val="auto"/>
                <w:w w:val="94"/>
              </w:rPr>
              <w:t>Number of Plan Years following the</w:t>
            </w:r>
          </w:p>
        </w:tc>
        <w:tc>
          <w:tcPr>
            <w:tcW w:w="134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Plan Year as of which the Post-1996</w:t>
            </w:r>
          </w:p>
        </w:tc>
        <w:tc>
          <w:tcPr>
            <w:tcW w:w="134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8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Credits were credited to his Account</w:t>
            </w:r>
          </w:p>
        </w:tc>
        <w:tc>
          <w:tcPr>
            <w:tcW w:w="1340" w:type="dxa"/>
            <w:vAlign w:val="bottom"/>
          </w:tcPr>
          <w:p>
            <w:pPr>
              <w:spacing w:after="0"/>
              <w:rPr>
                <w:sz w:val="15"/>
                <w:szCs w:val="15"/>
                <w:color w:val="auto"/>
              </w:rPr>
            </w:pPr>
          </w:p>
        </w:tc>
        <w:tc>
          <w:tcPr>
            <w:tcW w:w="29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The vested percentage shall be</w:t>
            </w:r>
          </w:p>
        </w:tc>
      </w:tr>
      <w:tr>
        <w:trPr>
          <w:trHeight w:val="195"/>
        </w:trPr>
        <w:tc>
          <w:tcPr>
            <w:tcW w:w="2240" w:type="dxa"/>
            <w:vAlign w:val="bottom"/>
          </w:tcPr>
          <w:p>
            <w:pPr>
              <w:spacing w:after="0" w:line="195" w:lineRule="exact"/>
              <w:rPr>
                <w:sz w:val="20"/>
                <w:szCs w:val="20"/>
                <w:color w:val="auto"/>
              </w:rPr>
            </w:pPr>
            <w:r>
              <w:rPr>
                <w:rFonts w:ascii="Arial" w:cs="Arial" w:eastAsia="Arial" w:hAnsi="Arial"/>
                <w:sz w:val="18"/>
                <w:szCs w:val="18"/>
                <w:color w:val="auto"/>
              </w:rPr>
              <w:t>Four Plan Years</w:t>
            </w:r>
          </w:p>
        </w:tc>
        <w:tc>
          <w:tcPr>
            <w:tcW w:w="1340" w:type="dxa"/>
            <w:vAlign w:val="bottom"/>
          </w:tcPr>
          <w:p>
            <w:pPr>
              <w:spacing w:after="0"/>
              <w:rPr>
                <w:sz w:val="16"/>
                <w:szCs w:val="16"/>
                <w:color w:val="auto"/>
              </w:rPr>
            </w:pPr>
          </w:p>
        </w:tc>
        <w:tc>
          <w:tcPr>
            <w:tcW w:w="2940" w:type="dxa"/>
            <w:vAlign w:val="bottom"/>
          </w:tcPr>
          <w:p>
            <w:pPr>
              <w:jc w:val="right"/>
              <w:ind w:right="1102"/>
              <w:spacing w:after="0" w:line="195" w:lineRule="exact"/>
              <w:rPr>
                <w:sz w:val="20"/>
                <w:szCs w:val="20"/>
                <w:color w:val="auto"/>
              </w:rPr>
            </w:pPr>
            <w:r>
              <w:rPr>
                <w:rFonts w:ascii="Arial" w:cs="Arial" w:eastAsia="Arial" w:hAnsi="Arial"/>
                <w:sz w:val="18"/>
                <w:szCs w:val="18"/>
                <w:color w:val="auto"/>
              </w:rPr>
              <w:t>100%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Three Plan Years</w:t>
            </w:r>
          </w:p>
        </w:tc>
        <w:tc>
          <w:tcPr>
            <w:tcW w:w="4280" w:type="dxa"/>
            <w:vAlign w:val="bottom"/>
            <w:gridSpan w:val="2"/>
          </w:tcPr>
          <w:p>
            <w:pPr>
              <w:jc w:val="right"/>
              <w:ind w:right="1122"/>
              <w:spacing w:after="0" w:line="217" w:lineRule="exact"/>
              <w:rPr>
                <w:sz w:val="20"/>
                <w:szCs w:val="20"/>
                <w:color w:val="auto"/>
              </w:rPr>
            </w:pP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Two Plan Years</w:t>
            </w:r>
          </w:p>
        </w:tc>
        <w:tc>
          <w:tcPr>
            <w:tcW w:w="4280" w:type="dxa"/>
            <w:vAlign w:val="bottom"/>
            <w:gridSpan w:val="2"/>
          </w:tcPr>
          <w:p>
            <w:pPr>
              <w:jc w:val="right"/>
              <w:ind w:right="1122"/>
              <w:spacing w:after="0" w:line="217" w:lineRule="exact"/>
              <w:rPr>
                <w:sz w:val="20"/>
                <w:szCs w:val="20"/>
                <w:color w:val="auto"/>
              </w:rPr>
            </w:pPr>
            <w:r>
              <w:rPr>
                <w:rFonts w:ascii="Arial" w:cs="Arial" w:eastAsia="Arial" w:hAnsi="Arial"/>
                <w:sz w:val="18"/>
                <w:szCs w:val="18"/>
                <w:color w:val="auto"/>
              </w:rPr>
              <w:t xml:space="preserve">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One Plan Year</w:t>
            </w:r>
          </w:p>
        </w:tc>
        <w:tc>
          <w:tcPr>
            <w:tcW w:w="4280" w:type="dxa"/>
            <w:vAlign w:val="bottom"/>
            <w:gridSpan w:val="2"/>
          </w:tcPr>
          <w:p>
            <w:pPr>
              <w:jc w:val="right"/>
              <w:ind w:right="1142"/>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Participant’s Years of Vesting Service as of any date shall be equal to the number of years of service credited to the Participant for vesting purposes as of such date under the provisions of the Pension Plan for Employees of the Chicago Mercantile Exchange Inc. (the “Pension Plan”) or, in the case of a Participant who is not eligible to participate in the Pension Plan, the number of years of service that would be credited to the Participant for vesting purposes under the Pension Plan as of such date if the Participant were eligible to participate in the Pension Plan. The unvested portion of a Participant’s Account shall be forfeited upon the Participant’s separation from service.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Accelerated Vesting</w:t>
      </w:r>
      <w:r>
        <w:rPr>
          <w:rFonts w:ascii="Arial" w:cs="Arial" w:eastAsia="Arial" w:hAnsi="Arial"/>
          <w:sz w:val="16"/>
          <w:szCs w:val="16"/>
          <w:color w:val="auto"/>
        </w:rPr>
        <w:t>. Notwithstanding the provisions of Section 4.1, if a Participant’s separation from service with the Exchange occurs on account of his death, retirement after attaining age 55 years and completing 15 years of continuous service with the Exchange, or disability, the amount of any Post-1996 Credits (and any assumed investment adjustments thereon) not theretofore vested shall be vested and nonforfeitable as of December 10 of the Plan Year that follows the Plan Year as of which such Post-1996 Credits were credited to the Participant’s Account by the number of Plan Years determined in accordance with the following schedule (in lieu of the schedule in Section 4.1):</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40" w:type="dxa"/>
            <w:vAlign w:val="bottom"/>
          </w:tcPr>
          <w:p>
            <w:pPr>
              <w:spacing w:after="0"/>
              <w:rPr>
                <w:sz w:val="20"/>
                <w:szCs w:val="20"/>
                <w:color w:val="auto"/>
              </w:rPr>
            </w:pPr>
            <w:r>
              <w:rPr>
                <w:rFonts w:ascii="Arial" w:cs="Arial" w:eastAsia="Arial" w:hAnsi="Arial"/>
                <w:sz w:val="14"/>
                <w:szCs w:val="14"/>
                <w:b w:val="1"/>
                <w:bCs w:val="1"/>
                <w:color w:val="auto"/>
                <w:w w:val="94"/>
              </w:rPr>
              <w:t>Number of Plan Years following the</w:t>
            </w:r>
          </w:p>
        </w:tc>
        <w:tc>
          <w:tcPr>
            <w:tcW w:w="134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Plan Year as of which the Post-1996</w:t>
            </w:r>
          </w:p>
        </w:tc>
        <w:tc>
          <w:tcPr>
            <w:tcW w:w="134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8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Credits were credited to his Account</w:t>
            </w:r>
          </w:p>
        </w:tc>
        <w:tc>
          <w:tcPr>
            <w:tcW w:w="1340" w:type="dxa"/>
            <w:vAlign w:val="bottom"/>
          </w:tcPr>
          <w:p>
            <w:pPr>
              <w:spacing w:after="0"/>
              <w:rPr>
                <w:sz w:val="15"/>
                <w:szCs w:val="15"/>
                <w:color w:val="auto"/>
              </w:rPr>
            </w:pPr>
          </w:p>
        </w:tc>
        <w:tc>
          <w:tcPr>
            <w:tcW w:w="29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The vested percentage shall be</w:t>
            </w:r>
          </w:p>
        </w:tc>
      </w:tr>
      <w:tr>
        <w:trPr>
          <w:trHeight w:val="195"/>
        </w:trPr>
        <w:tc>
          <w:tcPr>
            <w:tcW w:w="2240" w:type="dxa"/>
            <w:vAlign w:val="bottom"/>
          </w:tcPr>
          <w:p>
            <w:pPr>
              <w:spacing w:after="0" w:line="195" w:lineRule="exact"/>
              <w:rPr>
                <w:sz w:val="20"/>
                <w:szCs w:val="20"/>
                <w:color w:val="auto"/>
              </w:rPr>
            </w:pPr>
            <w:r>
              <w:rPr>
                <w:rFonts w:ascii="Arial" w:cs="Arial" w:eastAsia="Arial" w:hAnsi="Arial"/>
                <w:sz w:val="18"/>
                <w:szCs w:val="18"/>
                <w:color w:val="auto"/>
              </w:rPr>
              <w:t>Four Plan Years</w:t>
            </w:r>
          </w:p>
        </w:tc>
        <w:tc>
          <w:tcPr>
            <w:tcW w:w="1340" w:type="dxa"/>
            <w:vAlign w:val="bottom"/>
          </w:tcPr>
          <w:p>
            <w:pPr>
              <w:spacing w:after="0"/>
              <w:rPr>
                <w:sz w:val="16"/>
                <w:szCs w:val="16"/>
                <w:color w:val="auto"/>
              </w:rPr>
            </w:pPr>
          </w:p>
        </w:tc>
        <w:tc>
          <w:tcPr>
            <w:tcW w:w="2940" w:type="dxa"/>
            <w:vAlign w:val="bottom"/>
          </w:tcPr>
          <w:p>
            <w:pPr>
              <w:jc w:val="right"/>
              <w:ind w:right="1182"/>
              <w:spacing w:after="0" w:line="195" w:lineRule="exact"/>
              <w:rPr>
                <w:sz w:val="20"/>
                <w:szCs w:val="20"/>
                <w:color w:val="auto"/>
              </w:rPr>
            </w:pPr>
            <w:r>
              <w:rPr>
                <w:rFonts w:ascii="Arial" w:cs="Arial" w:eastAsia="Arial" w:hAnsi="Arial"/>
                <w:sz w:val="18"/>
                <w:szCs w:val="18"/>
                <w:color w:val="auto"/>
              </w:rPr>
              <w:t>100%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Three Plan Years</w:t>
            </w:r>
          </w:p>
        </w:tc>
        <w:tc>
          <w:tcPr>
            <w:tcW w:w="4280" w:type="dxa"/>
            <w:vAlign w:val="bottom"/>
            <w:gridSpan w:val="2"/>
          </w:tcPr>
          <w:p>
            <w:pPr>
              <w:jc w:val="right"/>
              <w:ind w:right="1182"/>
              <w:spacing w:after="0"/>
              <w:rPr>
                <w:sz w:val="20"/>
                <w:szCs w:val="20"/>
                <w:color w:val="auto"/>
              </w:rPr>
            </w:pPr>
            <w:r>
              <w:rPr>
                <w:rFonts w:ascii="Arial" w:cs="Arial" w:eastAsia="Arial" w:hAnsi="Arial"/>
                <w:sz w:val="18"/>
                <w:szCs w:val="18"/>
                <w:color w:val="auto"/>
              </w:rPr>
              <w:t>80%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Two Plan Years</w:t>
            </w:r>
          </w:p>
        </w:tc>
        <w:tc>
          <w:tcPr>
            <w:tcW w:w="4280" w:type="dxa"/>
            <w:vAlign w:val="bottom"/>
            <w:gridSpan w:val="2"/>
          </w:tcPr>
          <w:p>
            <w:pPr>
              <w:jc w:val="right"/>
              <w:ind w:right="1182"/>
              <w:spacing w:after="0"/>
              <w:rPr>
                <w:sz w:val="20"/>
                <w:szCs w:val="20"/>
                <w:color w:val="auto"/>
              </w:rPr>
            </w:pPr>
            <w:r>
              <w:rPr>
                <w:rFonts w:ascii="Arial" w:cs="Arial" w:eastAsia="Arial" w:hAnsi="Arial"/>
                <w:sz w:val="18"/>
                <w:szCs w:val="18"/>
                <w:color w:val="auto"/>
              </w:rPr>
              <w:t>60%</w:t>
            </w: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One Plan Year</w:t>
            </w:r>
          </w:p>
        </w:tc>
        <w:tc>
          <w:tcPr>
            <w:tcW w:w="4280" w:type="dxa"/>
            <w:vAlign w:val="bottom"/>
            <w:gridSpan w:val="2"/>
          </w:tcPr>
          <w:p>
            <w:pPr>
              <w:jc w:val="right"/>
              <w:ind w:right="1182"/>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00"/>
          </w:cols>
          <w:pgMar w:left="240" w:top="280" w:right="259" w:bottom="1440" w:gutter="0" w:footer="0" w:header="0"/>
        </w:sectPr>
      </w:pPr>
    </w:p>
    <w:bookmarkStart w:id="161" w:name="page162"/>
    <w:bookmarkEnd w:id="16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Participant’s separation from service occurs under this Section 4.2, the portion of any Post-1996 Credits (and any investment adjustments thereon) that are not theretofore vested in accordance with Section 4.1 or the foregoing provisions of this Section 4.2 and which shall be vested and nonforfeitable as of December 10 of the Plan Year in which credited to the Participant’s Account shall be twenty percent (20%).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90" w:lineRule="exact"/>
        <w:rPr>
          <w:sz w:val="20"/>
          <w:szCs w:val="20"/>
          <w:color w:val="auto"/>
        </w:rPr>
      </w:pPr>
    </w:p>
    <w:p>
      <w:pPr>
        <w:ind w:right="100" w:firstLine="921"/>
        <w:spacing w:after="0" w:line="268" w:lineRule="auto"/>
        <w:tabs>
          <w:tab w:leader="none" w:pos="11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provided in this Section 4, the vested balance in a Participant’s Account shall be paid in a lump sum on the first payroll date occurring more than six months after the Participant’s separation from service.</w:t>
      </w:r>
    </w:p>
    <w:p>
      <w:pPr>
        <w:spacing w:after="0" w:line="131" w:lineRule="exact"/>
        <w:rPr>
          <w:rFonts w:ascii="Arial" w:cs="Arial" w:eastAsia="Arial" w:hAnsi="Arial"/>
          <w:sz w:val="18"/>
          <w:szCs w:val="18"/>
          <w:color w:val="auto"/>
        </w:rPr>
      </w:pPr>
    </w:p>
    <w:p>
      <w:pPr>
        <w:ind w:right="60" w:firstLine="921"/>
        <w:spacing w:after="0" w:line="291" w:lineRule="auto"/>
        <w:tabs>
          <w:tab w:leader="none" w:pos="11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the event that between January 1, 2005 and September 30, 2006 a Participant made a valid irrevocable election, pursuant to rules and procedures adopted by the Plan Administrator intended in good faith to comply with Section 409A of the Code and Internal Revenue Service guidance issued thereunder, to receive his or her payments in a specified number of installments (not exceeding five) commencing upon his or her separation from service rather than in a lump sum, the vested balance in his or her Account shall be paid in accordance with such election; provided, however, that (i) no portion of the Account shall be paid before the earlier of six months from the date of the Participant’s separation from service or such Participant’s death, and (ii) the foregoing restriction shall not affect the timing of any installment payment after the first installment.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Unforeseeable Emergencies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5"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of a Participant’s Unforeseeable Emergency, such Participant may request an emergency withdrawal from his or her vested Account. Any such request shall be subject to the approval of the Plan Administrator, which approval (a) shall only be granted to the extent reasonably needed to satisfy the need created by the Unforeseeable Emergency, and (b) shall not be granted to the extent that such need may be relieved (i) through reimbursement or compensation by insurance or otherwise or (ii) by liquidation of the Participant’s assets (to the extent the liquidation of such assets would not itself cause severe financial hardship).</w:t>
      </w:r>
    </w:p>
    <w:p>
      <w:pPr>
        <w:spacing w:after="0" w:line="142"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“Unforeseeable Emergency” means a severe financial hardship of the Participant or beneficiary resulting from an illness or accident of the Participant or his or her spouse or dependent (as defined in Section 152(a) of the Code), loss of the</w:t>
      </w:r>
    </w:p>
    <w:p>
      <w:pPr>
        <w:sectPr>
          <w:pgSz w:w="11900" w:h="16838" w:orient="portrait"/>
          <w:cols w:equalWidth="0" w:num="1">
            <w:col w:w="11400"/>
          </w:cols>
          <w:pgMar w:left="240" w:top="280" w:right="259" w:bottom="1440" w:gutter="0" w:footer="0" w:header="0"/>
        </w:sectPr>
      </w:pPr>
    </w:p>
    <w:bookmarkStart w:id="162" w:name="page163"/>
    <w:bookmarkEnd w:id="162"/>
    <w:p>
      <w:pPr>
        <w:ind w:right="12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property due to casualty (including the need to rebuild a home following damage to a home not otherwise covered by insurance), or other similar extraordinary and unforeseeable circumstances arising as a result of events beyond the Participant’s control. Circumstances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a spouse or a dependent (as defined in Section 152(a) of the Code). The purchase of a home and the payment of college tuition generally are not Unforeseeable Emergencies. Whether the Participant is faced with an Unforeseeable Emergency permitting an emergency withdrawal shall be determined by the Plan Administrator in its sole discretion, based on the relevant facts and circumstances and applying regulations and other guidance under Section 409A of the Code.</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Each Participant may from time to time designate any legal or natural person or persons (who may be designated contingently or successively) to whom his benefits under the Plan are to be paid if he dies before he receives all of his vested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4.5,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Distributions to Disabled Persons</w:t>
      </w:r>
      <w:r>
        <w:rPr>
          <w:rFonts w:ascii="Arial" w:cs="Arial" w:eastAsia="Arial" w:hAnsi="Arial"/>
          <w:sz w:val="18"/>
          <w:szCs w:val="18"/>
          <w:color w:val="auto"/>
        </w:rPr>
        <w:t>. Notwithstanding the provisions of this Section 4, if, in the Plan Administrator’s opinion, a Participant or beneficiary is under a legal disability or is in any way incapacitated so as to be unable to manage his financial affairs, the Plan Administrator may direct that payment to which the Participant or beneficiary is otherwise then entitled be made to a relative or friend of such person for his benefit until claim is made by a conservator or other person legally charged with the care of his person or his estate, 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Benefits May Not be Assigned</w:t>
      </w:r>
      <w:r>
        <w:rPr>
          <w:rFonts w:ascii="Arial" w:cs="Arial" w:eastAsia="Arial" w:hAnsi="Arial"/>
          <w:sz w:val="16"/>
          <w:szCs w:val="16"/>
          <w:color w:val="auto"/>
        </w:rPr>
        <w:t>. Neither the Participant nor any other person shall have any voluntary or involuntary right to commute, sell, assign, pledge, anticipate, mortgage or otherwise encumber, transfer, hypothecate or convey in advance of actual receipt the amounts, if any, payable hereunder, or any part hereof, which are expressly declared to be unassignable and non-transferable. No part of the amounts payable shall be, prior to actual payment, subject to seizure or sequestration for payment of any debts, judgments, alimony or separate maintenance owed by the Participant or any other person, or be transferred by operation of law in the event of the Participant’s or any other person’s bankruptcy or insolvency.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Withholding for Tax Liability</w:t>
      </w:r>
      <w:r>
        <w:rPr>
          <w:rFonts w:ascii="Arial" w:cs="Arial" w:eastAsia="Arial" w:hAnsi="Arial"/>
          <w:sz w:val="18"/>
          <w:szCs w:val="18"/>
          <w:color w:val="auto"/>
        </w:rPr>
        <w:t>. The Exchange may withhold or cause to be withheld from any payment of benefits made pursuant to the Plan any taxes required to be withheld and such sum as the Exchange may reasonably estimate to be necessary to cover any taxes for which the Exchange may be liable and which may be assessed with regard to such payment.</w:t>
      </w:r>
    </w:p>
    <w:p>
      <w:pPr>
        <w:sectPr>
          <w:pgSz w:w="11900" w:h="16838" w:orient="portrait"/>
          <w:cols w:equalWidth="0" w:num="1">
            <w:col w:w="11420"/>
          </w:cols>
          <w:pgMar w:left="240" w:top="280" w:right="239" w:bottom="1440" w:gutter="0" w:footer="0" w:header="0"/>
        </w:sectPr>
      </w:pPr>
    </w:p>
    <w:bookmarkStart w:id="163" w:name="page164"/>
    <w:bookmarkEnd w:id="16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4.9. </w:t>
      </w:r>
      <w:r>
        <w:rPr>
          <w:rFonts w:ascii="Arial" w:cs="Arial" w:eastAsia="Arial" w:hAnsi="Arial"/>
          <w:sz w:val="18"/>
          <w:szCs w:val="18"/>
          <w:u w:val="single" w:color="auto"/>
          <w:color w:val="auto"/>
        </w:rPr>
        <w:t>Forfeitures and Adjustments for Partial Distributions</w:t>
      </w:r>
      <w:r>
        <w:rPr>
          <w:rFonts w:ascii="Arial" w:cs="Arial" w:eastAsia="Arial" w:hAnsi="Arial"/>
          <w:sz w:val="18"/>
          <w:szCs w:val="18"/>
          <w:color w:val="auto"/>
        </w:rPr>
        <w:t>. In the event that a distribution upon an Unforeseeable Emergency under Section 4.4 is made with respect to any Participant, the portion of his Account balance that is not distributable by reason of Section 4.1 or 4.2 shall be credited to a “Subaccount” maintained in the Participant’s name which shall be adjusted from time to time in accordance with Section 3.3 based on the assumed investment alternatives selected by the Participant thereunder. Upon the Participant’s subsequent separation from service or any subsequent distribution to the Participant, the balance in his Subaccount shall be treated as follows:</w:t>
      </w:r>
    </w:p>
    <w:p>
      <w:pPr>
        <w:spacing w:after="0" w:line="62" w:lineRule="exact"/>
        <w:rPr>
          <w:sz w:val="20"/>
          <w:szCs w:val="20"/>
          <w:color w:val="auto"/>
        </w:rPr>
      </w:pPr>
    </w:p>
    <w:p>
      <w:pPr>
        <w:ind w:right="100" w:firstLine="921"/>
        <w:spacing w:after="0" w:line="370" w:lineRule="auto"/>
        <w:tabs>
          <w:tab w:leader="none" w:pos="1152" w:val="left"/>
        </w:tabs>
        <w:numPr>
          <w:ilvl w:val="1"/>
          <w:numId w:val="106"/>
        </w:numPr>
        <w:rPr>
          <w:rFonts w:ascii="Arial" w:cs="Arial" w:eastAsia="Arial" w:hAnsi="Arial"/>
          <w:sz w:val="15"/>
          <w:szCs w:val="15"/>
          <w:color w:val="auto"/>
        </w:rPr>
      </w:pPr>
      <w:r>
        <w:rPr>
          <w:rFonts w:ascii="Arial" w:cs="Arial" w:eastAsia="Arial" w:hAnsi="Arial"/>
          <w:sz w:val="15"/>
          <w:szCs w:val="15"/>
          <w:color w:val="auto"/>
        </w:rPr>
        <w:t>If the Participant’s subsequent separation from service or other distribution event occurs after such Subaccount is fully vested and nonforfeitable in accordance with Section 4.1 or 4.2, the balance of such Subaccount shall be distributable to or on behalf of the Participant in accordance with Section 4.</w:t>
      </w:r>
    </w:p>
    <w:p>
      <w:pPr>
        <w:spacing w:after="0" w:line="62" w:lineRule="exact"/>
        <w:rPr>
          <w:rFonts w:ascii="Arial" w:cs="Arial" w:eastAsia="Arial" w:hAnsi="Arial"/>
          <w:sz w:val="15"/>
          <w:szCs w:val="15"/>
          <w:color w:val="auto"/>
        </w:rPr>
      </w:pPr>
    </w:p>
    <w:p>
      <w:pPr>
        <w:ind w:right="60" w:firstLine="921"/>
        <w:spacing w:after="0" w:line="268" w:lineRule="auto"/>
        <w:tabs>
          <w:tab w:leader="none" w:pos="116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Participant’s subsequent separation from service or other distribution event occurs before the balance of the Subaccount is fully vested, the nonforfeitable balance in the Subaccount shall be an amount determined as follows:</w:t>
      </w:r>
    </w:p>
    <w:p>
      <w:pPr>
        <w:spacing w:after="0" w:line="5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an amount equal to the nonforfeitable balance of his Account at the time of the previous distribution upon an Unforeseeable Emergency shall be added to his Subaccount balance;</w:t>
      </w:r>
    </w:p>
    <w:p>
      <w:pPr>
        <w:spacing w:after="0" w:line="50"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next</w:t>
      </w:r>
      <w:r>
        <w:rPr>
          <w:rFonts w:ascii="Arial" w:cs="Arial" w:eastAsia="Arial" w:hAnsi="Arial"/>
          <w:sz w:val="18"/>
          <w:szCs w:val="18"/>
          <w:color w:val="auto"/>
        </w:rPr>
        <w:t>, his Subaccount balance, as adjusted under subparagraph (i) next above, shall be reduced to an amount equal to the product of such balance multiplied by his vested percentage determined under Section 4.1 or 4.2, as applicable, at the time of the subsequent termination or distribution; and</w:t>
      </w:r>
    </w:p>
    <w:p>
      <w:pPr>
        <w:spacing w:after="0" w:line="59" w:lineRule="exact"/>
        <w:rPr>
          <w:rFonts w:ascii="Arial" w:cs="Arial" w:eastAsia="Arial" w:hAnsi="Arial"/>
          <w:sz w:val="18"/>
          <w:szCs w:val="18"/>
          <w:color w:val="auto"/>
        </w:rPr>
      </w:pPr>
    </w:p>
    <w:p>
      <w:pPr>
        <w:ind w:left="1480" w:right="380" w:hanging="567"/>
        <w:spacing w:after="0" w:line="268"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the adjusted Subaccount balance, as determined under subparagraph (ii) next above, shall be reduced (but not below zero) by an amount equal to the amount added to his Subaccount balance under subparagraph (i) next above.</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amount determined after the foregoing adjustments shall be nonforfeitable and distributable to or for his benefit in accordance with Section 4. The portion of his Subaccount balance, if any, which is not vested in accordance with this Section 4.9 shall be forfeited if the Participant has separated from service, or, if the Participant has not separated from service, shall continue to be adjusted in accordance with Section 3.3, and shall be further adjusted under this Section 4.9 upon the Participant’s subsequent separation from service or any subsequent distribution in accordance with the terms of the Plan.</w:t>
      </w:r>
    </w:p>
    <w:p>
      <w:pPr>
        <w:sectPr>
          <w:pgSz w:w="11900" w:h="16838" w:orient="portrait"/>
          <w:cols w:equalWidth="0" w:num="1">
            <w:col w:w="11400"/>
          </w:cols>
          <w:pgMar w:left="240" w:top="280" w:right="259" w:bottom="1440" w:gutter="0" w:footer="0" w:header="0"/>
        </w:sectPr>
      </w:pPr>
    </w:p>
    <w:bookmarkStart w:id="164" w:name="page165"/>
    <w:bookmarkEnd w:id="164"/>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Section 409A</w:t>
      </w:r>
      <w:r>
        <w:rPr>
          <w:rFonts w:ascii="Arial" w:cs="Arial" w:eastAsia="Arial" w:hAnsi="Arial"/>
          <w:sz w:val="18"/>
          <w:szCs w:val="18"/>
          <w:color w:val="auto"/>
        </w:rPr>
        <w:t>. This Plan is intended to comply with the requirements of Section 409A of the Code and shall be interpreted in a manner consistent therewith. Accordingly, notwithstanding any provisions of the Plan to the contrary:</w:t>
      </w:r>
    </w:p>
    <w:p>
      <w:pPr>
        <w:spacing w:after="0" w:line="51" w:lineRule="exact"/>
        <w:rPr>
          <w:sz w:val="20"/>
          <w:szCs w:val="20"/>
          <w:color w:val="auto"/>
        </w:rPr>
      </w:pPr>
    </w:p>
    <w:p>
      <w:pPr>
        <w:ind w:right="140" w:firstLine="921"/>
        <w:spacing w:after="0" w:line="268" w:lineRule="auto"/>
        <w:tabs>
          <w:tab w:leader="none" w:pos="11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Plan shall be operated at all times in accordance with the requirements of Section 409A of the Code and, in the event of any inconsistency between any provision of the Plan and Section 409A, the provisions of Section 409A shall control.</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provision in the Plan that is determined to violate the requirements of Section 409A of the Code shall be void and without effect.</w:t>
      </w:r>
    </w:p>
    <w:p>
      <w:pPr>
        <w:spacing w:after="0" w:line="194" w:lineRule="exact"/>
        <w:rPr>
          <w:rFonts w:ascii="Arial" w:cs="Arial" w:eastAsia="Arial" w:hAnsi="Arial"/>
          <w:sz w:val="16"/>
          <w:szCs w:val="16"/>
          <w:color w:val="auto"/>
        </w:rPr>
      </w:pPr>
    </w:p>
    <w:p>
      <w:pPr>
        <w:ind w:right="100" w:firstLine="921"/>
        <w:spacing w:after="0" w:line="268" w:lineRule="auto"/>
        <w:tabs>
          <w:tab w:leader="none" w:pos="11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provision required by Section 409A of the Code to appear in the Plan document that is not expressly set forth herein shall be deemed to be set forth herein, and the Plan shall be administered in all respects as if such provision was expressly set forth herein.</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The Exchange, its parents, subsidiaries, and affiliates, the Board of Directors of any of the foregoing, any officer, employer or agent of any of the foregoing, and the members of the Retirement Committee shall not incur any liability individually or on behalf of any other individuals or on behalf of the Exchange or its parents, subsidiaries, or affiliates for any act, or failure to act, made in good faith in relation to the Plan.</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SECTION 6</w:t>
      </w: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Amendment and Termination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Exchange may amend or terminate the Plan at any time and from time to time, and retroactively if deemed necessary or appropriate.</w:t>
      </w:r>
    </w:p>
    <w:p>
      <w:pPr>
        <w:spacing w:after="0" w:line="194" w:lineRule="exact"/>
        <w:rPr>
          <w:rFonts w:ascii="Arial" w:cs="Arial" w:eastAsia="Arial" w:hAnsi="Arial"/>
          <w:sz w:val="16"/>
          <w:szCs w:val="16"/>
          <w:color w:val="auto"/>
        </w:rPr>
      </w:pPr>
    </w:p>
    <w:p>
      <w:pPr>
        <w:jc w:val="both"/>
        <w:ind w:firstLine="921"/>
        <w:spacing w:after="0" w:line="298" w:lineRule="auto"/>
        <w:tabs>
          <w:tab w:leader="none" w:pos="11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amendment of the Plan shall be effected either (i) by resolution of the Compensation Committee or its successor, or (ii) by resolution of the Retirement Committee; provided, however, that only the Compensation Committee or its successor is authorized to approve an amendment that is anticipated to result in a material impact to the Exchange unless it otherwise acts to delegate this responsibility; and provided further that the Retirement Committee may adopt minor or administrative amendments to the Plan, including amendments to comply with applicable laws.</w:t>
      </w:r>
    </w:p>
    <w:p>
      <w:pPr>
        <w:spacing w:after="0" w:line="112" w:lineRule="exact"/>
        <w:rPr>
          <w:rFonts w:ascii="Arial" w:cs="Arial" w:eastAsia="Arial" w:hAnsi="Arial"/>
          <w:sz w:val="16"/>
          <w:szCs w:val="16"/>
          <w:color w:val="auto"/>
        </w:rPr>
      </w:pPr>
    </w:p>
    <w:p>
      <w:pPr>
        <w:ind w:right="300" w:firstLine="921"/>
        <w:spacing w:after="0" w:line="259" w:lineRule="auto"/>
        <w:tabs>
          <w:tab w:leader="none" w:pos="11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Plan termination shall be effected by resolution of the Compensation Committee or its successor. In the event of a termination of the Plan, Participants’ vested Account balances shall be distributed in such manner as the Plan Administrator shall determine consistent with the requirements of Section 409A of the Code.</w:t>
      </w:r>
    </w:p>
    <w:p>
      <w:pPr>
        <w:sectPr>
          <w:pgSz w:w="11900" w:h="16838" w:orient="portrait"/>
          <w:cols w:equalWidth="0" w:num="1">
            <w:col w:w="11320"/>
          </w:cols>
          <w:pgMar w:left="240" w:top="280"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this 20th day December, 2007.</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CHICAGO MERCANTILE EXCHANGE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Hilda Harris Piell</w:t>
            </w:r>
          </w:p>
        </w:tc>
      </w:tr>
      <w:tr>
        <w:trPr>
          <w:trHeight w:val="3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180" w:type="dxa"/>
            <w:vAlign w:val="bottom"/>
          </w:tcPr>
          <w:p>
            <w:pPr>
              <w:spacing w:after="0"/>
              <w:rPr>
                <w:sz w:val="20"/>
                <w:szCs w:val="20"/>
                <w:color w:val="auto"/>
              </w:rPr>
            </w:pPr>
            <w:r>
              <w:rPr>
                <w:rFonts w:ascii="Arial" w:cs="Arial" w:eastAsia="Arial" w:hAnsi="Arial"/>
                <w:sz w:val="18"/>
                <w:szCs w:val="18"/>
                <w:color w:val="auto"/>
              </w:rPr>
              <w:t>MD &amp; Chief Organizational Development Officer</w:t>
            </w:r>
          </w:p>
        </w:tc>
      </w:tr>
    </w:tbl>
    <w:p>
      <w:pPr>
        <w:sectPr>
          <w:pgSz w:w="11900" w:h="16838" w:orient="portrait"/>
          <w:cols w:equalWidth="0" w:num="1">
            <w:col w:w="10960"/>
          </w:cols>
          <w:pgMar w:left="700" w:top="2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SEVERANCE PLAN FOR CORPORATE OFFICERS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CME Group Inc. Severance Plan for Corporate Officers (the “Officer Plan”) is hereby amended, effective as of December 21, 2007,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Section 2.17 of the Officer Plan is deleted in its entirety and replaced with the following:</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means a “separation from service” within the meaning of Section 409A of the Code and Treas. Reg. §1.409A-1(h) with the Employer and all its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2. Section 3.1 of the Officer Plan is amended by deleting the period at the end thereof and replacing it with a semicolon, and adding the following clause:</w:t>
      </w:r>
    </w:p>
    <w:p>
      <w:pPr>
        <w:spacing w:after="0" w:line="11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“provided that an Employee who is an “Impacted Former CBOT Employee” (as defined in Appendix C to the Plan) shall not be eligible for the benefits set forth in Appendix B to the Plan, but shall be eligible for the benefits described in Appendix C to the Plan (to the extent the requirements of such appendix are satisfied).”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 The following new Appendix C is appended to the Officer Plan:</w:t>
      </w:r>
    </w:p>
    <w:p>
      <w:pPr>
        <w:spacing w:after="0" w:line="246"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Appendix C</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ENHANCED SEVERANCE PACKAGE FOR</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IMPACTED FORMER CBOT EMPLOYEES</w:t>
      </w:r>
    </w:p>
    <w:p>
      <w:pPr>
        <w:spacing w:after="0" w:line="199"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Impacted Former CBQT Employee Defined</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An “Impacted Former CBOT Employee” means any Employee formerly employed with CBOT Holdings, Inc. or any of its subsidiaries (collectively, “CBOT”) as of December 22, 2007 who met the definition of “Employee” set forth in the Chicago Board of Trade Severance Plan for Officers as of the Closing Date (defined below), exclusive of employees with individual contractual severance entitlements, whose employment is impacted by the Merger in one of the following ways: (i) the Impacted Former CBOT Employee’s employment is terminated involuntarily by the Employer and its affiliates as a result of the Merger within two (2) years after the Merger closing date (the “Closing Date”); or (ii) the Impacted Former CBOT Employee’s Base Salary as of the Closing Date is reduced as a result of the Merger within two (2) years after the Closing Date and the Impacted Former CBOT Employee elects to terminate employment with the Employer and its affiliates within ten (10) days of the effective date of the salary reduction.</w:t>
      </w:r>
    </w:p>
    <w:p>
      <w:pPr>
        <w:spacing w:after="0" w:line="2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7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Severance pay will equal the following amounts: i) eight (8) weeks of Base Salary, plus two (2) weeks of Base Salary per Year of Service, up to a maximum of 52 weeks; plus ii) four (4) weeks of Base Salary.</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purposes of the foregoing calculation:</w:t>
      </w:r>
    </w:p>
    <w:p>
      <w:pPr>
        <w:spacing w:after="0" w:line="84" w:lineRule="exact"/>
        <w:rPr>
          <w:rFonts w:ascii="Arial" w:cs="Arial" w:eastAsia="Arial" w:hAnsi="Arial"/>
          <w:sz w:val="18"/>
          <w:szCs w:val="18"/>
          <w:b w:val="1"/>
          <w:bCs w:val="1"/>
          <w:color w:val="auto"/>
        </w:rPr>
      </w:pPr>
    </w:p>
    <w:p>
      <w:pPr>
        <w:ind w:left="460" w:right="8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w:t>
      </w:r>
      <w:r>
        <w:rPr>
          <w:rFonts w:ascii="Arial" w:cs="Arial" w:eastAsia="Arial" w:hAnsi="Arial"/>
          <w:sz w:val="18"/>
          <w:szCs w:val="18"/>
          <w:b w:val="1"/>
          <w:bCs w:val="1"/>
          <w:i w:val="1"/>
          <w:iCs w:val="1"/>
          <w:color w:val="auto"/>
        </w:rPr>
        <w:t>Salary”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annual base rate of pay of an Impacted Former CBOT Employee, as in effect on the date on which such Impacted Former CBOT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experiences a termination as described in Section A above.</w:t>
      </w:r>
    </w:p>
    <w:p>
      <w:pPr>
        <w:sectPr>
          <w:pgSz w:w="11900" w:h="16838" w:orient="portrait"/>
          <w:cols w:equalWidth="0" w:num="1">
            <w:col w:w="11420"/>
          </w:cols>
          <w:pgMar w:left="240" w:top="125" w:right="239" w:bottom="1440" w:gutter="0" w:footer="0" w:header="0"/>
        </w:sectPr>
      </w:pPr>
    </w:p>
    <w:bookmarkStart w:id="167" w:name="page168"/>
    <w:bookmarkEnd w:id="167"/>
    <w:p>
      <w:pPr>
        <w:ind w:left="46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“Year of Service” </w:t>
      </w:r>
      <w:r>
        <w:rPr>
          <w:rFonts w:ascii="Arial" w:cs="Arial" w:eastAsia="Arial" w:hAnsi="Arial"/>
          <w:sz w:val="18"/>
          <w:szCs w:val="18"/>
          <w:color w:val="auto"/>
        </w:rPr>
        <w:t>means each 12-consecutive-month period, which is measured from an Impacted Former CBOT Employee’s most recent date of hire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CBOT through the date of such Impacted Former CBOT Employee’s date of termination.</w:t>
      </w:r>
    </w:p>
    <w:p>
      <w:pPr>
        <w:spacing w:after="0" w:line="24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Continuation Coverage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An Impacted Former CBOT Employee will receive the right to receive continuation coverage in accordance with the time periods set forth under federal COBRA law. Medical coverage will automatically cease as provided in the applicable plan based on an Impacted Former CBOT Employee’s Termination of Employment date, unless such Impacted Former CBOT Employee timely elects Continuation Coverage under COBRA. If an Impacted Former CBOT Employee does not timely elect Continuation Coverage, such Impacted Former CBOT Employee will not be permitted to reinstate such coverage at a later date. All of the terms and conditions of the Employer’s health plans shall be applicable to an eligible Impacted Former CBOT Employee receiving Continuation Coverage. An Impacted Former CBOT employee will be entitled to four (4) months of employer-paid COBRA coverage.</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Outplacement Services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Outplacement assistance will be offered through a firm selected by the Company.</w:t>
      </w:r>
    </w:p>
    <w:p>
      <w:pPr>
        <w:spacing w:after="0" w:line="16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CME Group Inc. has caused this First Amendment to the Officer Plan to be executed by its duly authorized officer on this 20th day</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2007.</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Hilda Harris Piell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MD &amp; Chief Organizational Development Officer</w:t>
      </w:r>
    </w:p>
    <w:p>
      <w:pPr>
        <w:sectPr>
          <w:pgSz w:w="11900" w:h="16838" w:orient="portrait"/>
          <w:cols w:equalWidth="0" w:num="1">
            <w:col w:w="11380"/>
          </w:cols>
          <w:pgMar w:left="240" w:top="280" w:right="279" w:bottom="1440" w:gutter="0" w:footer="0" w:header="0"/>
        </w:sectPr>
      </w:pPr>
    </w:p>
    <w:bookmarkStart w:id="168" w:name="page169"/>
    <w:bookmarkEnd w:id="168"/>
    <w:p>
      <w:pPr>
        <w:ind w:left="10420"/>
        <w:spacing w:after="0"/>
        <w:rPr>
          <w:sz w:val="20"/>
          <w:szCs w:val="20"/>
          <w:color w:val="auto"/>
        </w:rPr>
      </w:pPr>
      <w:r>
        <w:rPr>
          <w:rFonts w:ascii="Arial" w:cs="Arial" w:eastAsia="Arial" w:hAnsi="Arial"/>
          <w:sz w:val="16"/>
          <w:szCs w:val="16"/>
          <w:b w:val="1"/>
          <w:bCs w:val="1"/>
          <w:color w:val="auto"/>
        </w:rPr>
        <w:t>Exhibit 10.17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made and entered into this 5th day of October, 2007, by and between CHICAGO MERCANTILE EXCHANGE INC. (“CME”) and BOARD OF TRADE OF THE CITY OF CHICAGO, INC. (“CBOT”) (collectively “Employer”) and Bryan Durkin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1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Employer wishes to retain the services of Employee in the capacity of Managing Director &amp; Chief Operating Officer, upon the terms and conditions hereinafter set forth and Employee wishes to accept such employment;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contained herein, the parties mutually agree as follows:</w:t>
      </w:r>
    </w:p>
    <w:p>
      <w:pPr>
        <w:spacing w:after="0" w:line="84" w:lineRule="exact"/>
        <w:rPr>
          <w:sz w:val="20"/>
          <w:szCs w:val="20"/>
          <w:color w:val="auto"/>
        </w:rPr>
      </w:pPr>
    </w:p>
    <w:p>
      <w:pPr>
        <w:ind w:left="460" w:right="160" w:hanging="452"/>
        <w:spacing w:after="0" w:line="289"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color w:val="auto"/>
        </w:rPr>
        <w:t>. Subject to the terms of the Agreement, Employer hereby agrees to employ Employee during the Agreement Term as Managing Director &amp;</w:t>
      </w:r>
      <w:r>
        <w:rPr>
          <w:rFonts w:ascii="Arial" w:cs="Arial" w:eastAsia="Arial" w:hAnsi="Arial"/>
          <w:sz w:val="16"/>
          <w:szCs w:val="16"/>
          <w:b w:val="1"/>
          <w:bCs w:val="1"/>
          <w:color w:val="auto"/>
        </w:rPr>
        <w:t xml:space="preserve"> </w:t>
      </w:r>
      <w:r>
        <w:rPr>
          <w:rFonts w:ascii="Arial" w:cs="Arial" w:eastAsia="Arial" w:hAnsi="Arial"/>
          <w:sz w:val="16"/>
          <w:szCs w:val="16"/>
          <w:color w:val="auto"/>
        </w:rPr>
        <w:t>Chief Operating Officer, and Employee hereby accepts such employment. Employee shall be employed by CBOT from July 12, 2007 until such time CBOT employees are transferred to employment with CME, which Employer expects to occur effective January 1, 2008. The transfer of Employee’s employment from CBOT to CME shall not constitute a termination of employment for the purposes of this Agreement. Employee shall report to the Employer’s President. The duties of Employee shall include, but not be limited to, the performance of all duties associated with managing and overseeing the day to day functions of the Operations and Technology &amp; Enterprise Computing Divisions. Employee will provide such business and professional services in the performance of his duties that are consistent with Employee’s position as Managing Director &amp; Chief Operating Officer, and as shall reasonably be assigned to him by Employer. Employee shall devote his full time, ability and attention to the business of Employer during the Agreement Term.</w:t>
      </w:r>
    </w:p>
    <w:p>
      <w:pPr>
        <w:spacing w:after="0" w:line="37" w:lineRule="exact"/>
        <w:rPr>
          <w:rFonts w:ascii="Arial" w:cs="Arial" w:eastAsia="Arial" w:hAnsi="Arial"/>
          <w:sz w:val="16"/>
          <w:szCs w:val="16"/>
          <w:color w:val="auto"/>
        </w:rPr>
      </w:pPr>
    </w:p>
    <w:p>
      <w:pPr>
        <w:ind w:left="460" w:right="80"/>
        <w:spacing w:after="0" w:line="291" w:lineRule="auto"/>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nothing in the Agreement shall preclude Employee from participating in the affairs of any governmental, educational or other charitable institution, engaging in professional speaking and writing activities, and serving as a member of the board of directors of a publicly held corporation (except for a competitor of Employer), provided Employee notifies the Employer’s Board of Directors (“Board”) prior to his participating in any such activities and as long as the Board does not determine that any such activities interfere with or diminish Employee’s obligations under the Agreement. Employee shall be entitled to retain all fees, royalties and other compensation derived from such activities, in addition to the compensation and other benefits payable to him under the Agreement, but shall disclose such fees to Employer.</w:t>
      </w:r>
    </w:p>
    <w:p>
      <w:pPr>
        <w:spacing w:after="0" w:line="33" w:lineRule="exact"/>
        <w:rPr>
          <w:rFonts w:ascii="Arial" w:cs="Arial" w:eastAsia="Arial" w:hAnsi="Arial"/>
          <w:sz w:val="16"/>
          <w:szCs w:val="16"/>
          <w:color w:val="auto"/>
        </w:rPr>
      </w:pPr>
    </w:p>
    <w:p>
      <w:pPr>
        <w:ind w:left="460" w:right="20" w:hanging="452"/>
        <w:spacing w:after="0" w:line="378" w:lineRule="auto"/>
        <w:tabs>
          <w:tab w:leader="none" w:pos="460" w:val="left"/>
        </w:tabs>
        <w:numPr>
          <w:ilvl w:val="0"/>
          <w:numId w:val="114"/>
        </w:numPr>
        <w:rPr>
          <w:rFonts w:ascii="Arial" w:cs="Arial" w:eastAsia="Arial" w:hAnsi="Arial"/>
          <w:sz w:val="15"/>
          <w:szCs w:val="15"/>
          <w:color w:val="auto"/>
        </w:rPr>
      </w:pPr>
      <w:r>
        <w:rPr>
          <w:rFonts w:ascii="Arial" w:cs="Arial" w:eastAsia="Arial" w:hAnsi="Arial"/>
          <w:sz w:val="15"/>
          <w:szCs w:val="15"/>
          <w:b w:val="1"/>
          <w:bCs w:val="1"/>
          <w:u w:val="single" w:color="auto"/>
          <w:color w:val="auto"/>
        </w:rPr>
        <w:t>Agreement Term</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shall be employed hereunder for a term commencing on July 12, 2007 and expiring on July 11, 2010, unless sooner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terminated as herein provided (“Agreement Term”). The Agreement Term may be extended or renewed only by the mutual written agreement of the parties.</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1420"/>
          </w:cols>
          <w:pgMar w:left="240" w:top="125" w:right="239" w:bottom="1440" w:gutter="0" w:footer="0" w:header="0"/>
        </w:sectPr>
      </w:pPr>
    </w:p>
    <w:bookmarkStart w:id="169" w:name="page170"/>
    <w:bookmarkEnd w:id="169"/>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26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Effective July 12, 2007, and continuing through the Agreement Term, Employer shall pay to Employee a base salary at a rate not than $500,000 per year (“Base Salary”), payable in accordance with the Employer’s normal payment schedule.</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Employee shall be eligible to participate in the Amended and Restated Chicago Mercantile Exchange Holdings Inc. (now CME Group Inc.) Annual Incentive Plan (the “AIP”) as in existence or as amended from time to time in accordance with its terms as applicable to Employee.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59" w:lineRule="auto"/>
        <w:tabs>
          <w:tab w:leader="none" w:pos="1480" w:val="left"/>
        </w:tabs>
        <w:numPr>
          <w:ilvl w:val="2"/>
          <w:numId w:val="115"/>
        </w:numPr>
        <w:rPr>
          <w:rFonts w:ascii="Arial" w:cs="Arial" w:eastAsia="Arial" w:hAnsi="Arial"/>
          <w:sz w:val="18"/>
          <w:szCs w:val="18"/>
          <w:color w:val="auto"/>
        </w:rPr>
      </w:pPr>
      <w:r>
        <w:rPr>
          <w:rFonts w:ascii="Arial" w:cs="Arial" w:eastAsia="Arial" w:hAnsi="Arial"/>
          <w:sz w:val="18"/>
          <w:szCs w:val="18"/>
          <w:u w:val="single" w:color="auto"/>
          <w:color w:val="auto"/>
        </w:rPr>
        <w:t>CBOT Equity</w:t>
      </w:r>
      <w:r>
        <w:rPr>
          <w:rFonts w:ascii="Arial" w:cs="Arial" w:eastAsia="Arial" w:hAnsi="Arial"/>
          <w:sz w:val="18"/>
          <w:szCs w:val="18"/>
          <w:color w:val="auto"/>
        </w:rPr>
        <w:t>. Equity issued to Employee in 2005 and 2006 under the CBOT Holdings, Inc. 2005 Long-Term Equity Incentive Plan (“CBOT Equity Plan”) shall vest upon the earlier of July 12, 2008 or Employee’s involuntary termination without Cause (as is defined below in Paragraph 6(d)).</w:t>
      </w:r>
    </w:p>
    <w:p>
      <w:pPr>
        <w:spacing w:after="0" w:line="59" w:lineRule="exact"/>
        <w:rPr>
          <w:rFonts w:ascii="Arial" w:cs="Arial" w:eastAsia="Arial" w:hAnsi="Arial"/>
          <w:sz w:val="18"/>
          <w:szCs w:val="18"/>
          <w:color w:val="auto"/>
        </w:rPr>
      </w:pPr>
    </w:p>
    <w:p>
      <w:pPr>
        <w:ind w:left="1480" w:hanging="567"/>
        <w:spacing w:after="0" w:line="289" w:lineRule="auto"/>
        <w:tabs>
          <w:tab w:leader="none" w:pos="1480"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CME Group Equity</w:t>
      </w:r>
      <w:r>
        <w:rPr>
          <w:rFonts w:ascii="Arial" w:cs="Arial" w:eastAsia="Arial" w:hAnsi="Arial"/>
          <w:sz w:val="16"/>
          <w:szCs w:val="16"/>
          <w:color w:val="auto"/>
        </w:rPr>
        <w:t>. Employee shall be eligible to participate in the Chicago Mercantile Exchange Holdings Inc. (now CME Group Inc.) Amended and Restated Omnibus Stock Plan (“CME Equity Plan”), as in existence or as amended from time to time, in accordance with the terms of the CME Equity Plan. In the event of a “Change in Control” (as defined in the CME Equity Plan) that occurs prior to the Employee’s termination of employment with the Employer, all options and shares previously granted to Employee, whether pursuant to this Agreement or otherwise, will have vesting accelerated so as to become 100% vested. Thereafter, the options will continue to be subject to the terms, definitions and provision of the CME Equity Plan and any related equity grant agreement. If Employee is involuntarily terminated without Cause within sixty (60) days prior to a Change in Control, all unvested options and shares which would have been outstanding had the Employee been employed on the date of Change of Control become granted and 100% vested.</w:t>
      </w:r>
    </w:p>
    <w:p>
      <w:pPr>
        <w:spacing w:after="0" w:line="31" w:lineRule="exact"/>
        <w:rPr>
          <w:rFonts w:ascii="Arial" w:cs="Arial" w:eastAsia="Arial" w:hAnsi="Arial"/>
          <w:sz w:val="16"/>
          <w:szCs w:val="16"/>
          <w:color w:val="auto"/>
        </w:rPr>
      </w:pPr>
    </w:p>
    <w:p>
      <w:pPr>
        <w:ind w:left="460" w:right="160" w:hanging="452"/>
        <w:spacing w:after="0" w:line="262"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color w:val="auto"/>
        </w:rPr>
        <w:t>. Employee shall be entitled to insurance, vacation and other employee benefits commensurate with his position in accordance with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for executives in effect from time to time. Employee acknowledges receipt of a summary of Employer’s employee benefits policies in effect as of the date of this Agreement.</w:t>
      </w:r>
    </w:p>
    <w:p>
      <w:pPr>
        <w:spacing w:after="0" w:line="51" w:lineRule="exact"/>
        <w:rPr>
          <w:rFonts w:ascii="Arial" w:cs="Arial" w:eastAsia="Arial" w:hAnsi="Arial"/>
          <w:sz w:val="18"/>
          <w:szCs w:val="18"/>
          <w:color w:val="auto"/>
        </w:rPr>
      </w:pPr>
    </w:p>
    <w:p>
      <w:pPr>
        <w:ind w:left="460" w:right="100" w:hanging="452"/>
        <w:spacing w:after="0" w:line="275"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color w:val="auto"/>
        </w:rPr>
        <w:t>. During the Agreement Term, Employer shall reimburse Employee, in accordance with Employer’s policies and procedures,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 expenses incurred by him in the performance of his duties hereunder.</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86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Upon the death of Employee, this Agreement shall automatically terminate and all rights of Employee and his heirs, executors and administrators to compensation and other benefits under this Agreement shall cease, except for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1420"/>
          </w:cols>
          <w:pgMar w:left="240" w:top="274" w:right="239" w:bottom="1440" w:gutter="0" w:footer="0" w:header="0"/>
        </w:sectPr>
      </w:pPr>
    </w:p>
    <w:bookmarkStart w:id="170" w:name="page171"/>
    <w:bookmarkEnd w:id="170"/>
    <w:p>
      <w:pPr>
        <w:ind w:left="466"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which shall have accrued to the date of death, including accrued Base Salary, and other employee benefits to which Employee is entitled upon his death, in accordance with the terms of the applicable plans and programs.</w:t>
      </w:r>
    </w:p>
    <w:p>
      <w:pPr>
        <w:spacing w:after="0" w:line="51" w:lineRule="exact"/>
        <w:rPr>
          <w:sz w:val="20"/>
          <w:szCs w:val="20"/>
          <w:color w:val="auto"/>
        </w:rPr>
      </w:pPr>
    </w:p>
    <w:p>
      <w:pPr>
        <w:ind w:left="446" w:right="40" w:hanging="446"/>
        <w:spacing w:after="0" w:line="288" w:lineRule="auto"/>
        <w:tabs>
          <w:tab w:leader="none" w:pos="446"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Employer may, at its option, terminate this Agreement upon written notice to Employee if Employee, because of physical or mental incapacity or disability, fails to perform the essential functions of his position required of him hereunder for a continuous period of 90 days or any 120 days within any 12- month period. Upon such termination, all obligations of Employer hereunder shall cease, except for payment of accrued Base Salary, and other employee benefits to which Employee is entitled upon his termination hereunder, in accordance with the terms of the applicable plans and programs. In the event of any dispute regarding the existence of Employee’s disability hereunder, the matter shall be resolved as follows: (1) by the determination of a physician selected by Employer; (2) Employee shall have the right to challenge that determination by presenting a contrary determination from a physician of his choice; (3) in such event, a physician selected by agreement of the Employee and Employer will make the final determination. Employee shall submit to appropriate medical examinations for purposes of making the medical determinations hereunder.</w:t>
      </w:r>
    </w:p>
    <w:p>
      <w:pPr>
        <w:spacing w:after="0" w:line="38" w:lineRule="exact"/>
        <w:rPr>
          <w:rFonts w:ascii="Arial" w:cs="Arial" w:eastAsia="Arial" w:hAnsi="Arial"/>
          <w:sz w:val="16"/>
          <w:szCs w:val="16"/>
          <w:color w:val="auto"/>
        </w:rPr>
      </w:pPr>
    </w:p>
    <w:p>
      <w:pPr>
        <w:ind w:left="446" w:right="600" w:hanging="446"/>
        <w:spacing w:after="0" w:line="268" w:lineRule="auto"/>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Employer may, at its option, terminate Employee’s employment under this Agreement for Cause. As used in this Agreement, the term “Cause” shall mean any one or more of the following:</w:t>
      </w:r>
    </w:p>
    <w:p>
      <w:pPr>
        <w:spacing w:after="0" w:line="50" w:lineRule="exact"/>
        <w:rPr>
          <w:rFonts w:ascii="Arial" w:cs="Arial" w:eastAsia="Arial" w:hAnsi="Arial"/>
          <w:sz w:val="18"/>
          <w:szCs w:val="18"/>
          <w:color w:val="auto"/>
        </w:rPr>
      </w:pPr>
    </w:p>
    <w:p>
      <w:pPr>
        <w:ind w:left="1026" w:right="340" w:hanging="567"/>
        <w:spacing w:after="0" w:line="332" w:lineRule="auto"/>
        <w:tabs>
          <w:tab w:leader="none" w:pos="102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refusal by Employee to perform his duties and responsibilities under this Agreement, as determined after investigation by Employer. Employee, after having been given written notice by Employer, shall have seven (7) days to cure such refusal;</w:t>
      </w:r>
    </w:p>
    <w:p>
      <w:pPr>
        <w:spacing w:after="0" w:line="4" w:lineRule="exact"/>
        <w:rPr>
          <w:rFonts w:ascii="Arial" w:cs="Arial" w:eastAsia="Arial" w:hAnsi="Arial"/>
          <w:sz w:val="16"/>
          <w:szCs w:val="16"/>
          <w:color w:val="auto"/>
        </w:rPr>
      </w:pPr>
    </w:p>
    <w:p>
      <w:pPr>
        <w:ind w:left="1026" w:right="40" w:hanging="567"/>
        <w:spacing w:after="0" w:line="259" w:lineRule="auto"/>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intentional act of fraud, embezzlement, theft or misappropriation of Employer’s funds by Employee, as determined after investigation by Employer, or Employee’s admission or conviction of a felony or of any crime involving moral turpitude, fraud, embezzlement, theft or misrepresentation;</w:t>
      </w:r>
    </w:p>
    <w:p>
      <w:pPr>
        <w:spacing w:after="0" w:line="59" w:lineRule="exact"/>
        <w:rPr>
          <w:rFonts w:ascii="Arial" w:cs="Arial" w:eastAsia="Arial" w:hAnsi="Arial"/>
          <w:sz w:val="18"/>
          <w:szCs w:val="18"/>
          <w:color w:val="auto"/>
        </w:rPr>
      </w:pPr>
    </w:p>
    <w:p>
      <w:pPr>
        <w:ind w:left="1026" w:right="160" w:hanging="567"/>
        <w:spacing w:after="0" w:line="268" w:lineRule="auto"/>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gross negligence or willful misconduct of Employee resulting in a financial loss or liability to Employer or damage to the reputation of Employer, as determined after investigation by Employer;</w:t>
      </w:r>
    </w:p>
    <w:p>
      <w:pPr>
        <w:spacing w:after="0" w:line="50" w:lineRule="exact"/>
        <w:rPr>
          <w:rFonts w:ascii="Arial" w:cs="Arial" w:eastAsia="Arial" w:hAnsi="Arial"/>
          <w:sz w:val="18"/>
          <w:szCs w:val="18"/>
          <w:color w:val="auto"/>
        </w:rPr>
      </w:pPr>
    </w:p>
    <w:p>
      <w:pPr>
        <w:ind w:left="1026" w:right="100" w:hanging="567"/>
        <w:spacing w:after="0" w:line="259" w:lineRule="auto"/>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breach by Employee of any one or more of the covenants contained in Paragraph 7/Attachment A (Acknowledgment and Acceptance of Confidentiality and Intellectual Property Policy) or Paragraph 8/Attachment B (Confidentiality, Non-Competition and Non-Solicitation Agreement);</w:t>
      </w:r>
    </w:p>
    <w:p>
      <w:pPr>
        <w:spacing w:after="0" w:line="59" w:lineRule="exact"/>
        <w:rPr>
          <w:rFonts w:ascii="Arial" w:cs="Arial" w:eastAsia="Arial" w:hAnsi="Arial"/>
          <w:sz w:val="18"/>
          <w:szCs w:val="18"/>
          <w:color w:val="auto"/>
        </w:rPr>
      </w:pPr>
    </w:p>
    <w:p>
      <w:pPr>
        <w:ind w:left="1026" w:right="480" w:hanging="567"/>
        <w:spacing w:after="0" w:line="268" w:lineRule="auto"/>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violation of any rule, regulation or guideline imposed by Employer or a regulatory or self regulatory body having jurisdiction over Employer, as determined after investigation by Employer.</w:t>
      </w:r>
    </w:p>
    <w:p>
      <w:pPr>
        <w:spacing w:after="0" w:line="51" w:lineRule="exact"/>
        <w:rPr>
          <w:sz w:val="20"/>
          <w:szCs w:val="20"/>
          <w:color w:val="auto"/>
        </w:rPr>
      </w:pPr>
    </w:p>
    <w:p>
      <w:pPr>
        <w:ind w:left="466" w:right="140"/>
        <w:spacing w:after="0" w:line="268" w:lineRule="auto"/>
        <w:rPr>
          <w:sz w:val="20"/>
          <w:szCs w:val="20"/>
          <w:color w:val="auto"/>
        </w:rPr>
      </w:pPr>
      <w:r>
        <w:rPr>
          <w:rFonts w:ascii="Arial" w:cs="Arial" w:eastAsia="Arial" w:hAnsi="Arial"/>
          <w:sz w:val="18"/>
          <w:szCs w:val="18"/>
          <w:color w:val="auto"/>
        </w:rPr>
        <w:t>The exercise of the right of Employer to terminate this Agreement pursuant to this Paragraph 6(c) shall not abrogate any other rights or remedies of Employer in respect of the breach giving rise to such termination.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0966"/>
          </w:cols>
          <w:pgMar w:left="694" w:top="280" w:right="239" w:bottom="1440" w:gutter="0" w:footer="0" w:header="0"/>
        </w:sectPr>
      </w:pPr>
    </w:p>
    <w:bookmarkStart w:id="171" w:name="page172"/>
    <w:bookmarkEnd w:id="171"/>
    <w:p>
      <w:pPr>
        <w:jc w:val="both"/>
        <w:ind w:left="466"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Employer terminates Employee’s employment for Cause, Employee shall be entitled to accrued Base Salary through the date of the termination of his employment, other employee benefits to which Employee is entitled upon his termination of employment with Employer, in accordance with the terms of the applicable plans and programs. Upon termination for Cause, Employee will forfeit any unvested or unearned compensation or long-term incentives, unless otherwise provided herein or specified in the terms of the applicable plans and programs,</w:t>
      </w:r>
    </w:p>
    <w:p>
      <w:pPr>
        <w:spacing w:after="0" w:line="32" w:lineRule="exact"/>
        <w:rPr>
          <w:sz w:val="20"/>
          <w:szCs w:val="20"/>
          <w:color w:val="auto"/>
        </w:rPr>
      </w:pPr>
    </w:p>
    <w:p>
      <w:pPr>
        <w:ind w:left="446" w:right="280" w:hanging="446"/>
        <w:spacing w:after="0" w:line="298" w:lineRule="auto"/>
        <w:tabs>
          <w:tab w:leader="none" w:pos="44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Upon 30 days prior written notice to Employee, Employer may terminate this Agreement for any reason other than a reason set forth in sections (a), (b) or (c) of this Paragraph 6. If, during the Agreement Term, Employer terminates the employment of Employee hereunder, and he is considered to have a “separation from service” as defined in Section 1.409A-1(h) of the Treasury Regulations, for any reason other than a reason set forth in sections (a), (b) or (c) of this Paragraph 6, Employee shall be entitled to:</w:t>
      </w:r>
    </w:p>
    <w:p>
      <w:pPr>
        <w:spacing w:after="0" w:line="31" w:lineRule="exact"/>
        <w:rPr>
          <w:rFonts w:ascii="Arial" w:cs="Arial" w:eastAsia="Arial" w:hAnsi="Arial"/>
          <w:sz w:val="16"/>
          <w:szCs w:val="16"/>
          <w:color w:val="auto"/>
        </w:rPr>
      </w:pPr>
    </w:p>
    <w:p>
      <w:pPr>
        <w:ind w:left="1026" w:right="480" w:hanging="567"/>
        <w:spacing w:after="0" w:line="332" w:lineRule="auto"/>
        <w:tabs>
          <w:tab w:leader="none" w:pos="102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receive accrued Base Salary through the date of the termination of his employment, and other employee benefits to which Employee is entitled upon his termination of employment with Employer, in accordance with the terms of the applicable plans and programs;</w:t>
      </w:r>
    </w:p>
    <w:p>
      <w:pPr>
        <w:spacing w:after="0" w:line="4" w:lineRule="exact"/>
        <w:rPr>
          <w:rFonts w:ascii="Arial" w:cs="Arial" w:eastAsia="Arial" w:hAnsi="Arial"/>
          <w:sz w:val="16"/>
          <w:szCs w:val="16"/>
          <w:color w:val="auto"/>
        </w:rPr>
      </w:pPr>
    </w:p>
    <w:p>
      <w:pPr>
        <w:ind w:left="1026" w:right="200" w:hanging="567"/>
        <w:spacing w:after="0" w:line="323" w:lineRule="auto"/>
        <w:tabs>
          <w:tab w:leader="none" w:pos="1026" w:val="left"/>
        </w:tabs>
        <w:numPr>
          <w:ilvl w:val="1"/>
          <w:numId w:val="117"/>
        </w:numPr>
        <w:rPr>
          <w:rFonts w:ascii="Arial" w:cs="Arial" w:eastAsia="Arial" w:hAnsi="Arial"/>
          <w:sz w:val="15"/>
          <w:szCs w:val="15"/>
          <w:color w:val="auto"/>
        </w:rPr>
      </w:pPr>
      <w:r>
        <w:rPr>
          <w:rFonts w:ascii="Arial" w:cs="Arial" w:eastAsia="Arial" w:hAnsi="Arial"/>
          <w:sz w:val="15"/>
          <w:szCs w:val="15"/>
          <w:color w:val="auto"/>
        </w:rPr>
        <w:t>subject to Employee’s execution and delivery prior to the Release Deadline (as defined below) of a general release in a form and of a substance satisfactory to Employer, a one time lump sum severance payment equal to 2 times his Base Salary as of the date of Employee’s termination for the remaining term of the Agreement up to a maximum of 24 months of Base Salary, which shall be paid within 14 days of the later of the delivery of such general release to Employer or the date on which such general release becomes irrevocable; and</w:t>
      </w:r>
    </w:p>
    <w:p>
      <w:pPr>
        <w:spacing w:after="0" w:line="16" w:lineRule="exact"/>
        <w:rPr>
          <w:rFonts w:ascii="Arial" w:cs="Arial" w:eastAsia="Arial" w:hAnsi="Arial"/>
          <w:sz w:val="15"/>
          <w:szCs w:val="15"/>
          <w:color w:val="auto"/>
        </w:rPr>
      </w:pPr>
    </w:p>
    <w:p>
      <w:pPr>
        <w:ind w:left="1026" w:hanging="567"/>
        <w:spacing w:after="0" w:line="259" w:lineRule="auto"/>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payment of Employee’s premiums for continued coverage under Employer’s group health plan for twelve (12) months beginning the first day of the month following the date of termination, if Employee elects, and to the extent Employee is and remains eligible for, such continued coverage under COBRA.</w:t>
      </w:r>
    </w:p>
    <w:p>
      <w:pPr>
        <w:spacing w:after="0" w:line="59" w:lineRule="exact"/>
        <w:rPr>
          <w:sz w:val="20"/>
          <w:szCs w:val="20"/>
          <w:color w:val="auto"/>
        </w:rPr>
      </w:pPr>
    </w:p>
    <w:p>
      <w:pPr>
        <w:ind w:left="466" w:right="40"/>
        <w:spacing w:after="0" w:line="332" w:lineRule="auto"/>
        <w:rPr>
          <w:sz w:val="20"/>
          <w:szCs w:val="20"/>
          <w:color w:val="auto"/>
        </w:rPr>
      </w:pPr>
      <w:r>
        <w:rPr>
          <w:rFonts w:ascii="Arial" w:cs="Arial" w:eastAsia="Arial" w:hAnsi="Arial"/>
          <w:sz w:val="16"/>
          <w:szCs w:val="16"/>
          <w:color w:val="auto"/>
        </w:rPr>
        <w:t>For purposes hereof, the “Release Deadline” means the deadline prescribed by Employer for the execution of the general release described in section (d)(2) of this Paragraph 6, which deadline shall in no event be later than 60 days following the date the Employee’s employment terminates.</w:t>
      </w:r>
    </w:p>
    <w:p>
      <w:pPr>
        <w:spacing w:after="0" w:line="4" w:lineRule="exact"/>
        <w:rPr>
          <w:sz w:val="20"/>
          <w:szCs w:val="20"/>
          <w:color w:val="auto"/>
        </w:rPr>
      </w:pPr>
    </w:p>
    <w:p>
      <w:pPr>
        <w:ind w:left="446" w:right="120" w:hanging="446"/>
        <w:spacing w:after="0" w:line="255" w:lineRule="auto"/>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Upon 60 days prior written notice to Employer (or such shorter period as may be permitted by Employer), Employee may voluntarily terminate his employment with Employer prior to the end of the Agreement Term for any reason. If Employee voluntarily terminates his employment pursuant to this section (e), he shall be entitled to receive accrued Base Salary through the date of the termination of his employment and other employee benefits to which Employee is entitled upon his termination of employment with Employer, in accordance with the terms of the applicable plans and programs.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0966"/>
          </w:cols>
          <w:pgMar w:left="694" w:top="280" w:right="239" w:bottom="1440" w:gutter="0" w:footer="0" w:header="0"/>
        </w:sectPr>
      </w:pPr>
    </w:p>
    <w:bookmarkStart w:id="172" w:name="page173"/>
    <w:bookmarkEnd w:id="172"/>
    <w:p>
      <w:pPr>
        <w:ind w:left="460" w:right="220" w:hanging="452"/>
        <w:spacing w:after="0" w:line="334"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Acknowledgment and Acceptance of Confidentiality and Intellectual Property Policy</w:t>
      </w:r>
      <w:r>
        <w:rPr>
          <w:rFonts w:ascii="Arial" w:cs="Arial" w:eastAsia="Arial" w:hAnsi="Arial"/>
          <w:sz w:val="16"/>
          <w:szCs w:val="16"/>
          <w:color w:val="auto"/>
        </w:rPr>
        <w:t>. The Acknowledgment and Acceptance of Confidentiality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Policy executed by Employee and attached hereto as Attachment A is incorporated into Paragraph 7 of this Agreement.</w:t>
      </w:r>
    </w:p>
    <w:p>
      <w:pPr>
        <w:spacing w:after="0" w:line="1" w:lineRule="exact"/>
        <w:rPr>
          <w:rFonts w:ascii="Arial" w:cs="Arial" w:eastAsia="Arial" w:hAnsi="Arial"/>
          <w:sz w:val="16"/>
          <w:szCs w:val="16"/>
          <w:color w:val="auto"/>
        </w:rPr>
      </w:pPr>
    </w:p>
    <w:p>
      <w:pPr>
        <w:ind w:left="460" w:right="200" w:hanging="452"/>
        <w:spacing w:after="0" w:line="27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Non-Competition and Non-Solicitation Agreement</w:t>
      </w:r>
      <w:r>
        <w:rPr>
          <w:rFonts w:ascii="Arial" w:cs="Arial" w:eastAsia="Arial" w:hAnsi="Arial"/>
          <w:sz w:val="18"/>
          <w:szCs w:val="18"/>
          <w:color w:val="auto"/>
        </w:rPr>
        <w:t>. The Confidentiality, Non-Competition and Non-Solicitation Agreement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by Employee and attached hereto as Attachment B is incorporated into Paragraph 8 of this Agreement.</w:t>
      </w:r>
    </w:p>
    <w:p>
      <w:pPr>
        <w:spacing w:after="0" w:line="38" w:lineRule="exact"/>
        <w:rPr>
          <w:rFonts w:ascii="Arial" w:cs="Arial" w:eastAsia="Arial" w:hAnsi="Arial"/>
          <w:sz w:val="18"/>
          <w:szCs w:val="18"/>
          <w:color w:val="auto"/>
        </w:rPr>
      </w:pPr>
    </w:p>
    <w:p>
      <w:pPr>
        <w:ind w:left="460" w:right="100" w:hanging="452"/>
        <w:spacing w:after="0" w:line="254"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Employee agrees that given the nature of Employer’s business, the scope and duration of the restrictions in Paragraphs 7 and 8 are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necessary to protect the legitimate business interests of Employer and do not unduly interfere with Employee’s career or economic pursuits. Employee recognizes and agrees that a breach of any or all of the provisions of Paragraphs 7 or 8 will constitute immediate and irreparable harm to Employer’s business advantage, for which damages cannot be readily calculated and for which damages are an inadequate remedy. Accordingly, Employee acknowledges that Employer shall therefore be entitled to seek an injunction or injunctions to prevent any breach or threatened breach of any such provision. Such injunctive relief shall not be Employer’s sole remedy. Employee agrees to reimburse Employer for all costs and expenses, including reasonable attorney’s fees and costs, incurred by Employer in connection with the successful enforcement of its rights under Paragraphs 7 and 8 of this Agreement.</w:t>
      </w:r>
    </w:p>
    <w:p>
      <w:pPr>
        <w:spacing w:after="0" w:line="57" w:lineRule="exact"/>
        <w:rPr>
          <w:rFonts w:ascii="Arial" w:cs="Arial" w:eastAsia="Arial" w:hAnsi="Arial"/>
          <w:sz w:val="18"/>
          <w:szCs w:val="18"/>
          <w:color w:val="auto"/>
        </w:rPr>
      </w:pPr>
    </w:p>
    <w:p>
      <w:pPr>
        <w:ind w:left="460" w:right="920" w:hanging="452"/>
        <w:spacing w:after="0" w:line="27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Paragraphs 7, 8, and 9 of this Agreement shall survive and continue in full force and effect in accordance with their respective terms,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termination of the Agreement.</w:t>
      </w:r>
    </w:p>
    <w:p>
      <w:pPr>
        <w:spacing w:after="0" w:line="38" w:lineRule="exact"/>
        <w:rPr>
          <w:rFonts w:ascii="Arial" w:cs="Arial" w:eastAsia="Arial" w:hAnsi="Arial"/>
          <w:sz w:val="18"/>
          <w:szCs w:val="18"/>
          <w:color w:val="auto"/>
        </w:rPr>
      </w:pPr>
    </w:p>
    <w:p>
      <w:pPr>
        <w:ind w:left="460" w:right="180" w:hanging="452"/>
        <w:spacing w:after="0" w:line="338"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color w:val="auto"/>
        </w:rPr>
        <w:t>. Except with respect to Paragraph 7 and 8, any dispute or controversy between Employer and Employee, whether arising out of or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breach of this Agreement, or otherwise, shall be settled by arbitration in Chicago, Illinois, in accordance with the following:</w:t>
      </w:r>
    </w:p>
    <w:p>
      <w:pPr>
        <w:ind w:left="900" w:right="44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Arbitration hearings will be conducted by the American Arbitration Association (AAA). Except as modified herein, arbitration hearings will be conducted in accordance with AAA’s rules.</w:t>
      </w:r>
    </w:p>
    <w:p>
      <w:pPr>
        <w:spacing w:after="0" w:line="50" w:lineRule="exact"/>
        <w:rPr>
          <w:rFonts w:ascii="Arial" w:cs="Arial" w:eastAsia="Arial" w:hAnsi="Arial"/>
          <w:sz w:val="18"/>
          <w:szCs w:val="18"/>
          <w:color w:val="auto"/>
        </w:rPr>
      </w:pPr>
    </w:p>
    <w:p>
      <w:pPr>
        <w:ind w:left="900" w:right="24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State and federal laws contain statutes of limitation which prescribe the time frames within which parties must file a law suit to have their disputes resolved through the court system. These same statutes of limitation will apply in determining the time frame during which the parties must file a request for arbitration.</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Employee seeks arbitration, Employee shall submit a filing fee to the AAA in an amount equal to the lesser of the filing fee charged in the state or federal court in Chicago, Illinois. The AAA will bill Employer for the balance of the filing and arbitrator’s fees.</w:t>
      </w:r>
    </w:p>
    <w:p>
      <w:pPr>
        <w:spacing w:after="0" w:line="50" w:lineRule="exact"/>
        <w:rPr>
          <w:rFonts w:ascii="Arial" w:cs="Arial" w:eastAsia="Arial" w:hAnsi="Arial"/>
          <w:sz w:val="18"/>
          <w:szCs w:val="18"/>
          <w:color w:val="auto"/>
        </w:rPr>
      </w:pPr>
    </w:p>
    <w:p>
      <w:pPr>
        <w:ind w:left="900" w:right="160" w:hanging="446"/>
        <w:spacing w:after="0" w:line="306"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arbitrator shall have the same authority to award (and shall be limited to awarding) any remedy or relief that a court of competent jurisdiction could award, including compensatory damages, attorney fees, punitive damages and reinstatement. Employer and Employee may be represented by legal counsel or any other individual at their own expense during an arbitration hearing.</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1420"/>
          </w:cols>
          <w:pgMar w:left="240" w:top="274" w:right="239" w:bottom="1440" w:gutter="0" w:footer="0" w:header="0"/>
        </w:sectPr>
      </w:pPr>
    </w:p>
    <w:bookmarkStart w:id="173" w:name="page174"/>
    <w:bookmarkEnd w:id="173"/>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Judgment on the award rendered by the arbitrator may be entered in any court having jurisdiction thereof.</w:t>
      </w:r>
    </w:p>
    <w:p>
      <w:pPr>
        <w:spacing w:after="0" w:line="90" w:lineRule="exact"/>
        <w:rPr>
          <w:rFonts w:ascii="Arial" w:cs="Arial" w:eastAsia="Arial" w:hAnsi="Arial"/>
          <w:sz w:val="18"/>
          <w:szCs w:val="18"/>
          <w:color w:val="auto"/>
        </w:rPr>
      </w:pPr>
    </w:p>
    <w:p>
      <w:pPr>
        <w:ind w:left="900" w:right="180" w:hanging="446"/>
        <w:spacing w:after="0" w:line="259" w:lineRule="auto"/>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Except as necessary in court proceedings to enforce this arbitration provision or an award rendered hereunder, or to obtain interim relief, neither a party nor an arbitrator may disclose the existence, content or results of any arbitration hereunder without the prior written consent of Employer and Employee.</w:t>
      </w:r>
    </w:p>
    <w:p>
      <w:pPr>
        <w:spacing w:after="0" w:line="53"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required or permitted hereunder shall be in writing and shall be deemed given when (i) delivered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or by overnight courier to the following address of the other party hereto (or such other address for such party as shall be specified by notice given pursuant to this Paragraph) or (ii) sent by facsimile to the following facsimile number of the other party hereto (or such other facsimile number for such party as shall be specified by notice given pursuant to this Paragraph), with the confirmatory copy delivered by overnight courier to the address of such party pursuant to this Paragraph 14:</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Employer,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Craig S. Donohue</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Mercantile Exchange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 South Wacker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(312) 930-3100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Kathleen M. Cronin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Managing Director, General Counsel and Corporate Secretary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Mercantile Exchange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 South Wacker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(312) 930-3488</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Employee,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Bryan Durkin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17548 Karli Lane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Orland Park, 60467</w:t>
      </w:r>
    </w:p>
    <w:p>
      <w:pPr>
        <w:spacing w:after="0" w:line="78" w:lineRule="exact"/>
        <w:rPr>
          <w:sz w:val="20"/>
          <w:szCs w:val="20"/>
          <w:color w:val="auto"/>
        </w:rPr>
      </w:pPr>
    </w:p>
    <w:p>
      <w:pPr>
        <w:ind w:left="460" w:right="80" w:hanging="452"/>
        <w:spacing w:after="0" w:line="296"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but if any provision of this Agreement is held to be invalid, illegal or unenforceable in any respect under applicable law or rule in any jurisdiction, such invalidity, illegality or unenforceability shall not affect the validity, legality or enforceability of any other provision of this Agreement or the validity, legality or enforceability of such provision in any other jurisdiction, but this Agreement shall be reformed, construed and enforced in such jurisdiction as if such invalid, illegal or unenforceable provision had never been contained herein.</w:t>
      </w:r>
    </w:p>
    <w:p>
      <w:pPr>
        <w:spacing w:after="0" w:line="26" w:lineRule="exact"/>
        <w:rPr>
          <w:rFonts w:ascii="Arial" w:cs="Arial" w:eastAsia="Arial" w:hAnsi="Arial"/>
          <w:sz w:val="16"/>
          <w:szCs w:val="16"/>
          <w:color w:val="auto"/>
        </w:rPr>
      </w:pPr>
    </w:p>
    <w:p>
      <w:pPr>
        <w:ind w:left="460" w:right="180" w:hanging="452"/>
        <w:spacing w:after="0" w:line="275"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and understanding between the parties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and preempts any prior understandings, agreements or representations by or between the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1420"/>
          </w:cols>
          <w:pgMar w:left="240" w:top="280" w:right="239" w:bottom="1440" w:gutter="0" w:footer="0" w:header="0"/>
        </w:sectPr>
      </w:pPr>
    </w:p>
    <w:bookmarkStart w:id="174" w:name="page175"/>
    <w:bookmarkEnd w:id="174"/>
    <w:p>
      <w:pPr>
        <w:ind w:left="46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parties, written or oral, which may have related in any manner to the subject matter hereof. No other agreement or amendment to this Agreement shall be binding upon either party including, without limitation, any agreement or amendment made hereafter unless in writing, signed by both parties. Employee acknowledges that each of the parties has participated in the preparation of this Agreement and for purposes of principles of law governing the construction of the terms of this Agreement, no party shall be deemed to be the drafter of the same.</w:t>
      </w:r>
    </w:p>
    <w:p>
      <w:pPr>
        <w:spacing w:after="0" w:line="39" w:lineRule="exact"/>
        <w:rPr>
          <w:sz w:val="20"/>
          <w:szCs w:val="20"/>
          <w:color w:val="auto"/>
        </w:rPr>
      </w:pPr>
    </w:p>
    <w:p>
      <w:pPr>
        <w:ind w:left="460" w:right="460" w:hanging="452"/>
        <w:spacing w:after="0" w:line="275"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enforceable by Employee and his heirs, executors, administrators and legal representatives, and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and its successors and assigns.</w:t>
      </w:r>
    </w:p>
    <w:p>
      <w:pPr>
        <w:spacing w:after="0" w:line="38" w:lineRule="exact"/>
        <w:rPr>
          <w:rFonts w:ascii="Arial" w:cs="Arial" w:eastAsia="Arial" w:hAnsi="Arial"/>
          <w:sz w:val="18"/>
          <w:szCs w:val="18"/>
          <w:color w:val="auto"/>
        </w:rPr>
      </w:pPr>
    </w:p>
    <w:p>
      <w:pPr>
        <w:ind w:left="460" w:right="260" w:hanging="452"/>
        <w:spacing w:after="0" w:line="275"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Illinois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 of laws.</w:t>
      </w:r>
    </w:p>
    <w:p>
      <w:pPr>
        <w:spacing w:after="0" w:line="38"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IRS Code Section 409A</w:t>
      </w:r>
      <w:r>
        <w:rPr>
          <w:rFonts w:ascii="Arial" w:cs="Arial" w:eastAsia="Arial" w:hAnsi="Arial"/>
          <w:sz w:val="18"/>
          <w:szCs w:val="18"/>
          <w:color w:val="auto"/>
        </w:rPr>
        <w:t>. Notwithstanding any provision in this Agreement to the contrary, if any amount payable upon Employee’s termination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by Employer to be subject to Section 409A at the time of payment, such amount shall be paid no earlier than six (6) months after the date of his termination. This Agreement is intended to comply with Section 409A and shall at all times be interpreted and administered in accordance with such intent. To the extent that any provision of the Agreement violates Section 409A, such provision shall be interpreted and/or reformed by Employer to comply with Section 409A.</w:t>
      </w:r>
    </w:p>
    <w:p>
      <w:pPr>
        <w:spacing w:after="0" w:line="57" w:lineRule="exact"/>
        <w:rPr>
          <w:rFonts w:ascii="Arial" w:cs="Arial" w:eastAsia="Arial" w:hAnsi="Arial"/>
          <w:sz w:val="18"/>
          <w:szCs w:val="18"/>
          <w:color w:val="auto"/>
        </w:rPr>
      </w:pPr>
    </w:p>
    <w:p>
      <w:pPr>
        <w:ind w:left="460" w:right="2520" w:hanging="452"/>
        <w:spacing w:after="0" w:line="554" w:lineRule="auto"/>
        <w:tabs>
          <w:tab w:leader="none" w:pos="449" w:val="left"/>
        </w:tabs>
        <w:numPr>
          <w:ilvl w:val="0"/>
          <w:numId w:val="123"/>
        </w:numPr>
        <w:rPr>
          <w:rFonts w:ascii="Arial" w:cs="Arial" w:eastAsia="Arial" w:hAnsi="Arial"/>
          <w:sz w:val="15"/>
          <w:szCs w:val="15"/>
          <w:color w:val="auto"/>
        </w:rPr>
      </w:pPr>
      <w:r>
        <w:rPr>
          <w:rFonts w:ascii="Arial" w:cs="Arial" w:eastAsia="Arial" w:hAnsi="Arial"/>
          <w:sz w:val="15"/>
          <w:szCs w:val="15"/>
          <w:b w:val="1"/>
          <w:bCs w:val="1"/>
          <w:u w:val="single" w:color="auto"/>
          <w:color w:val="auto"/>
        </w:rPr>
        <w:t>Acknowledgment</w:t>
      </w:r>
      <w:r>
        <w:rPr>
          <w:rFonts w:ascii="Arial" w:cs="Arial" w:eastAsia="Arial" w:hAnsi="Arial"/>
          <w:sz w:val="15"/>
          <w:szCs w:val="15"/>
          <w:color w:val="auto"/>
        </w:rPr>
        <w:t>. Employee acknowledges that he has read, understood, and accepts the provisions of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WITNESS WHEREOF, the parties hereto have executed this Agreement as of the date first written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Chicago Mercantile Exchange Inc.</w:t>
            </w:r>
          </w:p>
        </w:tc>
        <w:tc>
          <w:tcPr>
            <w:tcW w:w="6380" w:type="dxa"/>
            <w:vAlign w:val="bottom"/>
            <w:gridSpan w:val="2"/>
          </w:tcPr>
          <w:p>
            <w:pPr>
              <w:ind w:left="1260"/>
              <w:spacing w:after="0"/>
              <w:rPr>
                <w:sz w:val="20"/>
                <w:szCs w:val="20"/>
                <w:color w:val="auto"/>
              </w:rPr>
            </w:pPr>
            <w:r>
              <w:rPr>
                <w:rFonts w:ascii="Arial" w:cs="Arial" w:eastAsia="Arial" w:hAnsi="Arial"/>
                <w:sz w:val="18"/>
                <w:szCs w:val="18"/>
                <w:b w:val="1"/>
                <w:bCs w:val="1"/>
                <w:color w:val="auto"/>
              </w:rPr>
              <w:t>Bryan Durkin</w:t>
            </w:r>
          </w:p>
        </w:tc>
      </w:tr>
      <w:tr>
        <w:trPr>
          <w:trHeight w:val="46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Durkin</w:t>
            </w: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1"/>
                <w:szCs w:val="21"/>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Date:  10/5/07</w:t>
            </w:r>
          </w:p>
        </w:tc>
      </w:tr>
      <w:tr>
        <w:trPr>
          <w:trHeight w:val="437"/>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Board of Trade of City of Chicago, Inc.</w:t>
            </w:r>
          </w:p>
        </w:tc>
        <w:tc>
          <w:tcPr>
            <w:tcW w:w="12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6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5120" w:type="dxa"/>
            <w:vAlign w:val="bottom"/>
          </w:tcPr>
          <w:p>
            <w:pPr>
              <w:spacing w:after="0"/>
              <w:rPr>
                <w:sz w:val="21"/>
                <w:szCs w:val="21"/>
                <w:color w:val="auto"/>
              </w:rPr>
            </w:pPr>
          </w:p>
        </w:tc>
      </w:tr>
    </w:tbl>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Employee Initials BTD</w:t>
      </w:r>
    </w:p>
    <w:p>
      <w:pPr>
        <w:sectPr>
          <w:pgSz w:w="11900" w:h="16838" w:orient="portrait"/>
          <w:cols w:equalWidth="0" w:num="1">
            <w:col w:w="11420"/>
          </w:cols>
          <w:pgMar w:left="240" w:top="280"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 and Acceptance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Intellectual Property Policy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Acknowledgement and acceptance of the following policies is a condition of your employment with any CME Group Inc. company.</w:t>
      </w:r>
    </w:p>
    <w:p>
      <w:pPr>
        <w:spacing w:after="0" w:line="28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right="20" w:firstLine="464"/>
        <w:spacing w:after="0" w:line="286" w:lineRule="auto"/>
        <w:tabs>
          <w:tab w:leader="none" w:pos="62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You acknowledge that the successful development and marketing of CME Group Inc.’s (“CME Group”) and/or any Group Company’s (defined as any subsidiary, and/or any affiliated company) services and products, including CME Group’s trading programs and systems, current and potential customer and business relationships, and business strategies and growth and development plans requires substantial effort and expense. Such efforts generate for CME Group and/or any Group Company valuable and proprietary information (“Confidential Information”), which gives CME Group and/or any Group Company a business advantage over others who do not have such information. Confidential Information includes, but is not limited to, trade secrets; patent applications; inventions and invention disclosures; know- how; works of authorship; design details and specification; business plans and proposals; procurement requirements; employee, prospect and customer lists; trading methodologies; marketing plans, systems and programs; training materials research data bases; computer software; business and contractual relationships, business forecasts, information regarding third parties, formulae related to current futures and proposed products services and other technical, business, and financial information of CME Group and/or any Group Company not generally known to the public. You further acknowledge that during your employment by CME Group or any Group Company, your duties may expose you to Confidential Information, whether generated by CME Group and/or any Group Company or a third party, and you understand and acknowledge that each and every component of the Confidential Information constitutes a protectible business interest of CME Group and/or any Group Company.</w:t>
      </w:r>
    </w:p>
    <w:p>
      <w:pPr>
        <w:spacing w:after="0" w:line="124" w:lineRule="exact"/>
        <w:rPr>
          <w:rFonts w:ascii="Arial" w:cs="Arial" w:eastAsia="Arial" w:hAnsi="Arial"/>
          <w:sz w:val="16"/>
          <w:szCs w:val="16"/>
          <w:color w:val="auto"/>
        </w:rPr>
      </w:pPr>
    </w:p>
    <w:p>
      <w:pPr>
        <w:ind w:right="20" w:firstLine="464"/>
        <w:spacing w:after="0" w:line="291" w:lineRule="auto"/>
        <w:tabs>
          <w:tab w:leader="none" w:pos="63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Throughout your employment with CME Group or any Group Company and at all times thereafter: (i) you will hold all Confidential Information in the strictest confidence, take all reasonable precautions to prevent its inadvertent disclosure to any unauthorized person, and follow all CME Group and/or any Group Company policies protecting the Confidential Information; (ii) you will not, directly or indirectly, utilize, disclose, or make available to any other person or entity, any of the Confidential Information, other than in the proper performance of your duties during your employment with CME Group or any Group Company; and (iii) if you learn that any person or entity is taking or threatening to take any action which would compromise any Confidential Information, you will promptly advise CME Group of all facts concerning such action or threatened action.</w:t>
      </w:r>
    </w:p>
    <w:p>
      <w:pPr>
        <w:spacing w:after="0" w:line="120" w:lineRule="exact"/>
        <w:rPr>
          <w:rFonts w:ascii="Arial" w:cs="Arial" w:eastAsia="Arial" w:hAnsi="Arial"/>
          <w:sz w:val="16"/>
          <w:szCs w:val="16"/>
          <w:color w:val="auto"/>
        </w:rPr>
      </w:pPr>
    </w:p>
    <w:p>
      <w:pPr>
        <w:jc w:val="both"/>
        <w:ind w:right="360" w:firstLine="464"/>
        <w:spacing w:after="0" w:line="256" w:lineRule="auto"/>
        <w:tabs>
          <w:tab w:leader="none" w:pos="62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you receive any subpoena or become subject to any legal obligation that might require you to disclose Confidential Information, you will provide prompt written notice of that fact to CME Group, enclosing a copy of the subpoena and any other documents describing the legal obligation. In the event that CME Group and/or any Group Company objects to the disclosure of Confidential Information, by way of a motion to quash or otherwise, you agree to not disclose any Confidential Information while any such objection is pending.</w:t>
      </w:r>
    </w:p>
    <w:p>
      <w:pPr>
        <w:spacing w:after="0" w:line="143" w:lineRule="exact"/>
        <w:rPr>
          <w:rFonts w:ascii="Arial" w:cs="Arial" w:eastAsia="Arial" w:hAnsi="Arial"/>
          <w:sz w:val="18"/>
          <w:szCs w:val="18"/>
          <w:color w:val="auto"/>
        </w:rPr>
      </w:pPr>
    </w:p>
    <w:p>
      <w:pPr>
        <w:ind w:right="80" w:firstLine="464"/>
        <w:spacing w:after="0" w:line="259" w:lineRule="auto"/>
        <w:tabs>
          <w:tab w:leader="none" w:pos="6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At the request of CME Group (or, without any request, upon termination of your employment with CME Group or any Group Company for any reason), you will immediately deliver to CME Group (i) all property of CME Group and/or any Group Company that is then in your possession, custody or control, including, without limitation, all keys, access cards, credit cards, computer</w:t>
      </w:r>
    </w:p>
    <w:p>
      <w:pPr>
        <w:sectPr>
          <w:pgSz w:w="11900" w:h="16838" w:orient="portrait"/>
          <w:cols w:equalWidth="0" w:num="1">
            <w:col w:w="11420"/>
          </w:cols>
          <w:pgMar w:left="240" w:top="274" w:right="239" w:bottom="1440" w:gutter="0" w:footer="0" w:header="0"/>
        </w:sectPr>
      </w:pPr>
    </w:p>
    <w:bookmarkStart w:id="176" w:name="page177"/>
    <w:bookmarkEnd w:id="176"/>
    <w:p>
      <w:pPr>
        <w:ind w:right="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hardware (including but not limited to any hard drives, diskettes, laptop computers and personal data assistants and the contents thereof, as well as any passwords or codes needed to operate any such hardware), computer software and programs, data, materials, papers, books, files, documents, records, policies, client and customer information and lists, marketing information, design information, specifications and plans, data base information and lists, mailing lists, notes, and any other property or information that you have relating to CME Group and/or any Group Company (whether those materials are in paper or computer-stored form), and (ii) any and all documents or other items containing, summarizing, or describing any Confidential Information, including all originals and copies.</w:t>
      </w:r>
    </w:p>
    <w:p>
      <w:pPr>
        <w:spacing w:after="0" w:line="215"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Inventions</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firstLine="464"/>
        <w:spacing w:after="0" w:line="287" w:lineRule="auto"/>
        <w:tabs>
          <w:tab w:leader="none" w:pos="62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During and after your employment with CME Group or any Group Company, you will promptly disclose, assign and transfer to CME Group and/or any Group Company any right, title or interest in any inventions, designs, discoveries, works of authorship, creations, ideas, developments, improvements or software (collectively, “Inventions”), that you may have or acquire, in whole or in part, as a result of your employment by CME Group and/or any Group Company. This obligation applies to any Inventions that relate to CME Group’s and/or any Group Company’s business, whether or not the Inventions are created, originated, developed or conceived of by you solely or jointly with others, or during business hours or on personal time, and whether or not the Inventions are protected or protectible under applicable patent, trademark, service mark, copyright or trade secret laws. You hereby transfer such Inventions and all right, title and interest in such Inventions, free of all encumbrances and restrictions, and agree to promptly take any action, including executing and delivering any documentation, deemed necessary by CME Group to effectuate the transfer or prosecution of ownership rights in the United States and any other country as CME Group may request. In the event that you become unable, unavailable or unwilling to execute and/or deliver such documentation, you hereby grant CME Group a power of attorney sufficient to secure for CME Group any statutorily- available protection for such Inventions.</w:t>
      </w:r>
    </w:p>
    <w:p>
      <w:pPr>
        <w:spacing w:after="0" w:line="122" w:lineRule="exact"/>
        <w:rPr>
          <w:rFonts w:ascii="Arial" w:cs="Arial" w:eastAsia="Arial" w:hAnsi="Arial"/>
          <w:sz w:val="16"/>
          <w:szCs w:val="16"/>
          <w:color w:val="auto"/>
        </w:rPr>
      </w:pPr>
    </w:p>
    <w:p>
      <w:pPr>
        <w:ind w:right="80" w:firstLine="464"/>
        <w:spacing w:after="0" w:line="298" w:lineRule="auto"/>
        <w:tabs>
          <w:tab w:leader="none" w:pos="63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Notwithstanding anything else in this Agreement, you understand that Paragraph 2.a. shall not apply to general know how or to an invention for which no equipment, supplies, facility or trade secret information of CME Group and/or any Group Company was used and which was developed entirely on your own time, unless the invention (i) relates to the business of CME Group and/or any Group Company or CME Group’s and/or any Group Company’s actual or demonstrably anticipated research or development or (ii) results from any work you perform or have performed for CME Group and/or any Group Company.</w:t>
      </w:r>
    </w:p>
    <w:p>
      <w:pPr>
        <w:spacing w:after="0" w:line="112" w:lineRule="exact"/>
        <w:rPr>
          <w:rFonts w:ascii="Arial" w:cs="Arial" w:eastAsia="Arial" w:hAnsi="Arial"/>
          <w:sz w:val="16"/>
          <w:szCs w:val="16"/>
          <w:color w:val="auto"/>
        </w:rPr>
      </w:pPr>
    </w:p>
    <w:p>
      <w:pPr>
        <w:ind w:right="60" w:firstLine="464"/>
        <w:spacing w:after="0" w:line="254" w:lineRule="auto"/>
        <w:tabs>
          <w:tab w:leader="none" w:pos="62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You acknowledge that any computer programs, documentation, works of authorship or other copyrightable works that you create in whole or in part during your employment with CME Group and/or any Group Company shall: (i) be considered “works made for hire” under Section 101 of the U.S. Copyright Act, 17 U.S.C. § 101; (ii) be considered part of the Confidential Information; and (iii) be covered by Paragraph 1 above. In the event that the work is deemed not to constitute such a work made for hire, or in the event that you should otherwise by operation of law be deemed to retain any rights (whether moral rights or otherwise) to any work, you agree to assign to CME Group and/or any Group Company, without further consideration, the entire right, title and interest in and to each and every such work.</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7" w:name="page178"/>
    <w:bookmarkEnd w:id="177"/>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In recognition that the unauthorized disclosure, copying or use of any CME Group and/or any Group Company Inventions will cause irreparable harm and significant injury to CME Group, you grant a power of attorney to CME Group sufficient to obtain any injunctive relief CME Group may seek to enforce the provisions of this agreement.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 have read and understand the above description of CME Group policies regarding Confidential Information and Assignment of Inventions. I acknowledge and confirm that I will comply with these policies.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9/11/07</w:t>
            </w:r>
          </w:p>
        </w:tc>
        <w:tc>
          <w:tcPr>
            <w:tcW w:w="31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Bryan T. Durkin</w:t>
            </w: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Name (Please Print)</w:t>
            </w:r>
          </w:p>
        </w:tc>
      </w:tr>
      <w:tr>
        <w:trPr>
          <w:trHeight w:val="433"/>
        </w:trPr>
        <w:tc>
          <w:tcPr>
            <w:tcW w:w="3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T. Durkin</w:t>
            </w:r>
          </w:p>
        </w:tc>
      </w:tr>
      <w:tr>
        <w:trPr>
          <w:trHeight w:val="222"/>
        </w:trPr>
        <w:tc>
          <w:tcPr>
            <w:tcW w:w="3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Signature</w:t>
            </w:r>
          </w:p>
        </w:tc>
      </w:tr>
      <w:tr>
        <w:trPr>
          <w:trHeight w:val="365"/>
        </w:trPr>
        <w:tc>
          <w:tcPr>
            <w:tcW w:w="3100" w:type="dxa"/>
            <w:vAlign w:val="bottom"/>
          </w:tcPr>
          <w:p>
            <w:pPr>
              <w:spacing w:after="0"/>
              <w:rPr>
                <w:sz w:val="24"/>
                <w:szCs w:val="24"/>
                <w:color w:val="auto"/>
              </w:rPr>
            </w:pPr>
          </w:p>
        </w:tc>
        <w:tc>
          <w:tcPr>
            <w:tcW w:w="318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NON-COMPETITION AND NON-SOLICITATION AGREEMENT</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Confidentiality, Non-Competition and Non-Solicitation Agreement (the “Agreement”), is made and entered into this 11th day of September 2007, by and between Bryan Durkin (“Employee”) and The Board of Trade of the City of Chicago, Inc. a CME Group Inc. company, (“Employer” or “CBOT”), a Delaware Corporation, having its principal place of business at 20 South Wacker Drive, Chicago, Illinois.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r>
        <w:rPr>
          <w:rFonts w:ascii="Arial" w:cs="Arial" w:eastAsia="Arial" w:hAnsi="Arial"/>
          <w:sz w:val="18"/>
          <w:szCs w:val="18"/>
          <w:b w:val="1"/>
          <w:bCs w:val="1"/>
          <w:color w:val="auto"/>
        </w:rPr>
        <w:t>:</w:t>
      </w:r>
    </w:p>
    <w:p>
      <w:pPr>
        <w:spacing w:after="0" w:line="177" w:lineRule="exact"/>
        <w:rPr>
          <w:sz w:val="20"/>
          <w:szCs w:val="20"/>
          <w:color w:val="auto"/>
        </w:rPr>
      </w:pPr>
    </w:p>
    <w:p>
      <w:pPr>
        <w:ind w:left="460" w:right="3080"/>
        <w:spacing w:after="0" w:line="391" w:lineRule="auto"/>
        <w:rPr>
          <w:sz w:val="20"/>
          <w:szCs w:val="20"/>
          <w:color w:val="auto"/>
        </w:rPr>
      </w:pPr>
      <w:r>
        <w:rPr>
          <w:rFonts w:ascii="Arial" w:cs="Arial" w:eastAsia="Arial" w:hAnsi="Arial"/>
          <w:sz w:val="18"/>
          <w:szCs w:val="18"/>
          <w:color w:val="auto"/>
        </w:rPr>
        <w:t>WHEREAS, Employee is employed by CBOT in the capacity of Managing Director &amp; Chief Operating Officer; WHEREAS, CBOT is a wholly-owned subsidiary of CME Group Inc.;</w:t>
      </w:r>
    </w:p>
    <w:p>
      <w:pPr>
        <w:spacing w:after="0" w:line="1" w:lineRule="exact"/>
        <w:rPr>
          <w:sz w:val="20"/>
          <w:szCs w:val="20"/>
          <w:color w:val="auto"/>
        </w:rPr>
      </w:pPr>
    </w:p>
    <w:p>
      <w:pPr>
        <w:jc w:val="both"/>
        <w:ind w:right="80" w:firstLine="913"/>
        <w:spacing w:after="0" w:line="256" w:lineRule="auto"/>
        <w:rPr>
          <w:sz w:val="20"/>
          <w:szCs w:val="20"/>
          <w:color w:val="auto"/>
        </w:rPr>
      </w:pPr>
      <w:r>
        <w:rPr>
          <w:rFonts w:ascii="Arial" w:cs="Arial" w:eastAsia="Arial" w:hAnsi="Arial"/>
          <w:sz w:val="18"/>
          <w:szCs w:val="18"/>
          <w:color w:val="auto"/>
        </w:rPr>
        <w:t>WHEREAS, in performing the job functions of Managing Director &amp; Chief Operating Officer and any subsequent executive or managerial position, Employee has had, and will continue to have, personal contact with customers, business partners, and employees of CBOT, CME Group Inc. and their subsidiary and affiliate companies (collectively “CME Group”), and Employee has had, and will continue to have, access to CME Group confidential, proprietary and trade secret information;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CME Group has a legitimate business interest in maintaining its customer and employee relationships and protecting its confidential, proprietary and trade secret information from disclosure, and Employee acknowledges CME Group’s legitimate interests in protecting these relationships and this information;</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WHEREAS, Employee is eligible to receive equity in CME Group pursuant to the Amended and Restated Omnibus Stock Plan and, as a condition to Employee’s continued eligibility to receive such equity and Employee’s continued employment with CBOT and/or any other CME Group Inc. subsidiary, Employee agrees to accept certain restrictions on Employee’s activities both during and after employment with CBOT and/or any other CME Group Inc. subsidiary which protect CME Group’s legitimate interests in its customer and employee relationships and confidential, proprietary and trade secret information;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NOW, THEREFORE, in consideration of such employment, the benefits pertaining thereto, and other mutual promises, and for other good and valuable consideration, the receipt and sufficiency of which are hereby acknowledged.</w:t>
      </w:r>
    </w:p>
    <w:p>
      <w:pPr>
        <w:spacing w:after="0" w:line="126" w:lineRule="exact"/>
        <w:rPr>
          <w:sz w:val="20"/>
          <w:szCs w:val="20"/>
          <w:color w:val="auto"/>
        </w:rPr>
      </w:pPr>
    </w:p>
    <w:p>
      <w:pPr>
        <w:ind w:left="640" w:hanging="17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Employee acknowledges that the successful development and marketing of CME Group’s services and products, including CME Group’s trading programs and systems, current and potential customer and business relationships, and business strategies and growth and development plans requires substantial effort and expense. Such efforts generate for CME Group valuable and proprietary information (“Confidential Information”), which gives CME Group a business advantage over others who do not have such information. Confidential Information includes, but is not limited to, trade secrets: business plans and proposals; prospect and customer lists; trading methodologies; marketing plans, systems and programs; training materials; research data bases; computer software; and other technical business, and financial information of CME Group not generally known to the public. Employee further acknowledges that during Employee’s employment by CBOT and/or any other CME Group Inc. subsidiary, Employee’s duties</w:t>
      </w:r>
    </w:p>
    <w:p>
      <w:pPr>
        <w:sectPr>
          <w:pgSz w:w="11900" w:h="16838" w:orient="portrait"/>
          <w:cols w:equalWidth="0" w:num="1">
            <w:col w:w="11420"/>
          </w:cols>
          <w:pgMar w:left="240" w:top="274" w:right="239" w:bottom="1440" w:gutter="0" w:footer="0" w:header="0"/>
        </w:sectPr>
      </w:pPr>
    </w:p>
    <w:bookmarkStart w:id="179" w:name="page180"/>
    <w:bookmarkEnd w:id="17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expose Employee to Confidential Information, and Employee understands and acknowledges that each and every component of the Confidential Information constitutes a protectible business interest of the CME Group.</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b. Throughout Employee’s employment with CBOT and/or any other CME Group Inc. subsidiary and at all times thereafter: (i) Employee will hold all Confidential Information in the strictest confidence, take all reasonable precautions to prevent its inadvertent disclosure to any unauthorized person, and follow all CME Group policies protecting the Confidential Information; (ii) Employee will not, directly or indirectly, utilize, disclose, or make available to any other person or entity, any of the Confidential Information, other than in the proper performance of Employee’s duties during Employee’s employment with CBOT and/or any other CME Group Inc. subsidiary; and (iii) if Employee learns that any person or entity is taking or threatening to take any action which would compromise any Confidential Information, Employee will promptly advise CME Group of all facts concerning such action or threatened action.</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 If Employee receives any subpoena or becomes subject to any legal obligation that might require Employee to disclose Confidential Information, Employee will provide prompt written notice of that fact to CME Group, enclosing a copy of the subpoena and any other documents describing the legal obligation. In the event that CME Group objects to the disclosure of Confidential Information, by way of a motion to quash or otherwise, Employee agrees to not disclose any Confidential Information while any such objection is pending.</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 At the request of CME Group (or, without any request, upon termination of Employee’s employment with CBOT and/or any other CME Group Inc. subsidiary for any reason), Employee will immediately deliver to CME Group (i) all property of the Employer that is then in Employee’s possession, custody or control, including, without limitation, all keys, access cards, credit cards, computer hardware (including but not limited to any hard drives, diskettes, laptop computers and personal data assistants and the contents thereof, as well as any passwords or codes needed to operate any such hardware), computer software and programs, data, materials, papers, books, files, documents, records, policies, client and customer information and lists, marketing information, design information, specifications and plans, data base information and lists, mailing lists, notes, and any other property or information that Employee has relating to CME Group (whether those materials are in paper or computer-stored form), and (ii) any and all documents or other items containing, summarizing, or describing any Confidential Information, including all originals and copies.</w:t>
      </w:r>
    </w:p>
    <w:p>
      <w:pPr>
        <w:spacing w:after="0" w:line="112" w:lineRule="exact"/>
        <w:rPr>
          <w:sz w:val="20"/>
          <w:szCs w:val="20"/>
          <w:color w:val="auto"/>
        </w:rPr>
      </w:pPr>
    </w:p>
    <w:p>
      <w:pPr>
        <w:ind w:right="40" w:firstLine="464"/>
        <w:spacing w:after="0" w:line="255" w:lineRule="auto"/>
        <w:tabs>
          <w:tab w:leader="none" w:pos="63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For a period of nine (9) months following the termination of Employee’s employment with CBOT and/or any other CME Group Inc.</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for any reason, the Employee will not (i) be employed in an executive or managerial capacity by, or (ii) provide, whether as an employee, independent contractor, consultant, or otherwise, any services of an executive or managerial nature or any services similar to those provided by the Employee to CME Group during Employee’s employment with CBOT and/or any other CME Group Inc. subsidiary to, any derivatives exchange or clearing house. Employee acknowledges that the restrictions contained in this Paragraph 2 are necessary to protect CME Group’s legitimate interests in its Confidential Information and customer relationships.</w:t>
      </w:r>
    </w:p>
    <w:p>
      <w:pPr>
        <w:spacing w:after="0" w:line="139" w:lineRule="exact"/>
        <w:rPr>
          <w:rFonts w:ascii="Arial" w:cs="Arial" w:eastAsia="Arial" w:hAnsi="Arial"/>
          <w:sz w:val="18"/>
          <w:szCs w:val="18"/>
          <w:b w:val="1"/>
          <w:bCs w:val="1"/>
          <w:color w:val="auto"/>
        </w:rPr>
      </w:pPr>
    </w:p>
    <w:p>
      <w:pPr>
        <w:ind w:right="40" w:firstLine="464"/>
        <w:spacing w:after="0" w:line="262" w:lineRule="auto"/>
        <w:tabs>
          <w:tab w:leader="none" w:pos="63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Employee agrees that during the term of this Agreement and for a period of one (1) year following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his employment with CBOT and/or any other CME Group Inc. subsidiary for any reason, Employee shall not employ, retain, solicit, for employment or retention, knowingly assist in the employment or retention of, or seek to influence or</w:t>
      </w:r>
    </w:p>
    <w:p>
      <w:pPr>
        <w:spacing w:after="0" w:line="124" w:lineRule="exact"/>
        <w:rPr>
          <w:rFonts w:ascii="Arial" w:cs="Arial" w:eastAsia="Arial" w:hAnsi="Arial"/>
          <w:sz w:val="18"/>
          <w:szCs w:val="18"/>
          <w:b w:val="1"/>
          <w:bCs w:val="1"/>
          <w:color w:val="auto"/>
        </w:rPr>
      </w:pPr>
    </w:p>
    <w:p>
      <w:pPr>
        <w:ind w:left="5680" w:hanging="112"/>
        <w:spacing w:after="0"/>
        <w:tabs>
          <w:tab w:leader="none" w:pos="56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180" w:name="page181"/>
    <w:bookmarkEnd w:id="18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induce to leave CBOT’s and/or any other CME Group Inc.’s subsidiary’s employment or service, any person who is employed or otherwise engaged by CBOT and/or any other CME Group Inc.’s subsidiary at any time during the one-year period ending on Employee’s last day of employment with CBOT and/or any other CME Group Inc. subsidiary. Employee acknowledges that Employer invests a substantial amount of time and money in recruiting and training, and shares Confidential Information with, its employees. Employee further acknowledges that the restrictions contained in this Paragraph 3 are necessary to protect CME Group’s legitimate interests in its Confidential Information and employee relationships.</w:t>
      </w:r>
    </w:p>
    <w:p>
      <w:pPr>
        <w:spacing w:after="0" w:line="150"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Inventions</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right="100" w:firstLine="464"/>
        <w:spacing w:after="0" w:line="289" w:lineRule="auto"/>
        <w:tabs>
          <w:tab w:leader="none" w:pos="62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During and after Employee’s employment with CBOT and/or any other CME Group Inc. subsidiary, Employee will promptly disclose, assign and transfer to CME Group any right, title or interest in any inventions, designs, discoveries, works of authorship, creations, ideas, developments, improvements or software (collectively, “Inventions”), that Employee may have or acquire, in whole or in part, as a result of Employee’s employment by CBOT and/or any other CME Group Inc. subsidiary. This obligation applies to any Inventions that relate to CME Group’s business, whether or not the Inventions are created, originated, developed or conceived of by Employee solely or jointly with others, or during business hours or on personal time, and whether or not the Inventions are protected or protectible under applicable patent, trademark, service mark, copyright or trade secret laws. Employee will transfer such Inventions free of all encumbrances and restrictions, and promptly take any action, including executing and delivering any documentation, deemed necessary by CME Group to effectuate the transfer or prosecution of ownership rights in the United States and any other country as CME Group may request.</w:t>
      </w:r>
    </w:p>
    <w:p>
      <w:pPr>
        <w:spacing w:after="0" w:line="118" w:lineRule="exact"/>
        <w:rPr>
          <w:rFonts w:ascii="Arial" w:cs="Arial" w:eastAsia="Arial" w:hAnsi="Arial"/>
          <w:sz w:val="16"/>
          <w:szCs w:val="16"/>
          <w:color w:val="auto"/>
        </w:rPr>
      </w:pPr>
    </w:p>
    <w:p>
      <w:pPr>
        <w:ind w:firstLine="464"/>
        <w:spacing w:after="0" w:line="256" w:lineRule="auto"/>
        <w:tabs>
          <w:tab w:leader="none" w:pos="63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Notwithstanding anything else in this Agreement, Employee understands that Paragraph 4.a. shall not apply to general know how or to an invention for which no equipment, supplies, facility or trade secret information of CME Group was used and which was developed entirely on Employee’s own time, unless the invention (i) relates to the business of CME Group or CME Group’s actual or demonstrably anticipated research or development or (ii) results from any work Employee performs or has performed for CME Group.</w:t>
      </w:r>
    </w:p>
    <w:p>
      <w:pPr>
        <w:spacing w:after="0" w:line="143" w:lineRule="exact"/>
        <w:rPr>
          <w:rFonts w:ascii="Arial" w:cs="Arial" w:eastAsia="Arial" w:hAnsi="Arial"/>
          <w:sz w:val="18"/>
          <w:szCs w:val="18"/>
          <w:color w:val="auto"/>
        </w:rPr>
      </w:pPr>
    </w:p>
    <w:p>
      <w:pPr>
        <w:ind w:firstLine="464"/>
        <w:spacing w:after="0" w:line="254" w:lineRule="auto"/>
        <w:tabs>
          <w:tab w:leader="none" w:pos="62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Employee acknowledges that any computer programs, documentation, works of authorship or other copyrightable works that Employee creates in whole or in part during Employee’s employment with CBOT and/or any other CME Group Inc. subsidiary shall: (i) be considered “works made for hire” under Section 101 of the U.S. Copyright Act, 17 U.S.C. § 101; (ii) be considered part of the Confidential Information; and (iii) be covered by Paragraph 1 above. In the event that the work is deemed not to constitute such a work made for hire, or in the event that Employee should otherwise by operation of law be deemed to retain any rights (whether moral rights or otherwise) to any work, Employee agrees to assign to CME Group, without further consideration, the entire right, title and interest in and to each and every such work.</w:t>
      </w:r>
    </w:p>
    <w:p>
      <w:pPr>
        <w:spacing w:after="0" w:line="138" w:lineRule="exact"/>
        <w:rPr>
          <w:sz w:val="20"/>
          <w:szCs w:val="20"/>
          <w:color w:val="auto"/>
        </w:rPr>
      </w:pPr>
    </w:p>
    <w:p>
      <w:pPr>
        <w:ind w:left="640" w:hanging="17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Employee agrees that given the nature of CME Group’s business, the scope and duration of the restrictions contained Paragraphs 1 through 5 of this Agreement are reasonable and necessary to protect the legitimate business interests of CME Group and do not unduly interfere with Employee’s career or economic pursuits. Employee recognizes and agrees that any breach or threatened or anticipated breach of any part of Paragraphs 1 through 4 of this Agreement will result in irreparable harm and continuing damage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181" w:name="page182"/>
    <w:bookmarkEnd w:id="18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CME Group, and that the remedy at law for any such breach or threatened or anticipated breach will be inadequate. Accordingly, in addition to any other legal or equitable remedies that may be available to CME Group, Employee agrees that CME Group shall be entitled to seek and obtain an injunction or injunctions, without bond or other security, to prevent any breach or threatened or anticipated breach of any such section. Employee agrees to reimburse CME Group for all costs and expenses, including reasonable attorney’s fees and costs, incurred by CME Group in connection with the enforcement of its rights under this Agreement.</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 If any part of this Agreement is held void, illegal, or unenforceable, or in conflict with any applicable law, every other term of this Agreement shall remain valid and fully enforceable. If any court refuses to enforce any part of this Agreement as written, the court shall modify that part to the minimum extent necessary to make it enforceable under applicable law, and shall enforce it as so modified. The parties recognize and agree that this Agreement is not intended to restrict Employee’s activities in violation of Rule 5.6 of the Illinois Rules of Professional Conduct or any similar rule of another state or court, and if any court refuses to enforce any part of this Agreement as written because that part is deemed to violate Rule 5.6 or any such similar rule, the court shall modify that part to the minimum extent necessary to make it fully enforceable as to any and all activities not covered by such rule.</w:t>
      </w:r>
    </w:p>
    <w:p>
      <w:pPr>
        <w:spacing w:after="0" w:line="114" w:lineRule="exact"/>
        <w:rPr>
          <w:sz w:val="20"/>
          <w:szCs w:val="20"/>
          <w:color w:val="auto"/>
        </w:rPr>
      </w:pPr>
    </w:p>
    <w:p>
      <w:pPr>
        <w:ind w:firstLine="464"/>
        <w:spacing w:after="0" w:line="256" w:lineRule="auto"/>
        <w:tabs>
          <w:tab w:leader="none" w:pos="63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required or permitted hereunder shall be in writing and shall be deemed given when (i)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overnight courier to the following address of the other party hereto (or such other address for such party as shall be specified by notice given pursuant to this Paragraph 6) or (ii) sent by facsimile to the following facsimile number of the other party hereto (or such other facsimile number for such party as shall be specified by notice given pursuant to this Paragraph 6), with the confirmatory copy delivered by overnight courier to the address of such party pursuant to this Paragraph 6:</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CME Group,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Craig S. Donohue</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Mercantile Exchange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 South Wacker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(312) 930-8275</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Kathleen M. Cronin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Managing Director, General Counsel and Corporate Secretary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Mercantile Exchange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 South Wacker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(312) 930-3488</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Employee,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Bryan Durkin</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17548 Karlin Ln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Orland Park, II 60467</w:t>
      </w:r>
    </w:p>
    <w:p>
      <w:pPr>
        <w:spacing w:after="0" w:line="159" w:lineRule="exact"/>
        <w:rPr>
          <w:sz w:val="20"/>
          <w:szCs w:val="20"/>
          <w:color w:val="auto"/>
        </w:rPr>
      </w:pPr>
    </w:p>
    <w:p>
      <w:pPr>
        <w:ind w:right="280" w:firstLine="464"/>
        <w:spacing w:after="0" w:line="275" w:lineRule="auto"/>
        <w:tabs>
          <w:tab w:leader="none" w:pos="63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and preempts any prior understandings, agreements or representations by or between the parties,</w:t>
      </w:r>
    </w:p>
    <w:p>
      <w:pPr>
        <w:spacing w:after="0" w:line="112" w:lineRule="exact"/>
        <w:rPr>
          <w:rFonts w:ascii="Arial" w:cs="Arial" w:eastAsia="Arial" w:hAnsi="Arial"/>
          <w:sz w:val="18"/>
          <w:szCs w:val="18"/>
          <w:b w:val="1"/>
          <w:bCs w:val="1"/>
          <w:color w:val="auto"/>
        </w:rPr>
      </w:pPr>
    </w:p>
    <w:p>
      <w:pPr>
        <w:ind w:left="5680" w:hanging="112"/>
        <w:spacing w:after="0"/>
        <w:tabs>
          <w:tab w:leader="none" w:pos="56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182" w:name="page183"/>
    <w:bookmarkEnd w:id="182"/>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or oral, which may have related in any manner to the subject matter hereof. No other agreement or amendment to this Agreement shall be binding upon either party including, without limitation, any agreement or amendment made hereafter unless in writing, signed by both parties.</w:t>
      </w:r>
    </w:p>
    <w:p>
      <w:pPr>
        <w:spacing w:after="0" w:line="79" w:lineRule="exact"/>
        <w:rPr>
          <w:sz w:val="20"/>
          <w:szCs w:val="20"/>
          <w:color w:val="auto"/>
        </w:rPr>
      </w:pPr>
    </w:p>
    <w:p>
      <w:pPr>
        <w:ind w:left="640" w:hanging="17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enforceable by CME Group and its successors and assigns.</w:t>
      </w:r>
    </w:p>
    <w:p>
      <w:pPr>
        <w:spacing w:after="0" w:line="171" w:lineRule="exact"/>
        <w:rPr>
          <w:rFonts w:ascii="Arial" w:cs="Arial" w:eastAsia="Arial" w:hAnsi="Arial"/>
          <w:sz w:val="18"/>
          <w:szCs w:val="18"/>
          <w:b w:val="1"/>
          <w:bCs w:val="1"/>
          <w:color w:val="auto"/>
        </w:rPr>
      </w:pPr>
    </w:p>
    <w:p>
      <w:pPr>
        <w:ind w:right="60" w:firstLine="464"/>
        <w:spacing w:after="0" w:line="310" w:lineRule="auto"/>
        <w:tabs>
          <w:tab w:leader="none" w:pos="632"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Jurisdiction</w:t>
      </w:r>
      <w:r>
        <w:rPr>
          <w:rFonts w:ascii="Arial" w:cs="Arial" w:eastAsia="Arial" w:hAnsi="Arial"/>
          <w:sz w:val="16"/>
          <w:szCs w:val="16"/>
          <w:color w:val="auto"/>
        </w:rPr>
        <w:t>. This Agreement shall be governed by and construed and enforced in accordance with the laws of the State of Illinois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regard to principles of conflict of laws. The state courts of Cook County, Illinois and the United States District Court for the Northern District of Illinois shall have the exclusive jurisdiction over any and all claims, lawsuits and litigation relating to or arising out of this Agreement.</w:t>
      </w:r>
    </w:p>
    <w:p>
      <w:pPr>
        <w:spacing w:after="0" w:line="97" w:lineRule="exact"/>
        <w:rPr>
          <w:rFonts w:ascii="Arial" w:cs="Arial" w:eastAsia="Arial" w:hAnsi="Arial"/>
          <w:sz w:val="16"/>
          <w:szCs w:val="16"/>
          <w:b w:val="1"/>
          <w:bCs w:val="1"/>
          <w:color w:val="auto"/>
        </w:rPr>
      </w:pPr>
    </w:p>
    <w:p>
      <w:pPr>
        <w:ind w:right="100" w:firstLine="464"/>
        <w:spacing w:after="0" w:line="301" w:lineRule="auto"/>
        <w:tabs>
          <w:tab w:leader="none" w:pos="72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Waivers</w:t>
      </w:r>
      <w:r>
        <w:rPr>
          <w:rFonts w:ascii="Arial" w:cs="Arial" w:eastAsia="Arial" w:hAnsi="Arial"/>
          <w:sz w:val="16"/>
          <w:szCs w:val="16"/>
          <w:color w:val="auto"/>
        </w:rPr>
        <w:t>. The failure of Employer at any time or times to enforce this Agreement shall in no manner affect its right at a later time to enforce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No waiver by Employer of any provision or of any breach of any covenant in this Agreement shall be effective unless in writing signed by the Chief Executive Officer of CME Group, and no waiver in any one or more instances shall be deemed to be a further or continuing waiver of any such provision or breach in other instances or a waiver of any other provision or breach of any other provision or covenant.</w:t>
      </w:r>
    </w:p>
    <w:p>
      <w:pPr>
        <w:spacing w:after="0" w:line="103" w:lineRule="exact"/>
        <w:rPr>
          <w:rFonts w:ascii="Arial" w:cs="Arial" w:eastAsia="Arial" w:hAnsi="Arial"/>
          <w:sz w:val="16"/>
          <w:szCs w:val="16"/>
          <w:b w:val="1"/>
          <w:bCs w:val="1"/>
          <w:color w:val="auto"/>
        </w:rPr>
      </w:pPr>
    </w:p>
    <w:p>
      <w:pPr>
        <w:ind w:right="180" w:firstLine="464"/>
        <w:spacing w:after="0" w:line="339" w:lineRule="auto"/>
        <w:tabs>
          <w:tab w:leader="none" w:pos="71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 of Jury Trial</w:t>
      </w:r>
      <w:r>
        <w:rPr>
          <w:rFonts w:ascii="Arial" w:cs="Arial" w:eastAsia="Arial" w:hAnsi="Arial"/>
          <w:sz w:val="16"/>
          <w:szCs w:val="16"/>
          <w:color w:val="auto"/>
        </w:rPr>
        <w:t>. EACH PARTY HERETO WAIVES THE RIGHT TO A TRIAL BY JURY IN ANY DISPUTE RELATING TO OR ARISING</w:t>
      </w:r>
      <w:r>
        <w:rPr>
          <w:rFonts w:ascii="Arial" w:cs="Arial" w:eastAsia="Arial" w:hAnsi="Arial"/>
          <w:sz w:val="16"/>
          <w:szCs w:val="16"/>
          <w:b w:val="1"/>
          <w:bCs w:val="1"/>
          <w:color w:val="auto"/>
        </w:rPr>
        <w:t xml:space="preserve"> </w:t>
      </w:r>
      <w:r>
        <w:rPr>
          <w:rFonts w:ascii="Arial" w:cs="Arial" w:eastAsia="Arial" w:hAnsi="Arial"/>
          <w:sz w:val="16"/>
          <w:szCs w:val="16"/>
          <w:color w:val="auto"/>
        </w:rPr>
        <w:t>OUT OF THIS AGREEMENT, AND AGREES TO TAKE ANY AND ALL ACTION NECESSARY OR APPROPRIATE TO EFFECT SUCH WAIVER.</w:t>
      </w:r>
    </w:p>
    <w:p>
      <w:pPr>
        <w:spacing w:after="0" w:line="74" w:lineRule="exact"/>
        <w:rPr>
          <w:rFonts w:ascii="Arial" w:cs="Arial" w:eastAsia="Arial" w:hAnsi="Arial"/>
          <w:sz w:val="16"/>
          <w:szCs w:val="16"/>
          <w:b w:val="1"/>
          <w:bCs w:val="1"/>
          <w:color w:val="auto"/>
        </w:rPr>
      </w:pPr>
    </w:p>
    <w:p>
      <w:pPr>
        <w:jc w:val="both"/>
        <w:ind w:right="60" w:firstLine="464"/>
        <w:spacing w:after="0" w:line="262" w:lineRule="auto"/>
        <w:tabs>
          <w:tab w:leader="none" w:pos="7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This Agreement does not in any way change the “at-will” status of Employee’s employment with CBOT and/or any other CME</w:t>
      </w:r>
      <w:r>
        <w:rPr>
          <w:rFonts w:ascii="Arial" w:cs="Arial" w:eastAsia="Arial" w:hAnsi="Arial"/>
          <w:sz w:val="18"/>
          <w:szCs w:val="18"/>
          <w:b w:val="1"/>
          <w:bCs w:val="1"/>
          <w:color w:val="auto"/>
        </w:rPr>
        <w:t xml:space="preserve"> </w:t>
      </w:r>
      <w:r>
        <w:rPr>
          <w:rFonts w:ascii="Arial" w:cs="Arial" w:eastAsia="Arial" w:hAnsi="Arial"/>
          <w:sz w:val="18"/>
          <w:szCs w:val="18"/>
          <w:color w:val="auto"/>
        </w:rPr>
        <w:t>Group Inc. subsidiary, under which either the Employee or CBOT and/or any other CME Group Inc. subsidiary may end the employment relationship at any time with or without cause or notice.</w:t>
      </w:r>
    </w:p>
    <w:p>
      <w:pPr>
        <w:spacing w:after="0" w:line="132" w:lineRule="exact"/>
        <w:rPr>
          <w:rFonts w:ascii="Arial" w:cs="Arial" w:eastAsia="Arial" w:hAnsi="Arial"/>
          <w:sz w:val="18"/>
          <w:szCs w:val="18"/>
          <w:b w:val="1"/>
          <w:bCs w:val="1"/>
          <w:color w:val="auto"/>
        </w:rPr>
      </w:pPr>
    </w:p>
    <w:p>
      <w:pPr>
        <w:ind w:left="720" w:hanging="256"/>
        <w:spacing w:after="0"/>
        <w:tabs>
          <w:tab w:leader="none" w:pos="7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Employee acknowledges that he has read, understood, and accepts the provisions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0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b w:val="1"/>
          <w:bCs w:val="1"/>
          <w:color w:val="auto"/>
        </w:rPr>
        <w:t>The Board of Trade of the City of Chicago,</w:t>
      </w:r>
      <w:r>
        <w:rPr>
          <w:sz w:val="20"/>
          <w:szCs w:val="20"/>
          <w:color w:val="auto"/>
        </w:rPr>
        <w:tab/>
      </w:r>
      <w:r>
        <w:rPr>
          <w:rFonts w:ascii="Arial" w:cs="Arial" w:eastAsia="Arial" w:hAnsi="Arial"/>
          <w:sz w:val="16"/>
          <w:szCs w:val="16"/>
          <w:b w:val="1"/>
          <w:bCs w:val="1"/>
          <w:color w:val="auto"/>
        </w:rPr>
        <w:t>Bryan Durkin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CME Group Inc. company</w:t>
      </w:r>
    </w:p>
    <w:p>
      <w:pPr>
        <w:sectPr>
          <w:pgSz w:w="11900" w:h="16838" w:orient="portrait"/>
          <w:cols w:equalWidth="0" w:num="1">
            <w:col w:w="11420"/>
          </w:cols>
          <w:pgMar w:left="240" w:top="280"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/s/ Kathleen M. Cronin</w:t>
            </w: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/s/ Bryan T. Durkin</w:t>
            </w:r>
          </w:p>
        </w:tc>
      </w:tr>
      <w:tr>
        <w:trPr>
          <w:trHeight w:val="222"/>
        </w:trPr>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Managing Director, General Counsel and Corporate Secretary</w:t>
            </w:r>
          </w:p>
        </w:tc>
        <w:tc>
          <w:tcPr>
            <w:tcW w:w="1260" w:type="dxa"/>
            <w:vAlign w:val="bottom"/>
          </w:tcPr>
          <w:p>
            <w:pPr>
              <w:spacing w:after="0"/>
              <w:rPr>
                <w:sz w:val="19"/>
                <w:szCs w:val="19"/>
                <w:color w:val="auto"/>
              </w:rPr>
            </w:pPr>
          </w:p>
        </w:tc>
        <w:tc>
          <w:tcPr>
            <w:tcW w:w="5120" w:type="dxa"/>
            <w:vAlign w:val="bottom"/>
            <w:tcBorders>
              <w:top w:val="single" w:sz="8" w:color="auto"/>
            </w:tcBorders>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9/20/07</w:t>
            </w: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Date:  9/11/07</w:t>
            </w:r>
          </w:p>
        </w:tc>
      </w:tr>
      <w:tr>
        <w:trPr>
          <w:trHeight w:val="365"/>
        </w:trPr>
        <w:tc>
          <w:tcPr>
            <w:tcW w:w="4460" w:type="dxa"/>
            <w:vAlign w:val="bottom"/>
          </w:tcPr>
          <w:p>
            <w:pPr>
              <w:spacing w:after="0"/>
              <w:rPr>
                <w:sz w:val="24"/>
                <w:szCs w:val="24"/>
                <w:color w:val="auto"/>
              </w:rPr>
            </w:pP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- 5 -</w:t>
            </w:r>
          </w:p>
        </w:tc>
        <w:tc>
          <w:tcPr>
            <w:tcW w:w="5120" w:type="dxa"/>
            <w:vAlign w:val="bottom"/>
          </w:tcPr>
          <w:p>
            <w:pPr>
              <w:spacing w:after="0"/>
              <w:rPr>
                <w:sz w:val="24"/>
                <w:szCs w:val="24"/>
                <w:color w:val="auto"/>
              </w:rPr>
            </w:pPr>
          </w:p>
        </w:tc>
      </w:tr>
    </w:tbl>
    <w:p>
      <w:pPr>
        <w:sectPr>
          <w:pgSz w:w="11900" w:h="16838" w:orient="portrait"/>
          <w:cols w:equalWidth="0" w:num="2">
            <w:col w:w="380" w:space="200"/>
            <w:col w:w="10840"/>
          </w:cols>
          <w:pgMar w:left="240" w:top="280" w:right="239" w:bottom="1440" w:gutter="0" w:footer="0" w:header="0"/>
          <w:type w:val="continuous"/>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20" w:type="dxa"/>
            <w:vAlign w:val="bottom"/>
            <w:gridSpan w:val="2"/>
          </w:tcPr>
          <w:p>
            <w:pPr>
              <w:ind w:left="50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920" w:type="dxa"/>
            <w:vAlign w:val="bottom"/>
            <w:gridSpan w:val="3"/>
          </w:tcPr>
          <w:p>
            <w:pPr>
              <w:ind w:left="460"/>
              <w:spacing w:after="0"/>
              <w:rPr>
                <w:sz w:val="20"/>
                <w:szCs w:val="20"/>
                <w:color w:val="auto"/>
              </w:rPr>
            </w:pPr>
            <w:r>
              <w:rPr>
                <w:rFonts w:ascii="Arial" w:cs="Arial" w:eastAsia="Arial" w:hAnsi="Arial"/>
                <w:sz w:val="18"/>
                <w:szCs w:val="18"/>
                <w:b w:val="1"/>
                <w:bCs w:val="1"/>
                <w:color w:val="auto"/>
              </w:rPr>
              <w:t>Consolidated Subsidiaries of CME Group Inc.</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Jurisdiction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 or</w:t>
            </w:r>
          </w:p>
        </w:tc>
        <w:tc>
          <w:tcPr>
            <w:tcW w:w="0" w:type="dxa"/>
            <w:vAlign w:val="bottom"/>
          </w:tcPr>
          <w:p>
            <w:pPr>
              <w:spacing w:after="0"/>
              <w:rPr>
                <w:sz w:val="1"/>
                <w:szCs w:val="1"/>
                <w:color w:val="auto"/>
              </w:rPr>
            </w:pPr>
          </w:p>
        </w:tc>
      </w:t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6500" w:type="dxa"/>
            <w:vAlign w:val="bottom"/>
          </w:tcPr>
          <w:p>
            <w:pPr>
              <w:spacing w:after="0"/>
              <w:rPr>
                <w:sz w:val="14"/>
                <w:szCs w:val="1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Organization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of Trade of the City of Chicago, Inc.</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CBOT Singapore Pte. Ltd.</w:t>
            </w:r>
          </w:p>
        </w:tc>
        <w:tc>
          <w:tcPr>
            <w:tcW w:w="6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C-B-T Corporation</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CME Alternative Marketplace Inc.</w:t>
            </w:r>
          </w:p>
        </w:tc>
        <w:tc>
          <w:tcPr>
            <w:tcW w:w="65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FX Marketplace Inc.</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3"/>
          </w:tcPr>
          <w:p>
            <w:pPr>
              <w:spacing w:after="0"/>
              <w:rPr>
                <w:sz w:val="20"/>
                <w:szCs w:val="20"/>
                <w:color w:val="auto"/>
              </w:rPr>
            </w:pPr>
            <w:r>
              <w:rPr>
                <w:rFonts w:ascii="Arial" w:cs="Arial" w:eastAsia="Arial" w:hAnsi="Arial"/>
                <w:sz w:val="18"/>
                <w:szCs w:val="18"/>
                <w:color w:val="auto"/>
              </w:rPr>
              <w:t>CME Global Marketplace Inc.</w:t>
            </w:r>
          </w:p>
        </w:tc>
        <w:tc>
          <w:tcPr>
            <w:tcW w:w="6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Group Strategic Investments LLC</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CMEG Brazil Investments 1 LLC</w:t>
            </w:r>
          </w:p>
        </w:tc>
        <w:tc>
          <w:tcPr>
            <w:tcW w:w="6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Brazil Investments 2 LLC</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CMEG Brazil 1 Participações Ltda.</w:t>
            </w:r>
          </w:p>
        </w:tc>
        <w:tc>
          <w:tcPr>
            <w:tcW w:w="6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CMEG Brazil 2 Participações Ltda.</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CME Swaps Marketplace Inc.</w:t>
            </w:r>
          </w:p>
        </w:tc>
        <w:tc>
          <w:tcPr>
            <w:tcW w:w="65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Mercantile Exchange Inc.</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3"/>
          </w:tcPr>
          <w:p>
            <w:pPr>
              <w:spacing w:after="0"/>
              <w:rPr>
                <w:sz w:val="20"/>
                <w:szCs w:val="20"/>
                <w:color w:val="auto"/>
              </w:rPr>
            </w:pPr>
            <w:r>
              <w:rPr>
                <w:rFonts w:ascii="Arial" w:cs="Arial" w:eastAsia="Arial" w:hAnsi="Arial"/>
                <w:sz w:val="18"/>
                <w:szCs w:val="18"/>
                <w:color w:val="auto"/>
              </w:rPr>
              <w:t>GFX Corporation</w:t>
            </w:r>
          </w:p>
        </w:tc>
        <w:tc>
          <w:tcPr>
            <w:tcW w:w="65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9"/>
              </w:rPr>
              <w:t>Illinois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Technology Investments Limited</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3"/>
          </w:tcPr>
          <w:p>
            <w:pPr>
              <w:spacing w:after="0"/>
              <w:rPr>
                <w:sz w:val="20"/>
                <w:szCs w:val="20"/>
                <w:color w:val="auto"/>
              </w:rPr>
            </w:pPr>
            <w:r>
              <w:rPr>
                <w:rFonts w:ascii="Arial" w:cs="Arial" w:eastAsia="Arial" w:hAnsi="Arial"/>
                <w:sz w:val="18"/>
                <w:szCs w:val="18"/>
                <w:color w:val="auto"/>
              </w:rPr>
              <w:t>Swapstream Inc.</w:t>
            </w:r>
          </w:p>
        </w:tc>
        <w:tc>
          <w:tcPr>
            <w:tcW w:w="6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Swapstream Limited</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gridSpan w:val="3"/>
          </w:tcPr>
          <w:p>
            <w:pPr>
              <w:spacing w:after="0"/>
              <w:rPr>
                <w:sz w:val="20"/>
                <w:szCs w:val="20"/>
                <w:color w:val="auto"/>
              </w:rPr>
            </w:pPr>
            <w:r>
              <w:rPr>
                <w:rFonts w:ascii="Arial" w:cs="Arial" w:eastAsia="Arial" w:hAnsi="Arial"/>
                <w:sz w:val="18"/>
                <w:szCs w:val="18"/>
                <w:color w:val="auto"/>
              </w:rPr>
              <w:t>Swapstream Operating Services Limited</w:t>
            </w:r>
          </w:p>
        </w:tc>
        <w:tc>
          <w:tcPr>
            <w:tcW w:w="65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2"/>
              </w:rPr>
              <w:t>United Kingdom</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Swapstream France</w:t>
            </w:r>
          </w:p>
        </w:tc>
        <w:tc>
          <w:tcPr>
            <w:tcW w:w="65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ind w:right="3600" w:firstLine="3600"/>
        <w:spacing w:after="0" w:line="440" w:lineRule="auto"/>
        <w:rPr>
          <w:sz w:val="20"/>
          <w:szCs w:val="20"/>
          <w:color w:val="auto"/>
        </w:rPr>
      </w:pPr>
      <w:r>
        <w:rPr>
          <w:rFonts w:ascii="Arial" w:cs="Arial" w:eastAsia="Arial" w:hAnsi="Arial"/>
          <w:sz w:val="16"/>
          <w:szCs w:val="16"/>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460" w:right="62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333-105236) pertaining to the Amended and Restated Omnibus Stock Plan of Chicago Mercantile Exchange Holdings Inc.,</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333-104804; Form S-8 No. 333-115656) pertaining to the Agreement between Chicago Mercantile Exchange Holdings Inc. and James J. McNulty,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333-124497) pertaining to the Employee Stock Purchase Plan and the 2005 Director Stock Plan;</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S-3ASR No. 333-132554) Shelf Registration Statement for the offering of debt securities, Class A Common Stock, Preferred Stock and Warrants.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333-14453) pertaining to CBOT Holdings, Inc.’s 2005 Long-Term Equity Incentive Plan.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reports dated February 26, 2008, with respect to the consolidated financial statements and schedule of the CME Group Inc., and the effectiveness of internal control over financial reporting of Chicago Mercantile Exchange Holdings Inc., incorporated by reference in this Annual Report (Form 10-K) for the year ended December 31, 2007.</w:t>
      </w:r>
    </w:p>
    <w:p>
      <w:pPr>
        <w:spacing w:after="0" w:line="14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Annual Report on Form 10-K of CME Group Inc. (the “Company”) for the year ended December 31, 2007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2008</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lowerLetter"/>
      <w:start w:val="1"/>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lowerLetter"/>
      <w:start w:val="2"/>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decimal"/>
      <w:start w:val="1"/>
    </w:lvl>
  </w:abstractNum>
  <w:abstractNum w:abstractNumId="46">
    <w:nsid w:val="26F324BA"/>
    <w:multiLevelType w:val="hybridMultilevel"/>
    <w:lvl w:ilvl="0">
      <w:lvlJc w:val="left"/>
      <w:lvlText w:val="2"/>
      <w:numFmt w:val="bullet"/>
      <w:start w:val="1"/>
    </w:lvl>
  </w:abstractNum>
  <w:abstractNum w:abstractNumId="47">
    <w:nsid w:val="7F01579B"/>
    <w:multiLevelType w:val="hybridMultilevel"/>
    <w:lvl w:ilvl="0">
      <w:lvlJc w:val="left"/>
      <w:lvlText w:val="%1."/>
      <w:numFmt w:val="decimal"/>
      <w:start w:val="3"/>
    </w:lvl>
  </w:abstractNum>
  <w:abstractNum w:abstractNumId="48">
    <w:nsid w:val="49DA307D"/>
    <w:multiLevelType w:val="hybridMultilevel"/>
    <w:lvl w:ilvl="0">
      <w:lvlJc w:val="left"/>
      <w:lvlText w:val="%1."/>
      <w:numFmt w:val="decimal"/>
      <w:start w:val="4"/>
    </w:lvl>
  </w:abstractNum>
  <w:abstractNum w:abstractNumId="49">
    <w:nsid w:val="7055A5F5"/>
    <w:multiLevelType w:val="hybridMultilevel"/>
    <w:lvl w:ilvl="0">
      <w:lvlJc w:val="left"/>
      <w:lvlText w:val="%1."/>
      <w:numFmt w:val="decimal"/>
      <w:start w:val="10"/>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lowerLetter"/>
      <w:start w:val="1"/>
    </w:lvl>
  </w:abstractNum>
  <w:abstractNum w:abstractNumId="52">
    <w:nsid w:val="488AC1A"/>
    <w:multiLevelType w:val="hybridMultilevel"/>
    <w:lvl w:ilvl="0">
      <w:lvlJc w:val="left"/>
      <w:lvlText w:val="(%1)"/>
      <w:numFmt w:val="lowerLetter"/>
      <w:start w:val="1"/>
    </w:lvl>
  </w:abstractNum>
  <w:abstractNum w:abstractNumId="53">
    <w:nsid w:val="5FB8011C"/>
    <w:multiLevelType w:val="hybridMultilevel"/>
    <w:lvl w:ilvl="0">
      <w:lvlJc w:val="left"/>
      <w:lvlText w:val="(%1)"/>
      <w:numFmt w:val="lowerLetter"/>
      <w:start w:val="2"/>
    </w:lvl>
  </w:abstractNum>
  <w:abstractNum w:abstractNumId="54">
    <w:nsid w:val="6AA78F7F"/>
    <w:multiLevelType w:val="hybridMultilevel"/>
    <w:lvl w:ilvl="0">
      <w:lvlJc w:val="left"/>
      <w:lvlText w:val="(%1)"/>
      <w:numFmt w:val="lowerLetter"/>
      <w:start w:val="1"/>
    </w:lvl>
  </w:abstractNum>
  <w:abstractNum w:abstractNumId="55">
    <w:nsid w:val="7672BD23"/>
    <w:multiLevelType w:val="hybridMultilevel"/>
    <w:lvl w:ilvl="0">
      <w:lvlJc w:val="left"/>
      <w:lvlText w:val="(%1)"/>
      <w:numFmt w:val="lowerLetter"/>
      <w:start w:val="4"/>
    </w:lvl>
  </w:abstractNum>
  <w:abstractNum w:abstractNumId="56">
    <w:nsid w:val="6FC75AF8"/>
    <w:multiLevelType w:val="hybridMultilevel"/>
    <w:lvl w:ilvl="0">
      <w:lvlJc w:val="left"/>
      <w:lvlText w:val="(%1)"/>
      <w:numFmt w:val="lowerLetter"/>
      <w:start w:val="1"/>
    </w:lvl>
  </w:abstractNum>
  <w:abstractNum w:abstractNumId="57">
    <w:nsid w:val="6A5F7029"/>
    <w:multiLevelType w:val="hybridMultilevel"/>
    <w:lvl w:ilvl="0">
      <w:lvlJc w:val="left"/>
      <w:lvlText w:val="(%1)"/>
      <w:numFmt w:val="lowerLetter"/>
      <w:start w:val="3"/>
    </w:lvl>
  </w:abstractNum>
  <w:abstractNum w:abstractNumId="58">
    <w:nsid w:val="7D5E18F8"/>
    <w:multiLevelType w:val="hybridMultilevel"/>
    <w:lvl w:ilvl="0">
      <w:lvlJc w:val="left"/>
      <w:lvlText w:val="(%1)"/>
      <w:numFmt w:val="lowerLetter"/>
      <w:start w:val="1"/>
    </w:lvl>
  </w:abstractNum>
  <w:abstractNum w:abstractNumId="59">
    <w:nsid w:val="5F3534A4"/>
    <w:multiLevelType w:val="hybridMultilevel"/>
    <w:lvl w:ilvl="0">
      <w:lvlJc w:val="left"/>
      <w:lvlText w:val="(%1)"/>
      <w:numFmt w:val="lowerLetter"/>
      <w:start w:val="1"/>
    </w:lvl>
  </w:abstractNum>
  <w:abstractNum w:abstractNumId="60">
    <w:nsid w:val="73A1821B"/>
    <w:multiLevelType w:val="hybridMultilevel"/>
    <w:lvl w:ilvl="0">
      <w:lvlJc w:val="left"/>
      <w:lvlText w:val="(%1)"/>
      <w:numFmt w:val="lowerLetter"/>
      <w:start w:val="1"/>
    </w:lvl>
  </w:abstractNum>
  <w:abstractNum w:abstractNumId="61">
    <w:nsid w:val="7DE67713"/>
    <w:multiLevelType w:val="hybridMultilevel"/>
    <w:lvl w:ilvl="0">
      <w:lvlJc w:val="left"/>
      <w:lvlText w:val="(%1)"/>
      <w:numFmt w:val="lowerLetter"/>
      <w:start w:val="1"/>
    </w:lvl>
  </w:abstractNum>
  <w:abstractNum w:abstractNumId="62">
    <w:nsid w:val="555C55B5"/>
    <w:multiLevelType w:val="hybridMultilevel"/>
    <w:lvl w:ilvl="0">
      <w:lvlJc w:val="left"/>
      <w:lvlText w:val="(%1)"/>
      <w:numFmt w:val="lowerLetter"/>
      <w:start w:val="2"/>
    </w:lvl>
  </w:abstractNum>
  <w:abstractNum w:abstractNumId="63">
    <w:nsid w:val="3FA62ACA"/>
    <w:multiLevelType w:val="hybridMultilevel"/>
    <w:lvl w:ilvl="0">
      <w:lvlJc w:val="left"/>
      <w:lvlText w:val="(%1)"/>
      <w:numFmt w:val="lowerLetter"/>
      <w:start w:val="1"/>
    </w:lvl>
  </w:abstractNum>
  <w:abstractNum w:abstractNumId="64">
    <w:nsid w:val="14FCE74E"/>
    <w:multiLevelType w:val="hybridMultilevel"/>
    <w:lvl w:ilvl="0">
      <w:lvlJc w:val="left"/>
      <w:lvlText w:val="(%1)"/>
      <w:numFmt w:val="lowerLetter"/>
      <w:start w:val="1"/>
    </w:lvl>
  </w:abstractNum>
  <w:abstractNum w:abstractNumId="65">
    <w:nsid w:val="6A3DD3E8"/>
    <w:multiLevelType w:val="hybridMultilevel"/>
    <w:lvl w:ilvl="0">
      <w:lvlJc w:val="left"/>
      <w:lvlText w:val="(%1)"/>
      <w:numFmt w:val="lowerLetter"/>
      <w:start w:val="2"/>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lowerLetter"/>
      <w:start w:val="4"/>
    </w:lvl>
  </w:abstractNum>
  <w:abstractNum w:abstractNumId="68">
    <w:nsid w:val="53299938"/>
    <w:multiLevelType w:val="hybridMultilevel"/>
    <w:lvl w:ilvl="0">
      <w:lvlJc w:val="left"/>
      <w:lvlText w:val="(%1)"/>
      <w:numFmt w:val="lowerLetter"/>
      <w:start w:val="1"/>
    </w:lvl>
  </w:abstractNum>
  <w:abstractNum w:abstractNumId="69">
    <w:nsid w:val="1FBFE8E0"/>
    <w:multiLevelType w:val="hybridMultilevel"/>
    <w:lvl w:ilvl="0">
      <w:lvlJc w:val="left"/>
      <w:lvlText w:val="(%1)"/>
      <w:numFmt w:val="lowerLetter"/>
      <w:start w:val="1"/>
    </w:lvl>
  </w:abstractNum>
  <w:abstractNum w:abstractNumId="70">
    <w:nsid w:val="5092CA79"/>
    <w:multiLevelType w:val="hybridMultilevel"/>
    <w:lvl w:ilvl="0">
      <w:lvlJc w:val="left"/>
      <w:lvlText w:val="(%1)"/>
      <w:numFmt w:val="lowerLetter"/>
      <w:start w:val="2"/>
    </w:lvl>
  </w:abstractNum>
  <w:abstractNum w:abstractNumId="71">
    <w:nsid w:val="1D545C4D"/>
    <w:multiLevelType w:val="hybridMultilevel"/>
    <w:lvl w:ilvl="0">
      <w:lvlJc w:val="left"/>
      <w:lvlText w:val="(%1)"/>
      <w:numFmt w:val="lowerLetter"/>
      <w:start w:val="1"/>
    </w:lvl>
  </w:abstractNum>
  <w:abstractNum w:abstractNumId="72">
    <w:nsid w:val="59ADEA3D"/>
    <w:multiLevelType w:val="hybridMultilevel"/>
    <w:lvl w:ilvl="0">
      <w:lvlJc w:val="left"/>
      <w:lvlText w:val="(%1)"/>
      <w:numFmt w:val="lowerLetter"/>
      <w:start w:val="1"/>
    </w:lvl>
  </w:abstractNum>
  <w:abstractNum w:abstractNumId="73">
    <w:nsid w:val="288F1A34"/>
    <w:multiLevelType w:val="hybridMultilevel"/>
    <w:lvl w:ilvl="0">
      <w:lvlJc w:val="left"/>
      <w:lvlText w:val="(%1)"/>
      <w:numFmt w:val="lowerLetter"/>
      <w:start w:val="1"/>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1"/>
    </w:lvl>
    <w:lvl w:ilvl="1">
      <w:lvlJc w:val="left"/>
      <w:lvlText w:val="(%2)"/>
      <w:numFmt w:val="lowerLetter"/>
      <w:start w:val="9"/>
    </w:lvl>
  </w:abstractNum>
  <w:abstractNum w:abstractNumId="76">
    <w:nsid w:val="97E1B4E"/>
    <w:multiLevelType w:val="hybridMultilevel"/>
    <w:lvl w:ilvl="0">
      <w:lvlJc w:val="left"/>
      <w:lvlText w:val="(%1)"/>
      <w:numFmt w:val="lowerRoman"/>
      <w:start w:val="2"/>
    </w:lvl>
  </w:abstractNum>
  <w:abstractNum w:abstractNumId="77">
    <w:nsid w:val="51088277"/>
    <w:multiLevelType w:val="hybridMultilevel"/>
    <w:lvl w:ilvl="0">
      <w:lvlJc w:val="left"/>
      <w:lvlText w:val="%1"/>
      <w:numFmt w:val="lowerLetter"/>
      <w:start w:val="1"/>
    </w:lvl>
    <w:lvl w:ilvl="1">
      <w:lvlJc w:val="left"/>
      <w:lvlText w:val="(%2)"/>
      <w:numFmt w:val="lowerRoman"/>
      <w:start w:val="4"/>
    </w:lvl>
  </w:abstractNum>
  <w:abstractNum w:abstractNumId="78">
    <w:nsid w:val="1CA0C5FA"/>
    <w:multiLevelType w:val="hybridMultilevel"/>
    <w:lvl w:ilvl="0">
      <w:lvlJc w:val="left"/>
      <w:lvlText w:val="(%1)"/>
      <w:numFmt w:val="lowerLetter"/>
      <w:start w:val="3"/>
    </w:lvl>
    <w:lvl w:ilvl="1">
      <w:lvlJc w:val="left"/>
      <w:lvlText w:val="(%2)"/>
      <w:numFmt w:val="lowerRoman"/>
      <w:start w:val="1"/>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lowerLetter"/>
      <w:start w:val="1"/>
    </w:lvl>
  </w:abstractNum>
  <w:abstractNum w:abstractNumId="82">
    <w:nsid w:val="23D86AAC"/>
    <w:multiLevelType w:val="hybridMultilevel"/>
    <w:lvl w:ilvl="0">
      <w:lvlJc w:val="left"/>
      <w:lvlText w:val="(%1)"/>
      <w:numFmt w:val="lowerLetter"/>
      <w:start w:val="1"/>
    </w:lvl>
  </w:abstractNum>
  <w:abstractNum w:abstractNumId="83">
    <w:nsid w:val="45E6D486"/>
    <w:multiLevelType w:val="hybridMultilevel"/>
    <w:lvl w:ilvl="0">
      <w:lvlJc w:val="left"/>
      <w:lvlText w:val="(%1)"/>
      <w:numFmt w:val="lowerLetter"/>
      <w:start w:val="1"/>
    </w:lvl>
  </w:abstractNum>
  <w:abstractNum w:abstractNumId="84">
    <w:nsid w:val="5C10FE21"/>
    <w:multiLevelType w:val="hybridMultilevel"/>
    <w:lvl w:ilvl="0">
      <w:lvlJc w:val="left"/>
      <w:lvlText w:val="(%1)"/>
      <w:numFmt w:val="lowerLetter"/>
      <w:start w:val="2"/>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lowerLetter"/>
      <w:start w:val="4"/>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2"/>
    </w:lvl>
  </w:abstractNum>
  <w:abstractNum w:abstractNumId="89">
    <w:nsid w:val="39B7AAA2"/>
    <w:multiLevelType w:val="hybridMultilevel"/>
    <w:lvl w:ilvl="0">
      <w:lvlJc w:val="left"/>
      <w:lvlText w:val="(%1)"/>
      <w:numFmt w:val="lowerLetter"/>
      <w:start w:val="1"/>
    </w:lvl>
  </w:abstractNum>
  <w:abstractNum w:abstractNumId="90">
    <w:nsid w:val="2B0D8DBE"/>
    <w:multiLevelType w:val="hybridMultilevel"/>
    <w:lvl w:ilvl="0">
      <w:lvlJc w:val="left"/>
      <w:lvlText w:val="(%1)"/>
      <w:numFmt w:val="lowerLetter"/>
      <w:start w:val="3"/>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3"/>
    </w:lvl>
  </w:abstractNum>
  <w:abstractNum w:abstractNumId="94">
    <w:nsid w:val="2C27173B"/>
    <w:multiLevelType w:val="hybridMultilevel"/>
    <w:lvl w:ilvl="0">
      <w:lvlJc w:val="left"/>
      <w:lvlText w:val="(%1)"/>
      <w:numFmt w:val="lowerLetter"/>
      <w:start w:val="1"/>
    </w:lvl>
    <w:lvl w:ilvl="1">
      <w:lvlJc w:val="left"/>
      <w:lvlText w:val="(%2)"/>
      <w:numFmt w:val="lowerRoman"/>
      <w:start w:val="1"/>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1"/>
    </w:lvl>
  </w:abstractNum>
  <w:abstractNum w:abstractNumId="98">
    <w:nsid w:val="5675FF36"/>
    <w:multiLevelType w:val="hybridMultilevel"/>
    <w:lvl w:ilvl="0">
      <w:lvlJc w:val="left"/>
      <w:lvlText w:val="(%1)"/>
      <w:numFmt w:val="lowerLetter"/>
      <w:start w:val="2"/>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4"/>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2"/>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Roman"/>
      <w:start w:val="1"/>
    </w:lvl>
    <w:lvl w:ilvl="1">
      <w:lvlJc w:val="left"/>
      <w:lvlText w:val="(%2)"/>
      <w:numFmt w:val="lowerLetter"/>
      <w:start w:val="1"/>
    </w:lvl>
  </w:abstractNum>
  <w:abstractNum w:abstractNumId="106">
    <w:nsid w:val="34FD6B4F"/>
    <w:multiLevelType w:val="hybridMultilevel"/>
    <w:lvl w:ilvl="0">
      <w:lvlJc w:val="left"/>
      <w:lvlText w:val="%1"/>
      <w:numFmt w:val="lowerRoman"/>
      <w:start w:val="1"/>
    </w:lvl>
    <w:lvl w:ilvl="1">
      <w:lvlJc w:val="left"/>
      <w:lvlText w:val="(%2)"/>
      <w:numFmt w:val="lowerLetter"/>
      <w:start w:val="9"/>
    </w:lvl>
  </w:abstractNum>
  <w:abstractNum w:abstractNumId="107">
    <w:nsid w:val="5915FF32"/>
    <w:multiLevelType w:val="hybridMultilevel"/>
    <w:lvl w:ilvl="0">
      <w:lvlJc w:val="left"/>
      <w:lvlText w:val="%1"/>
      <w:numFmt w:val="lowerRoman"/>
      <w:start w:val="1"/>
    </w:lvl>
    <w:lvl w:ilvl="1">
      <w:lvlJc w:val="left"/>
      <w:lvlText w:val="(%2)"/>
      <w:numFmt w:val="lowerLetter"/>
      <w:start w:val="35"/>
    </w:lvl>
  </w:abstractNum>
  <w:abstractNum w:abstractNumId="108">
    <w:nsid w:val="56438D15"/>
    <w:multiLevelType w:val="hybridMultilevel"/>
    <w:lvl w:ilvl="0">
      <w:lvlJc w:val="left"/>
      <w:lvlText w:val="%1"/>
      <w:numFmt w:val="lowerRoman"/>
      <w:start w:val="1"/>
    </w:lvl>
    <w:lvl w:ilvl="1">
      <w:lvlJc w:val="left"/>
      <w:lvlText w:val="(%2)"/>
      <w:numFmt w:val="lowerLetter"/>
      <w:start w:val="61"/>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upperLetter"/>
      <w:start w:val="1"/>
    </w:lvl>
  </w:abstractNum>
  <w:abstractNum w:abstractNumId="112">
    <w:nsid w:val="4DF72E4E"/>
    <w:multiLevelType w:val="hybridMultilevel"/>
    <w:lvl w:ilvl="0">
      <w:lvlJc w:val="left"/>
      <w:lvlText w:val="%1."/>
      <w:numFmt w:val="upperLetter"/>
      <w:start w:val="3"/>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5">
    <w:nsid w:val="2A082C70"/>
    <w:multiLevelType w:val="hybridMultilevel"/>
    <w:lvl w:ilvl="0">
      <w:lvlJc w:val="left"/>
      <w:lvlText w:val="%1)"/>
      <w:numFmt w:val="lowerLetter"/>
      <w:start w:val="2"/>
    </w:lvl>
    <w:lvl w:ilvl="1">
      <w:lvlJc w:val="left"/>
      <w:lvlText w:val="(%2)"/>
      <w:numFmt w:val="decimal"/>
      <w:start w:val="1"/>
    </w:lvl>
  </w:abstractNum>
  <w:abstractNum w:abstractNumId="116">
    <w:nsid w:val="5EC6AFD4"/>
    <w:multiLevelType w:val="hybridMultilevel"/>
    <w:lvl w:ilvl="0">
      <w:lvlJc w:val="left"/>
      <w:lvlText w:val="%1)"/>
      <w:numFmt w:val="lowerLetter"/>
      <w:start w:val="4"/>
    </w:lvl>
    <w:lvl w:ilvl="1">
      <w:lvlJc w:val="left"/>
      <w:lvlText w:val="(%2)"/>
      <w:numFmt w:val="decimal"/>
      <w:start w:val="1"/>
    </w:lvl>
  </w:abstractNum>
  <w:abstractNum w:abstractNumId="117">
    <w:nsid w:val="19E21BB2"/>
    <w:multiLevelType w:val="hybridMultilevel"/>
    <w:lvl w:ilvl="0">
      <w:lvlJc w:val="left"/>
      <w:lvlText w:val="%1)"/>
      <w:numFmt w:val="lowerLetter"/>
      <w:start w:val="5"/>
    </w:lvl>
  </w:abstractNum>
  <w:abstractNum w:abstractNumId="118">
    <w:nsid w:val="75E0858A"/>
    <w:multiLevelType w:val="hybridMultilevel"/>
    <w:lvl w:ilvl="0">
      <w:lvlJc w:val="left"/>
      <w:lvlText w:val="%1)"/>
      <w:numFmt w:val="decimal"/>
      <w:start w:val="7"/>
    </w:lvl>
    <w:lvl w:ilvl="1">
      <w:lvlJc w:val="left"/>
      <w:lvlText w:val="%2)"/>
      <w:numFmt w:val="lowerLetter"/>
      <w:start w:val="1"/>
    </w:lvl>
  </w:abstractNum>
  <w:abstractNum w:abstractNumId="119">
    <w:nsid w:val="57A61A29"/>
    <w:multiLevelType w:val="hybridMultilevel"/>
    <w:lvl w:ilvl="0">
      <w:lvlJc w:val="left"/>
      <w:lvlText w:val="%1"/>
      <w:numFmt w:val="decimal"/>
      <w:start w:val="1"/>
    </w:lvl>
    <w:lvl w:ilvl="1">
      <w:lvlJc w:val="left"/>
      <w:lvlText w:val="%2)"/>
      <w:numFmt w:val="lowerLetter"/>
      <w:start w:val="5"/>
    </w:lvl>
  </w:abstractNum>
  <w:abstractNum w:abstractNumId="120">
    <w:nsid w:val="5399C654"/>
    <w:multiLevelType w:val="hybridMultilevel"/>
    <w:lvl w:ilvl="0">
      <w:lvlJc w:val="left"/>
      <w:lvlText w:val="%1)"/>
      <w:numFmt w:val="decimal"/>
      <w:start w:val="12"/>
    </w:lvl>
    <w:lvl w:ilvl="1">
      <w:lvlJc w:val="left"/>
      <w:lvlText w:val="%2"/>
      <w:numFmt w:val="lowerLetter"/>
      <w:start w:val="1"/>
    </w:lvl>
  </w:abstractNum>
  <w:abstractNum w:abstractNumId="121">
    <w:nsid w:val="20EE1348"/>
    <w:multiLevelType w:val="hybridMultilevel"/>
    <w:lvl w:ilvl="0">
      <w:lvlJc w:val="left"/>
      <w:lvlText w:val="%1)"/>
      <w:numFmt w:val="decimal"/>
      <w:start w:val="13"/>
    </w:lvl>
  </w:abstractNum>
  <w:abstractNum w:abstractNumId="122">
    <w:nsid w:val="4427069A"/>
    <w:multiLevelType w:val="hybridMultilevel"/>
    <w:lvl w:ilvl="0">
      <w:lvlJc w:val="left"/>
      <w:lvlText w:val="%1)"/>
      <w:numFmt w:val="decimal"/>
      <w:start w:val="15"/>
    </w:lvl>
  </w:abstractNum>
  <w:abstractNum w:abstractNumId="123">
    <w:nsid w:val="B37E80A"/>
    <w:multiLevelType w:val="hybridMultilevel"/>
    <w:lvl w:ilvl="0">
      <w:lvlJc w:val="left"/>
      <w:lvlText w:val="%1."/>
      <w:numFmt w:val="decimal"/>
      <w:start w:val="1"/>
    </w:lvl>
    <w:lvl w:ilvl="1">
      <w:lvlJc w:val="left"/>
      <w:lvlText w:val="%2."/>
      <w:numFmt w:val="lowerLetter"/>
      <w:start w:val="1"/>
    </w:lvl>
  </w:abstractNum>
  <w:abstractNum w:abstractNumId="124">
    <w:nsid w:val="2157F6BC"/>
    <w:multiLevelType w:val="hybridMultilevel"/>
    <w:lvl w:ilvl="0">
      <w:lvlJc w:val="left"/>
      <w:lvlText w:val="%1."/>
      <w:numFmt w:val="decimal"/>
      <w:start w:val="2"/>
    </w:lvl>
    <w:lvl w:ilvl="1">
      <w:lvlJc w:val="left"/>
      <w:lvlText w:val="%2."/>
      <w:numFmt w:val="lowerLetter"/>
      <w:start w:val="1"/>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1."/>
      <w:numFmt w:val="decimal"/>
      <w:start w:val="2"/>
    </w:lvl>
    <w:lvl w:ilvl="1">
      <w:lvlJc w:val="left"/>
      <w:lvlText w:val="-"/>
      <w:numFmt w:val="bullet"/>
      <w:start w:val="1"/>
    </w:lvl>
  </w:abstractNum>
  <w:abstractNum w:abstractNumId="127">
    <w:nsid w:val="BFFAE18"/>
    <w:multiLevelType w:val="hybridMultilevel"/>
    <w:lvl w:ilvl="0">
      <w:lvlJc w:val="left"/>
      <w:lvlText w:val="%1."/>
      <w:numFmt w:val="decimal"/>
      <w:start w:val="4"/>
    </w:lvl>
    <w:lvl w:ilvl="1">
      <w:lvlJc w:val="left"/>
      <w:lvlText w:val="%2."/>
      <w:numFmt w:val="lowerLetter"/>
      <w:start w:val="1"/>
    </w:lvl>
  </w:abstractNum>
  <w:abstractNum w:abstractNumId="128">
    <w:nsid w:val="E3E47A8"/>
    <w:multiLevelType w:val="hybridMultilevel"/>
    <w:lvl w:ilvl="0">
      <w:lvlJc w:val="left"/>
      <w:lvlText w:val="%1."/>
      <w:numFmt w:val="decimal"/>
      <w:start w:val="5"/>
    </w:lvl>
  </w:abstractNum>
  <w:abstractNum w:abstractNumId="129">
    <w:nsid w:val="2E48F044"/>
    <w:multiLevelType w:val="hybridMultilevel"/>
    <w:lvl w:ilvl="0">
      <w:lvlJc w:val="left"/>
      <w:lvlText w:val="%1."/>
      <w:numFmt w:val="decimal"/>
      <w:start w:val="6"/>
    </w:lvl>
  </w:abstractNum>
  <w:abstractNum w:abstractNumId="130">
    <w:nsid w:val="49D0FEAC"/>
    <w:multiLevelType w:val="hybridMultilevel"/>
    <w:lvl w:ilvl="0">
      <w:lvlJc w:val="left"/>
      <w:lvlText w:val="%1."/>
      <w:numFmt w:val="decimal"/>
      <w:start w:val="7"/>
    </w:lvl>
    <w:lvl w:ilvl="1">
      <w:lvlJc w:val="left"/>
      <w:lvlText w:val="-"/>
      <w:numFmt w:val="bullet"/>
      <w:start w:val="1"/>
    </w:lvl>
  </w:abstractNum>
  <w:abstractNum w:abstractNumId="131">
    <w:nsid w:val="4BEE5A5B"/>
    <w:multiLevelType w:val="hybridMultilevel"/>
    <w:lvl w:ilvl="0">
      <w:lvlJc w:val="left"/>
      <w:lvlText w:val="%1."/>
      <w:numFmt w:val="decimal"/>
      <w:start w:val="8"/>
    </w:lvl>
  </w:abstractNum>
  <w:abstractNum w:abstractNumId="132">
    <w:nsid w:val="5551B9F3"/>
    <w:multiLevelType w:val="hybridMultilevel"/>
    <w:lvl w:ilvl="0">
      <w:lvlJc w:val="left"/>
      <w:lvlText w:val="(%1)"/>
      <w:numFmt w:val="decimal"/>
      <w:start w:val="1"/>
    </w:lvl>
  </w:abstractNum>
  <w:abstractNum w:abstractNumId="133">
    <w:nsid w:val="24F6AB8E"/>
    <w:multiLevelType w:val="hybridMultilevel"/>
    <w:lvl w:ilvl="0">
      <w:lvlJc w:val="left"/>
      <w:lvlText w:val="%1."/>
      <w:numFmt w:val="decimal"/>
      <w:start w:val="1"/>
    </w:lvl>
  </w:abstractNum>
  <w:abstractNum w:abstractNumId="134">
    <w:nsid w:val="634C574C"/>
    <w:multiLevelType w:val="hybridMultilevel"/>
    <w:lvl w:ilvl="0">
      <w:lvlJc w:val="left"/>
      <w:lvlText w:val="%1)"/>
      <w:numFmt w:val="lowerLetter"/>
      <w:start w:val="1"/>
    </w:lvl>
  </w:abstractNum>
  <w:abstractNum w:abstractNumId="135">
    <w:nsid w:val="24E99DD7"/>
    <w:multiLevelType w:val="hybridMultilevel"/>
    <w:lvl w:ilvl="0">
      <w:lvlJc w:val="left"/>
      <w:lvlText w:val="%1."/>
      <w:numFmt w:val="decimal"/>
      <w:start w:val="5"/>
    </w:lvl>
  </w:abstractNum>
  <w:abstractNum w:abstractNumId="136">
    <w:nsid w:val="2A31B62D"/>
    <w:multiLevelType w:val="hybridMultilevel"/>
    <w:lvl w:ilvl="0">
      <w:lvlJc w:val="left"/>
      <w:lvlText w:val="%1)"/>
      <w:numFmt w:val="lowerLetter"/>
      <w:start w:val="1"/>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lowerLetter"/>
      <w:start w:val="1"/>
    </w:lvl>
  </w:abstractNum>
  <w:abstractNum w:abstractNumId="139">
    <w:nsid w:val="754342"/>
    <w:multiLevelType w:val="hybridMultilevel"/>
    <w:lvl w:ilvl="0">
      <w:lvlJc w:val="left"/>
      <w:lvlText w:val="%1."/>
      <w:numFmt w:val="decimal"/>
      <w:start w:val="5"/>
    </w:lvl>
  </w:abstractNum>
  <w:abstractNum w:abstractNumId="140">
    <w:nsid w:val="69E7F3E5"/>
    <w:multiLevelType w:val="hybridMultilevel"/>
    <w:lvl w:ilvl="0">
      <w:lvlJc w:val="left"/>
      <w:lvlText w:val="%1)"/>
      <w:numFmt w:val="lowerLetter"/>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2019-12-15T04:21:27Z</dcterms:created>
  <dcterms:modified xsi:type="dcterms:W3CDTF">2019-12-15T04:21:27Z</dcterms:modified>
</cp:coreProperties>
</file>