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25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2546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2"/>
                <w:szCs w:val="22"/>
                <w:color w:val="0000EE"/>
                <w:w w:val="98"/>
              </w:rPr>
            </w:pPr>
            <w:hyperlink r:id="rId12">
              <w:r>
                <w:rPr>
                  <w:rFonts w:ascii="Arial" w:cs="Arial" w:eastAsia="Arial" w:hAnsi="Arial"/>
                  <w:sz w:val="22"/>
                  <w:szCs w:val="22"/>
                  <w:color w:val="0000EE"/>
                  <w:w w:val="98"/>
                </w:rPr>
                <w:t>Siciliano Frank</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NYMEX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NMX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ONE NORTH END AVENUE</w:t>
            </w:r>
          </w:p>
        </w:tc>
        <w:tc>
          <w:tcPr>
            <w:tcW w:w="1200" w:type="dxa"/>
            <w:vAlign w:val="bottom"/>
          </w:tcPr>
          <w:p>
            <w:pPr>
              <w:spacing w:after="0"/>
              <w:rPr>
                <w:sz w:val="19"/>
                <w:szCs w:val="19"/>
                <w:color w:val="auto"/>
              </w:rPr>
            </w:pPr>
          </w:p>
        </w:tc>
        <w:tc>
          <w:tcPr>
            <w:tcW w:w="1640" w:type="dxa"/>
            <w:vAlign w:val="bottom"/>
            <w:gridSpan w:val="6"/>
          </w:tcPr>
          <w:p>
            <w:pPr>
              <w:ind w:left="240"/>
              <w:spacing w:after="0"/>
              <w:rPr>
                <w:sz w:val="20"/>
                <w:szCs w:val="20"/>
                <w:color w:val="auto"/>
              </w:rPr>
            </w:pPr>
            <w:r>
              <w:rPr>
                <w:rFonts w:ascii="Arial" w:cs="Arial" w:eastAsia="Arial" w:hAnsi="Arial"/>
                <w:sz w:val="18"/>
                <w:szCs w:val="18"/>
                <w:color w:val="0000FF"/>
              </w:rPr>
              <w:t>08/22/2008</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WORLD FINANCIAL CENTER</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10"/>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3"/>
          </w:tcPr>
          <w:p>
            <w:pPr>
              <w:spacing w:after="0"/>
              <w:rPr>
                <w:sz w:val="20"/>
                <w:szCs w:val="20"/>
                <w:color w:val="auto"/>
              </w:rPr>
            </w:pPr>
            <w:r>
              <w:rPr>
                <w:rFonts w:ascii="Arial" w:cs="Arial" w:eastAsia="Arial" w:hAnsi="Arial"/>
                <w:sz w:val="18"/>
                <w:szCs w:val="18"/>
                <w:color w:val="0000FF"/>
              </w:rPr>
              <w:t>NY</w:t>
            </w:r>
          </w:p>
        </w:tc>
        <w:tc>
          <w:tcPr>
            <w:tcW w:w="1200" w:type="dxa"/>
            <w:vAlign w:val="bottom"/>
          </w:tcPr>
          <w:p>
            <w:pPr>
              <w:ind w:left="20"/>
              <w:spacing w:after="0"/>
              <w:rPr>
                <w:sz w:val="20"/>
                <w:szCs w:val="20"/>
                <w:color w:val="auto"/>
              </w:rPr>
            </w:pPr>
            <w:r>
              <w:rPr>
                <w:rFonts w:ascii="Arial" w:cs="Arial" w:eastAsia="Arial" w:hAnsi="Arial"/>
                <w:sz w:val="18"/>
                <w:szCs w:val="18"/>
                <w:color w:val="0000FF"/>
              </w:rPr>
              <w:t>10282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5"/>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08/22/2008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6"/>
              <w:spacing w:after="0"/>
              <w:rPr>
                <w:sz w:val="20"/>
                <w:szCs w:val="20"/>
                <w:color w:val="auto"/>
              </w:rPr>
            </w:pPr>
            <w:r>
              <w:rPr>
                <w:rFonts w:ascii="Arial" w:cs="Arial" w:eastAsia="Arial" w:hAnsi="Arial"/>
                <w:sz w:val="14"/>
                <w:szCs w:val="14"/>
                <w:color w:val="0000FF"/>
                <w:w w:val="98"/>
              </w:rPr>
              <w:t>D</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8"/>
                <w:szCs w:val="18"/>
                <w:color w:val="0000FF"/>
                <w:w w:val="89"/>
              </w:rPr>
              <w:t>109,800</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08/22/2008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16"/>
              <w:spacing w:after="0"/>
              <w:rPr>
                <w:sz w:val="20"/>
                <w:szCs w:val="20"/>
                <w:color w:val="auto"/>
              </w:rPr>
            </w:pPr>
            <w:r>
              <w:rPr>
                <w:rFonts w:ascii="Arial" w:cs="Arial" w:eastAsia="Arial" w:hAnsi="Arial"/>
                <w:sz w:val="14"/>
                <w:szCs w:val="14"/>
                <w:color w:val="0000FF"/>
              </w:rPr>
              <w:t>M</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4"/>
              </w:rPr>
              <w:t>1,262</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1,262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08/22/2008</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36"/>
              <w:spacing w:after="0"/>
              <w:rPr>
                <w:sz w:val="20"/>
                <w:szCs w:val="20"/>
                <w:color w:val="auto"/>
              </w:rPr>
            </w:pPr>
            <w:r>
              <w:rPr>
                <w:rFonts w:ascii="Arial" w:cs="Arial" w:eastAsia="Arial" w:hAnsi="Arial"/>
                <w:sz w:val="14"/>
                <w:szCs w:val="14"/>
                <w:color w:val="0000FF"/>
                <w:w w:val="98"/>
              </w:rPr>
              <w:t>D</w:t>
            </w:r>
          </w:p>
        </w:tc>
        <w:tc>
          <w:tcPr>
            <w:tcW w:w="1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110"/>
              <w:spacing w:after="0"/>
              <w:rPr>
                <w:sz w:val="20"/>
                <w:szCs w:val="20"/>
                <w:color w:val="auto"/>
              </w:rPr>
            </w:pPr>
            <w:r>
              <w:rPr>
                <w:rFonts w:ascii="Arial" w:cs="Arial" w:eastAsia="Arial" w:hAnsi="Arial"/>
                <w:sz w:val="18"/>
                <w:szCs w:val="18"/>
                <w:color w:val="0000FF"/>
                <w:w w:val="84"/>
              </w:rPr>
              <w:t>1,262</w:t>
            </w:r>
          </w:p>
        </w:tc>
        <w:tc>
          <w:tcPr>
            <w:tcW w:w="1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gridSpan w:val="3"/>
          </w:tcPr>
          <w:p>
            <w:pPr>
              <w:jc w:val="right"/>
              <w:ind w:right="9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(5)</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7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7"/>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1,262</w:t>
            </w:r>
          </w:p>
        </w:tc>
        <w:tc>
          <w:tcPr>
            <w:tcW w:w="180" w:type="dxa"/>
            <w:vAlign w:val="bottom"/>
          </w:tcPr>
          <w:p>
            <w:pPr>
              <w:spacing w:after="0"/>
              <w:rPr>
                <w:sz w:val="16"/>
                <w:szCs w:val="16"/>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ind w:left="260"/>
              <w:spacing w:after="0" w:line="133" w:lineRule="exact"/>
              <w:rPr>
                <w:sz w:val="20"/>
                <w:szCs w:val="20"/>
                <w:color w:val="auto"/>
              </w:rPr>
            </w:pPr>
            <w:r>
              <w:rPr>
                <w:rFonts w:ascii="Arial" w:cs="Arial" w:eastAsia="Arial" w:hAnsi="Arial"/>
                <w:sz w:val="14"/>
                <w:szCs w:val="14"/>
                <w:color w:val="0000FF"/>
              </w:rPr>
              <w:t>08/22/2008</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3"/>
          </w:tcPr>
          <w:p>
            <w:pPr>
              <w:ind w:left="80"/>
              <w:spacing w:after="0" w:line="133" w:lineRule="exact"/>
              <w:rPr>
                <w:sz w:val="20"/>
                <w:szCs w:val="20"/>
                <w:color w:val="auto"/>
              </w:rPr>
            </w:pPr>
            <w:r>
              <w:rPr>
                <w:rFonts w:ascii="Arial" w:cs="Arial" w:eastAsia="Arial" w:hAnsi="Arial"/>
                <w:sz w:val="14"/>
                <w:szCs w:val="14"/>
                <w:color w:val="0000FF"/>
              </w:rPr>
              <w:t>M</w:t>
            </w:r>
          </w:p>
        </w:tc>
        <w:tc>
          <w:tcPr>
            <w:tcW w:w="16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1,262</w:t>
            </w:r>
          </w:p>
        </w:tc>
        <w:tc>
          <w:tcPr>
            <w:tcW w:w="8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ind w:left="380"/>
              <w:spacing w:after="0" w:line="133"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2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merger agreement by and among CME Group Inc., CMEG NY Inc., NYMEX Holdings, Inc. and New York Mercantile Exchange, Inc. (the "Merger Agreement"), each share of NYMEX Holdings common stock was converted into the right to receive either (a) $81.16 in cash or (b) 0.2378 of CME Group Inc. Class A common stock, subject to proration to preserve the mandatory aggregate cash consideration amount of approximately $3.4 billion, after taking into account all of the elections made by all of the NYMEX Holdings stockholders.</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deferred stock unit represents a contingent right to receive one share of NYMEX Holdings, Inc. common stock.</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accelerated vesting of the deferred stock units is due to the consummation of the transaction between CME Group Inc., CMEG NY Inc., NYMEX Holdings, Inc. and New York Mercantile Exchange, Inc.</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Disposed of pursuant to Merger Agreement at an exchange ratio of 0.2378 shares of CME Group Inc. Class A common stock for each share of NYMEX Holdings, Inc.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0000FF"/>
                <w:w w:val="90"/>
              </w:rPr>
              <w:t>/s/Frank Siciliano</w:t>
            </w:r>
          </w:p>
        </w:tc>
        <w:tc>
          <w:tcPr>
            <w:tcW w:w="8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08/27/2008</w:t>
            </w: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1520" TargetMode="External"/><Relationship Id="rId13" Type="http://schemas.openxmlformats.org/officeDocument/2006/relationships/hyperlink" Target="http://www.sec.gov/cgi-bin/browse-edgar?action=getcompany&amp;CIK=00011050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2019-12-17T13:56:21Z</dcterms:created>
  <dcterms:modified xsi:type="dcterms:W3CDTF">2019-12-17T13:56:21Z</dcterms:modified>
</cp:coreProperties>
</file>