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2010</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OR -</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0" w:right="239" w:bottom="1440" w:gutter="0" w:footer="0" w:header="0"/>
        </w:sectPr>
      </w:pPr>
    </w:p>
    <w:p>
      <w:pPr>
        <w:spacing w:after="0" w:line="122" w:lineRule="exact"/>
        <w:rPr>
          <w:sz w:val="24"/>
          <w:szCs w:val="24"/>
          <w:color w:val="auto"/>
        </w:rPr>
      </w:pPr>
    </w:p>
    <w:p>
      <w:pPr>
        <w:ind w:left="392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16" w:lineRule="exact"/>
        <w:rPr>
          <w:sz w:val="24"/>
          <w:szCs w:val="24"/>
          <w:color w:val="auto"/>
        </w:rPr>
      </w:pPr>
    </w:p>
    <w:p>
      <w:pPr>
        <w:sectPr>
          <w:pgSz w:w="11900" w:h="16838" w:orient="portrait"/>
          <w:cols w:equalWidth="0" w:num="2">
            <w:col w:w="6180" w:space="620"/>
            <w:col w:w="462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Commission file number 001-31553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217170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CME GROUP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340" w:type="dxa"/>
        <w:tblCellMar>
          <w:top w:w="0" w:type="dxa"/>
          <w:left w:w="0" w:type="dxa"/>
          <w:bottom w:w="0" w:type="dxa"/>
          <w:right w:w="0" w:type="dxa"/>
        </w:tblCellMar>
      </w:tblPr>
      <w:tr>
        <w:trPr>
          <w:trHeight w:val="218"/>
        </w:trPr>
        <w:tc>
          <w:tcPr>
            <w:tcW w:w="6280" w:type="dxa"/>
            <w:vAlign w:val="bottom"/>
          </w:tcPr>
          <w:p>
            <w:pPr>
              <w:jc w:val="center"/>
              <w:ind w:right="3144"/>
              <w:spacing w:after="0"/>
              <w:rPr>
                <w:sz w:val="20"/>
                <w:szCs w:val="20"/>
                <w:color w:val="auto"/>
              </w:rPr>
            </w:pPr>
            <w:r>
              <w:rPr>
                <w:rFonts w:ascii="Arial" w:cs="Arial" w:eastAsia="Arial" w:hAnsi="Arial"/>
                <w:sz w:val="18"/>
                <w:szCs w:val="18"/>
                <w:b w:val="1"/>
                <w:bCs w:val="1"/>
                <w:color w:val="auto"/>
                <w:w w:val="88"/>
              </w:rPr>
              <w:t>Delaware</w:t>
            </w:r>
          </w:p>
        </w:tc>
        <w:tc>
          <w:tcPr>
            <w:tcW w:w="1740" w:type="dxa"/>
            <w:vAlign w:val="bottom"/>
          </w:tcPr>
          <w:p>
            <w:pPr>
              <w:jc w:val="right"/>
              <w:ind w:right="184"/>
              <w:spacing w:after="0"/>
              <w:rPr>
                <w:sz w:val="20"/>
                <w:szCs w:val="20"/>
                <w:color w:val="auto"/>
              </w:rPr>
            </w:pPr>
            <w:r>
              <w:rPr>
                <w:rFonts w:ascii="Arial" w:cs="Arial" w:eastAsia="Arial" w:hAnsi="Arial"/>
                <w:sz w:val="18"/>
                <w:szCs w:val="18"/>
                <w:b w:val="1"/>
                <w:bCs w:val="1"/>
                <w:color w:val="auto"/>
              </w:rPr>
              <w:t>36-4459170</w:t>
            </w:r>
          </w:p>
        </w:tc>
      </w:tr>
      <w:tr>
        <w:trPr>
          <w:trHeight w:val="149"/>
        </w:trPr>
        <w:tc>
          <w:tcPr>
            <w:tcW w:w="6280" w:type="dxa"/>
            <w:vAlign w:val="bottom"/>
          </w:tcPr>
          <w:p>
            <w:pPr>
              <w:jc w:val="center"/>
              <w:ind w:right="316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740" w:type="dxa"/>
            <w:vAlign w:val="bottom"/>
          </w:tcPr>
          <w:p>
            <w:pPr>
              <w:jc w:val="center"/>
              <w:ind w:left="32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280" w:type="dxa"/>
            <w:vAlign w:val="bottom"/>
          </w:tcPr>
          <w:p>
            <w:pPr>
              <w:jc w:val="center"/>
              <w:ind w:right="3164"/>
              <w:spacing w:after="0"/>
              <w:rPr>
                <w:sz w:val="20"/>
                <w:szCs w:val="20"/>
                <w:color w:val="auto"/>
              </w:rPr>
            </w:pPr>
            <w:r>
              <w:rPr>
                <w:rFonts w:ascii="Arial" w:cs="Arial" w:eastAsia="Arial" w:hAnsi="Arial"/>
                <w:sz w:val="14"/>
                <w:szCs w:val="14"/>
                <w:b w:val="1"/>
                <w:bCs w:val="1"/>
                <w:color w:val="auto"/>
                <w:w w:val="88"/>
              </w:rPr>
              <w:t>incorporation or organization)</w:t>
            </w:r>
          </w:p>
        </w:tc>
        <w:tc>
          <w:tcPr>
            <w:tcW w:w="1740" w:type="dxa"/>
            <w:vAlign w:val="bottom"/>
          </w:tcPr>
          <w:p>
            <w:pPr>
              <w:jc w:val="center"/>
              <w:ind w:left="324"/>
              <w:spacing w:after="0"/>
              <w:rPr>
                <w:sz w:val="20"/>
                <w:szCs w:val="20"/>
                <w:color w:val="auto"/>
              </w:rPr>
            </w:pPr>
            <w:r>
              <w:rPr>
                <w:rFonts w:ascii="Arial" w:cs="Arial" w:eastAsia="Arial" w:hAnsi="Arial"/>
                <w:sz w:val="14"/>
                <w:szCs w:val="14"/>
                <w:b w:val="1"/>
                <w:bCs w:val="1"/>
                <w:color w:val="auto"/>
                <w:w w:val="90"/>
              </w:rPr>
              <w:t>Identification Number)</w:t>
            </w:r>
          </w:p>
        </w:tc>
      </w:tr>
      <w:tr>
        <w:trPr>
          <w:trHeight w:val="406"/>
        </w:trPr>
        <w:tc>
          <w:tcPr>
            <w:tcW w:w="6280" w:type="dxa"/>
            <w:vAlign w:val="bottom"/>
          </w:tcPr>
          <w:p>
            <w:pPr>
              <w:jc w:val="center"/>
              <w:ind w:right="3144"/>
              <w:spacing w:after="0"/>
              <w:rPr>
                <w:sz w:val="20"/>
                <w:szCs w:val="20"/>
                <w:color w:val="auto"/>
              </w:rPr>
            </w:pPr>
            <w:r>
              <w:rPr>
                <w:rFonts w:ascii="Arial" w:cs="Arial" w:eastAsia="Arial" w:hAnsi="Arial"/>
                <w:sz w:val="18"/>
                <w:szCs w:val="18"/>
                <w:b w:val="1"/>
                <w:bCs w:val="1"/>
                <w:color w:val="auto"/>
                <w:w w:val="89"/>
              </w:rPr>
              <w:t>20 South Wacker Drive, Chicago, Illinois</w:t>
            </w:r>
          </w:p>
        </w:tc>
        <w:tc>
          <w:tcPr>
            <w:tcW w:w="1740" w:type="dxa"/>
            <w:vAlign w:val="bottom"/>
          </w:tcPr>
          <w:p>
            <w:pPr>
              <w:jc w:val="right"/>
              <w:ind w:right="384"/>
              <w:spacing w:after="0"/>
              <w:rPr>
                <w:sz w:val="20"/>
                <w:szCs w:val="20"/>
                <w:color w:val="auto"/>
              </w:rPr>
            </w:pPr>
            <w:r>
              <w:rPr>
                <w:rFonts w:ascii="Arial" w:cs="Arial" w:eastAsia="Arial" w:hAnsi="Arial"/>
                <w:sz w:val="18"/>
                <w:szCs w:val="18"/>
                <w:b w:val="1"/>
                <w:bCs w:val="1"/>
                <w:color w:val="auto"/>
              </w:rPr>
              <w:t>60606</w:t>
            </w:r>
          </w:p>
        </w:tc>
      </w:tr>
      <w:tr>
        <w:trPr>
          <w:trHeight w:val="174"/>
        </w:trPr>
        <w:tc>
          <w:tcPr>
            <w:tcW w:w="6280" w:type="dxa"/>
            <w:vAlign w:val="bottom"/>
          </w:tcPr>
          <w:p>
            <w:pPr>
              <w:jc w:val="center"/>
              <w:ind w:right="3164"/>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740" w:type="dxa"/>
            <w:vAlign w:val="bottom"/>
          </w:tcPr>
          <w:p>
            <w:pPr>
              <w:jc w:val="center"/>
              <w:ind w:left="32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280" w:type="dxa"/>
            <w:vAlign w:val="bottom"/>
          </w:tcPr>
          <w:p>
            <w:pPr>
              <w:jc w:val="right"/>
              <w:ind w:right="1284"/>
              <w:spacing w:after="0"/>
              <w:rPr>
                <w:sz w:val="20"/>
                <w:szCs w:val="20"/>
                <w:color w:val="auto"/>
              </w:rPr>
            </w:pPr>
            <w:r>
              <w:rPr>
                <w:rFonts w:ascii="Arial" w:cs="Arial" w:eastAsia="Arial" w:hAnsi="Arial"/>
                <w:sz w:val="18"/>
                <w:szCs w:val="18"/>
                <w:b w:val="1"/>
                <w:bCs w:val="1"/>
                <w:color w:val="auto"/>
              </w:rPr>
              <w:t>(312) 930-1000</w:t>
            </w:r>
          </w:p>
        </w:tc>
        <w:tc>
          <w:tcPr>
            <w:tcW w:w="1740" w:type="dxa"/>
            <w:vAlign w:val="bottom"/>
          </w:tcPr>
          <w:p>
            <w:pPr>
              <w:spacing w:after="0"/>
              <w:rPr>
                <w:sz w:val="24"/>
                <w:szCs w:val="24"/>
                <w:color w:val="auto"/>
              </w:rPr>
            </w:pPr>
          </w:p>
        </w:tc>
      </w:tr>
      <w:tr>
        <w:trPr>
          <w:trHeight w:val="174"/>
        </w:trPr>
        <w:tc>
          <w:tcPr>
            <w:tcW w:w="6280" w:type="dxa"/>
            <w:vAlign w:val="bottom"/>
          </w:tcPr>
          <w:p>
            <w:pPr>
              <w:jc w:val="center"/>
              <w:ind w:left="2384"/>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740" w:type="dxa"/>
            <w:vAlign w:val="bottom"/>
          </w:tcPr>
          <w:p>
            <w:pPr>
              <w:spacing w:after="0"/>
              <w:rPr>
                <w:sz w:val="15"/>
                <w:szCs w:val="15"/>
                <w:color w:val="auto"/>
              </w:rPr>
            </w:pPr>
          </w:p>
        </w:tc>
      </w:tr>
    </w:tbl>
    <w:p>
      <w:pPr>
        <w:spacing w:after="0" w:line="33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68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98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280" w:type="dxa"/>
            <w:vAlign w:val="bottom"/>
          </w:tcPr>
          <w:p>
            <w:pPr>
              <w:ind w:left="12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4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2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bl>
    <w:p>
      <w:pPr>
        <w:spacing w:after="0" w:line="136" w:lineRule="exact"/>
        <w:rPr>
          <w:sz w:val="24"/>
          <w:szCs w:val="24"/>
          <w:color w:val="auto"/>
        </w:rPr>
      </w:pPr>
    </w:p>
    <w:p>
      <w:pPr>
        <w:jc w:val="both"/>
        <w:ind w:right="100"/>
        <w:spacing w:after="0" w:line="306" w:lineRule="auto"/>
        <w:rPr>
          <w:sz w:val="20"/>
          <w:szCs w:val="20"/>
          <w:color w:val="auto"/>
        </w:rPr>
      </w:pPr>
      <w:r>
        <w:rPr>
          <w:rFonts w:ascii="Arial" w:cs="Arial" w:eastAsia="Arial" w:hAnsi="Arial"/>
          <w:sz w:val="16"/>
          <w:szCs w:val="16"/>
          <w:color w:val="auto"/>
        </w:rPr>
        <w:t>The number of shares outstanding of each of the registrant’s classes of common stock as of July 21, 2010 was as follows: 67,214,733 shares of Class A common stock, $0.01 par value; 625 shares of Class B common stock, Class B-1, $0.01 par value; 813 shares of Class B common stock, Class B-2, $0.01 par value; 1,287 shares of Class B common stock, Class B-3, $0.01 par value; and 413 shares of Class B common stock, Class B-4,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73025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gridSpan w:val="8"/>
            <w:vMerge w:val="restart"/>
          </w:tcPr>
          <w:p>
            <w:pPr>
              <w:spacing w:after="0"/>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PART I. FINANCIAL INFORMATION</w:t>
              </w:r>
            </w:hyperlink>
          </w:p>
        </w:tc>
        <w:tc>
          <w:tcPr>
            <w:tcW w:w="8140" w:type="dxa"/>
            <w:vAlign w:val="bottom"/>
            <w:gridSpan w:val="9"/>
            <w:vMerge w:val="restart"/>
          </w:tcPr>
          <w:p>
            <w:pPr>
              <w:spacing w:after="0"/>
              <w:rPr>
                <w:sz w:val="14"/>
                <w:szCs w:val="1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3000" w:type="dxa"/>
            <w:vAlign w:val="bottom"/>
            <w:tcBorders>
              <w:bottom w:val="single" w:sz="8" w:color="0000EE"/>
            </w:tcBorders>
            <w:gridSpan w:val="8"/>
            <w:vMerge w:val="continue"/>
          </w:tcPr>
          <w:p>
            <w:pPr>
              <w:spacing w:after="0"/>
              <w:rPr>
                <w:sz w:val="14"/>
                <w:szCs w:val="14"/>
                <w:color w:val="auto"/>
              </w:rPr>
            </w:pPr>
          </w:p>
        </w:tc>
        <w:tc>
          <w:tcPr>
            <w:tcW w:w="8140" w:type="dxa"/>
            <w:vAlign w:val="bottom"/>
            <w:gridSpan w:val="9"/>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0260" w:type="dxa"/>
            <w:vAlign w:val="bottom"/>
            <w:gridSpan w:val="16"/>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Financial Statements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4"/>
                <w:szCs w:val="24"/>
                <w:color w:val="auto"/>
              </w:rPr>
            </w:pPr>
          </w:p>
        </w:tc>
        <w:tc>
          <w:tcPr>
            <w:tcW w:w="4960" w:type="dxa"/>
            <w:vAlign w:val="bottom"/>
            <w:tcBorders>
              <w:bottom w:val="single" w:sz="8" w:color="0000EE"/>
            </w:tcBorders>
            <w:gridSpan w:val="11"/>
          </w:tcPr>
          <w:p>
            <w:pPr>
              <w:spacing w:after="0"/>
              <w:rPr>
                <w:rFonts w:ascii="Arial" w:cs="Arial" w:eastAsia="Arial" w:hAnsi="Arial"/>
                <w:sz w:val="18"/>
                <w:szCs w:val="18"/>
                <w:color w:val="0000EE"/>
                <w:w w:val="86"/>
              </w:rPr>
            </w:pPr>
            <w:hyperlink w:anchor="page6">
              <w:r>
                <w:rPr>
                  <w:rFonts w:ascii="Arial" w:cs="Arial" w:eastAsia="Arial" w:hAnsi="Arial"/>
                  <w:sz w:val="18"/>
                  <w:szCs w:val="18"/>
                  <w:color w:val="0000EE"/>
                  <w:w w:val="86"/>
                </w:rPr>
                <w:t>Consolidated Balance Sheets at June 30, 2010 and December 31, 2009</w:t>
              </w:r>
            </w:hyperlink>
          </w:p>
        </w:tc>
        <w:tc>
          <w:tcPr>
            <w:tcW w:w="5300" w:type="dxa"/>
            <w:vAlign w:val="bottom"/>
            <w:gridSpan w:val="5"/>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10260" w:type="dxa"/>
            <w:vAlign w:val="bottom"/>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Statements of Income for the Quarters and Six Months Ended June 30, 2010 and 2009</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4"/>
                <w:szCs w:val="24"/>
                <w:color w:val="auto"/>
              </w:rPr>
            </w:pPr>
          </w:p>
        </w:tc>
        <w:tc>
          <w:tcPr>
            <w:tcW w:w="10260" w:type="dxa"/>
            <w:vAlign w:val="bottom"/>
            <w:gridSpan w:val="16"/>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Consolidated Statements of Shareholders’ Equity for the Six Months Ended June 30, 2010 and 2009</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638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7"/>
              </w:rPr>
            </w:pPr>
            <w:hyperlink w:anchor="page10">
              <w:r>
                <w:rPr>
                  <w:rFonts w:ascii="Arial" w:cs="Arial" w:eastAsia="Arial" w:hAnsi="Arial"/>
                  <w:sz w:val="18"/>
                  <w:szCs w:val="18"/>
                  <w:color w:val="0000EE"/>
                  <w:w w:val="87"/>
                </w:rPr>
                <w:t>Consolidated Statements of Cash Flows for the Six Months Ended June 30, 2010 and 2009</w:t>
              </w:r>
            </w:hyperlink>
          </w:p>
        </w:tc>
        <w:tc>
          <w:tcPr>
            <w:tcW w:w="660" w:type="dxa"/>
            <w:vAlign w:val="bottom"/>
            <w:tcBorders>
              <w:top w:val="single" w:sz="8" w:color="0000EE"/>
            </w:tcBorders>
            <w:gridSpan w:val="3"/>
          </w:tcPr>
          <w:p>
            <w:pPr>
              <w:spacing w:after="0"/>
              <w:rPr>
                <w:sz w:val="24"/>
                <w:szCs w:val="24"/>
                <w:color w:val="auto"/>
              </w:rPr>
            </w:pPr>
          </w:p>
        </w:tc>
        <w:tc>
          <w:tcPr>
            <w:tcW w:w="322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386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12">
              <w:r>
                <w:rPr>
                  <w:rFonts w:ascii="Arial" w:cs="Arial" w:eastAsia="Arial" w:hAnsi="Arial"/>
                  <w:sz w:val="18"/>
                  <w:szCs w:val="18"/>
                  <w:color w:val="0000EE"/>
                  <w:w w:val="87"/>
                </w:rPr>
                <w:t>Notes to Unaudited Consolidated Financial Statements</w:t>
              </w:r>
            </w:hyperlink>
          </w:p>
        </w:tc>
        <w:tc>
          <w:tcPr>
            <w:tcW w:w="6400" w:type="dxa"/>
            <w:vAlign w:val="bottom"/>
            <w:gridSpan w:val="8"/>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680" w:type="dxa"/>
            <w:vAlign w:val="bottom"/>
            <w:tcBorders>
              <w:bottom w:val="single" w:sz="8" w:color="0000EE"/>
            </w:tcBorders>
            <w:gridSpan w:val="13"/>
          </w:tcPr>
          <w:p>
            <w:pPr>
              <w:spacing w:after="0"/>
              <w:rPr>
                <w:rFonts w:ascii="Arial" w:cs="Arial" w:eastAsia="Arial" w:hAnsi="Arial"/>
                <w:sz w:val="18"/>
                <w:szCs w:val="18"/>
                <w:b w:val="1"/>
                <w:bCs w:val="1"/>
                <w:color w:val="0000EE"/>
                <w:w w:val="87"/>
              </w:rPr>
            </w:pPr>
            <w:hyperlink w:anchor="page21">
              <w:r>
                <w:rPr>
                  <w:rFonts w:ascii="Arial" w:cs="Arial" w:eastAsia="Arial" w:hAnsi="Arial"/>
                  <w:sz w:val="18"/>
                  <w:szCs w:val="18"/>
                  <w:b w:val="1"/>
                  <w:bCs w:val="1"/>
                  <w:color w:val="0000EE"/>
                  <w:w w:val="87"/>
                </w:rPr>
                <w:t>Management’s Discussion and Analysis of Financial Condition and Results of Operations</w:t>
              </w:r>
            </w:hyperlink>
          </w:p>
        </w:tc>
        <w:tc>
          <w:tcPr>
            <w:tcW w:w="3580" w:type="dxa"/>
            <w:vAlign w:val="bottom"/>
            <w:gridSpan w:val="3"/>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4520" w:type="dxa"/>
            <w:vAlign w:val="bottom"/>
            <w:tcBorders>
              <w:bottom w:val="single" w:sz="8" w:color="0000EE"/>
            </w:tcBorders>
            <w:gridSpan w:val="10"/>
          </w:tcPr>
          <w:p>
            <w:pPr>
              <w:spacing w:after="0"/>
              <w:rPr>
                <w:rFonts w:ascii="Arial" w:cs="Arial" w:eastAsia="Arial" w:hAnsi="Arial"/>
                <w:sz w:val="18"/>
                <w:szCs w:val="18"/>
                <w:b w:val="1"/>
                <w:bCs w:val="1"/>
                <w:color w:val="0000EE"/>
                <w:w w:val="89"/>
              </w:rPr>
            </w:pPr>
            <w:hyperlink w:anchor="page29">
              <w:r>
                <w:rPr>
                  <w:rFonts w:ascii="Arial" w:cs="Arial" w:eastAsia="Arial" w:hAnsi="Arial"/>
                  <w:sz w:val="18"/>
                  <w:szCs w:val="18"/>
                  <w:b w:val="1"/>
                  <w:bCs w:val="1"/>
                  <w:color w:val="0000EE"/>
                  <w:w w:val="89"/>
                </w:rPr>
                <w:t>Quantitative and Qualitative Disclosures about Market Risk</w:t>
              </w:r>
            </w:hyperlink>
          </w:p>
        </w:tc>
        <w:tc>
          <w:tcPr>
            <w:tcW w:w="5740" w:type="dxa"/>
            <w:vAlign w:val="bottom"/>
            <w:gridSpan w:val="6"/>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0260" w:type="dxa"/>
            <w:vAlign w:val="bottom"/>
            <w:gridSpan w:val="16"/>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Controls and Procedures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5800" w:type="dxa"/>
            <w:vAlign w:val="bottom"/>
            <w:gridSpan w:val="7"/>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140" w:type="dxa"/>
            <w:vAlign w:val="bottom"/>
            <w:gridSpan w:val="17"/>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PART II. OTHER INFORMATION</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88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Item 1.</w:t>
            </w:r>
          </w:p>
        </w:tc>
        <w:tc>
          <w:tcPr>
            <w:tcW w:w="1380" w:type="dxa"/>
            <w:vAlign w:val="bottom"/>
            <w:tcBorders>
              <w:top w:val="single" w:sz="8" w:color="0000EE"/>
              <w:bottom w:val="single" w:sz="8" w:color="0000EE"/>
            </w:tcBorders>
            <w:gridSpan w:val="4"/>
          </w:tcPr>
          <w:p>
            <w:pPr>
              <w:spacing w:after="0"/>
              <w:rPr>
                <w:rFonts w:ascii="Arial" w:cs="Arial" w:eastAsia="Arial" w:hAnsi="Arial"/>
                <w:sz w:val="18"/>
                <w:szCs w:val="18"/>
                <w:b w:val="1"/>
                <w:bCs w:val="1"/>
                <w:color w:val="0000EE"/>
                <w:w w:val="84"/>
              </w:rPr>
            </w:pPr>
            <w:hyperlink w:anchor="page29">
              <w:r>
                <w:rPr>
                  <w:rFonts w:ascii="Arial" w:cs="Arial" w:eastAsia="Arial" w:hAnsi="Arial"/>
                  <w:sz w:val="18"/>
                  <w:szCs w:val="18"/>
                  <w:b w:val="1"/>
                  <w:bCs w:val="1"/>
                  <w:color w:val="0000EE"/>
                  <w:w w:val="84"/>
                </w:rPr>
                <w:t>Legal Proceedings</w:t>
              </w:r>
            </w:hyperlink>
          </w:p>
        </w:tc>
        <w:tc>
          <w:tcPr>
            <w:tcW w:w="480" w:type="dxa"/>
            <w:vAlign w:val="bottom"/>
            <w:tcBorders>
              <w:top w:val="single" w:sz="8" w:color="0000EE"/>
            </w:tcBorders>
            <w:gridSpan w:val="2"/>
          </w:tcPr>
          <w:p>
            <w:pPr>
              <w:spacing w:after="0"/>
              <w:rPr>
                <w:sz w:val="24"/>
                <w:szCs w:val="24"/>
                <w:color w:val="auto"/>
              </w:rPr>
            </w:pPr>
          </w:p>
        </w:tc>
        <w:tc>
          <w:tcPr>
            <w:tcW w:w="8400" w:type="dxa"/>
            <w:vAlign w:val="bottom"/>
            <w:gridSpan w:val="10"/>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60" w:type="dxa"/>
            <w:vAlign w:val="bottom"/>
            <w:tcBorders>
              <w:bottom w:val="single" w:sz="8" w:color="0000EE"/>
            </w:tcBorders>
            <w:gridSpan w:val="3"/>
          </w:tcPr>
          <w:p>
            <w:pPr>
              <w:spacing w:after="0"/>
              <w:rPr>
                <w:rFonts w:ascii="Arial" w:cs="Arial" w:eastAsia="Arial" w:hAnsi="Arial"/>
                <w:sz w:val="18"/>
                <w:szCs w:val="18"/>
                <w:b w:val="1"/>
                <w:bCs w:val="1"/>
                <w:color w:val="0000EE"/>
                <w:w w:val="86"/>
              </w:rPr>
            </w:pPr>
            <w:hyperlink w:anchor="page30">
              <w:r>
                <w:rPr>
                  <w:rFonts w:ascii="Arial" w:cs="Arial" w:eastAsia="Arial" w:hAnsi="Arial"/>
                  <w:sz w:val="18"/>
                  <w:szCs w:val="18"/>
                  <w:b w:val="1"/>
                  <w:bCs w:val="1"/>
                  <w:color w:val="0000EE"/>
                  <w:w w:val="86"/>
                </w:rPr>
                <w:t>Risk Factors</w:t>
              </w:r>
            </w:hyperlink>
          </w:p>
        </w:tc>
        <w:tc>
          <w:tcPr>
            <w:tcW w:w="9300" w:type="dxa"/>
            <w:vAlign w:val="bottom"/>
            <w:gridSpan w:val="13"/>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10260" w:type="dxa"/>
            <w:vAlign w:val="bottom"/>
            <w:gridSpan w:val="16"/>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Unregistered Sales of Equity Securities and Use of Proceeds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40" w:type="dxa"/>
            <w:vAlign w:val="bottom"/>
            <w:tcBorders>
              <w:top w:val="single" w:sz="8" w:color="0000EE"/>
              <w:bottom w:val="single" w:sz="8" w:color="0000EE"/>
            </w:tcBorders>
            <w:gridSpan w:val="2"/>
          </w:tcPr>
          <w:p>
            <w:pPr>
              <w:spacing w:after="0"/>
              <w:rPr>
                <w:rFonts w:ascii="Arial" w:cs="Arial" w:eastAsia="Arial" w:hAnsi="Arial"/>
                <w:sz w:val="18"/>
                <w:szCs w:val="18"/>
                <w:b w:val="1"/>
                <w:bCs w:val="1"/>
                <w:color w:val="0000EE"/>
                <w:w w:val="88"/>
              </w:rPr>
            </w:pPr>
            <w:hyperlink w:anchor="page31">
              <w:r>
                <w:rPr>
                  <w:rFonts w:ascii="Arial" w:cs="Arial" w:eastAsia="Arial" w:hAnsi="Arial"/>
                  <w:sz w:val="18"/>
                  <w:szCs w:val="18"/>
                  <w:b w:val="1"/>
                  <w:bCs w:val="1"/>
                  <w:color w:val="0000EE"/>
                  <w:w w:val="88"/>
                </w:rPr>
                <w:t>Exhibits</w:t>
              </w:r>
            </w:hyperlink>
          </w:p>
        </w:tc>
        <w:tc>
          <w:tcPr>
            <w:tcW w:w="3820" w:type="dxa"/>
            <w:vAlign w:val="bottom"/>
            <w:tcBorders>
              <w:top w:val="single" w:sz="8" w:color="0000EE"/>
            </w:tcBorders>
            <w:gridSpan w:val="7"/>
          </w:tcPr>
          <w:p>
            <w:pPr>
              <w:spacing w:after="0"/>
              <w:rPr>
                <w:sz w:val="24"/>
                <w:szCs w:val="24"/>
                <w:color w:val="auto"/>
              </w:rPr>
            </w:pPr>
          </w:p>
        </w:tc>
        <w:tc>
          <w:tcPr>
            <w:tcW w:w="5800" w:type="dxa"/>
            <w:vAlign w:val="bottom"/>
            <w:gridSpan w:val="7"/>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1140" w:type="dxa"/>
            <w:vAlign w:val="bottom"/>
            <w:tcBorders>
              <w:bottom w:val="single" w:sz="8" w:color="0000EE"/>
            </w:tcBorders>
            <w:gridSpan w:val="2"/>
          </w:tcPr>
          <w:p>
            <w:pPr>
              <w:spacing w:after="0"/>
              <w:rPr>
                <w:rFonts w:ascii="Arial" w:cs="Arial" w:eastAsia="Arial" w:hAnsi="Arial"/>
                <w:sz w:val="18"/>
                <w:szCs w:val="18"/>
                <w:b w:val="1"/>
                <w:bCs w:val="1"/>
                <w:color w:val="0000EE"/>
                <w:w w:val="94"/>
              </w:rPr>
            </w:pPr>
            <w:hyperlink w:anchor="page33">
              <w:r>
                <w:rPr>
                  <w:rFonts w:ascii="Arial" w:cs="Arial" w:eastAsia="Arial" w:hAnsi="Arial"/>
                  <w:sz w:val="18"/>
                  <w:szCs w:val="18"/>
                  <w:b w:val="1"/>
                  <w:bCs w:val="1"/>
                  <w:color w:val="0000EE"/>
                  <w:w w:val="94"/>
                </w:rPr>
                <w:t>SIGNATURES</w:t>
              </w:r>
            </w:hyperlink>
          </w:p>
        </w:tc>
        <w:tc>
          <w:tcPr>
            <w:tcW w:w="10000" w:type="dxa"/>
            <w:vAlign w:val="bottom"/>
            <w:gridSpan w:val="15"/>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83"/>
        </w:trPr>
        <w:tc>
          <w:tcPr>
            <w:tcW w:w="880" w:type="dxa"/>
            <w:vAlign w:val="bottom"/>
          </w:tcPr>
          <w:p>
            <w:pPr>
              <w:spacing w:after="0"/>
              <w:rPr>
                <w:sz w:val="24"/>
                <w:szCs w:val="24"/>
                <w:color w:val="auto"/>
              </w:rPr>
            </w:pPr>
          </w:p>
        </w:tc>
        <w:tc>
          <w:tcPr>
            <w:tcW w:w="4960" w:type="dxa"/>
            <w:vAlign w:val="bottom"/>
            <w:gridSpan w:val="11"/>
          </w:tcPr>
          <w:p>
            <w:pPr>
              <w:ind w:left="4800"/>
              <w:spacing w:after="0"/>
              <w:rPr>
                <w:sz w:val="20"/>
                <w:szCs w:val="20"/>
                <w:color w:val="auto"/>
              </w:rPr>
            </w:pPr>
            <w:r>
              <w:rPr>
                <w:rFonts w:ascii="Arial" w:cs="Arial" w:eastAsia="Arial" w:hAnsi="Arial"/>
                <w:sz w:val="18"/>
                <w:szCs w:val="18"/>
                <w:color w:val="auto"/>
              </w:rPr>
              <w:t>2</w:t>
            </w: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All references to “options” or “options contracts” in the text of this document refer to options on futures contracts.</w:t>
      </w:r>
    </w:p>
    <w:p>
      <w:pPr>
        <w:spacing w:after="0" w:line="17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Unless otherwise indicated, references to CME Group Inc. (CME Group) products include references to exchange-traded products on one of its regulated exchanges: Chicago Mercantile Exchange Inc. (CME), Board of Trade of the City of Chicago, Inc. (CBOT), New York Mercantile Exchange, Inc. (NYMEX) and Commodity Exchange, Inc. (COMEX). Products listed on these exchanges are subject to the rules and regulations of the particular exchange and the applicable rulebook should be consulted. Unless otherwise indicated, references to NYMEX include its subsidiary, COMEX.</w:t>
      </w:r>
    </w:p>
    <w:p>
      <w:pPr>
        <w:spacing w:after="0" w:line="113"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Further information about CME Group and its products can be found at http://www.cmegroup.com. Information made available on our Web site does not constitute a part of this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 Information</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Globe logo, CME, Chicago Mercantile Exchange, CME Group, Globex and E-mini, are trademarks of Chicago Mercantile Exchange Inc. CBOT and Chicago Board of Trade are trademarks of Board of Trade of the City of Chicago, Inc. NYMEX, New York Mercantile Exchange and ClearPort are trademarks of New York Mercantile Exchange, Inc. All other trademarks are the property of their respective owners.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From time to time, in this Quarterly Report on Form 10-Q as well as in other written reports and verbal statements, we discuss our expectations regarding future performance. These forward-looking statements are identified by their use of terms and phrases such as “believe,” “anticipate,” “could,” “estimate,” “intend,” “may,” “plan,” “expect” and similar expressions, including references to assumptions. These forward-looking statements are based on currently available competitive, financial and economic data, current expectations, estimates, forecasts and projections about the industries in which we operate and management’s beliefs and assumptions. These statements are not guarantees of future performance and involve risks, uncertainties and assumptions that are difficult to predict. Therefore, actual outcomes and results may differ materially from what is expressed or implied in any forward-looking statements. We want to caution you not to place undue reliance on any forward-looking statements. We undertake no obligation to publicly update any forward-looking statements, whether as a result of new information, future events or otherwise. Among the factors that might affect our performance are:</w:t>
      </w:r>
    </w:p>
    <w:p>
      <w:pPr>
        <w:spacing w:after="0" w:line="37" w:lineRule="exact"/>
        <w:rPr>
          <w:sz w:val="20"/>
          <w:szCs w:val="20"/>
          <w:color w:val="auto"/>
        </w:rPr>
      </w:pPr>
    </w:p>
    <w:p>
      <w:pPr>
        <w:ind w:left="900" w:right="22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increasing competition by foreign and domestic entities, including increased competition from new entrants into our markets and consolidation of existing entities;</w:t>
      </w:r>
    </w:p>
    <w:p>
      <w:pPr>
        <w:spacing w:after="0" w:line="50" w:lineRule="exact"/>
        <w:rPr>
          <w:rFonts w:ascii="Arial" w:cs="Arial" w:eastAsia="Arial" w:hAnsi="Arial"/>
          <w:sz w:val="18"/>
          <w:szCs w:val="18"/>
          <w:color w:val="auto"/>
        </w:rPr>
      </w:pPr>
    </w:p>
    <w:p>
      <w:pPr>
        <w:ind w:left="900" w:right="56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keep pace with rapid technological developments, including our ability to complete the development and implementation of the enhanced functionality required by our customers;</w:t>
      </w:r>
    </w:p>
    <w:p>
      <w:pPr>
        <w:spacing w:after="0" w:line="5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introducing competitive new products and services on a timely, cost-effective basis, including through our electronic trading capabilities, and our ability to maintain the competitiveness of our existing products and services;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adjust our fixed costs and expenses if our revenues decline;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generate revenues from our processing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existing customers, develop strategic relationships and attract new 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and offer our products in foreign jurisdictions;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domestic and foreign regulations;</w:t>
      </w:r>
    </w:p>
    <w:p>
      <w:pPr>
        <w:spacing w:after="0" w:line="90"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government policy, including policies relating to common or directed clearing, and changes resulting from the adoption and implementation of the Dodd-Frank Act and any changes in the regulation of our industry with respect to speculative trading in commodity interests and derivative contracts;</w:t>
      </w:r>
    </w:p>
    <w:p>
      <w:pPr>
        <w:spacing w:after="0" w:line="59"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associated with protecting our intellectual property rights and our ability to operate our business without violating the intellectual property rights of others;</w:t>
      </w:r>
    </w:p>
    <w:p>
      <w:pPr>
        <w:spacing w:after="0" w:line="5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generate revenue from our market data that may be reduced or eliminated by the growth of electronic trading, the state of the overall economy or declines in subscriptions;</w:t>
      </w:r>
    </w:p>
    <w:p>
      <w:pPr>
        <w:spacing w:after="0" w:line="50" w:lineRule="exact"/>
        <w:rPr>
          <w:rFonts w:ascii="Arial" w:cs="Arial" w:eastAsia="Arial" w:hAnsi="Arial"/>
          <w:sz w:val="18"/>
          <w:szCs w:val="18"/>
          <w:color w:val="auto"/>
        </w:rPr>
      </w:pPr>
    </w:p>
    <w:p>
      <w:pPr>
        <w:ind w:left="900" w:right="280" w:hanging="325"/>
        <w:spacing w:after="0" w:line="357" w:lineRule="auto"/>
        <w:tabs>
          <w:tab w:leader="none" w:pos="900" w:val="left"/>
        </w:tabs>
        <w:numPr>
          <w:ilvl w:val="0"/>
          <w:numId w:val="3"/>
        </w:numPr>
        <w:rPr>
          <w:rFonts w:ascii="Arial" w:cs="Arial" w:eastAsia="Arial" w:hAnsi="Arial"/>
          <w:sz w:val="15"/>
          <w:szCs w:val="15"/>
          <w:color w:val="auto"/>
        </w:rPr>
      </w:pPr>
      <w:r>
        <w:rPr>
          <w:rFonts w:ascii="Arial" w:cs="Arial" w:eastAsia="Arial" w:hAnsi="Arial"/>
          <w:sz w:val="15"/>
          <w:szCs w:val="15"/>
          <w:color w:val="auto"/>
        </w:rPr>
        <w:t>changes in our rate per contract due to shifts in the mix of the products traded, the trading venue and the mix of customers (whether the customer receives member or non-member fees or participates in one of our various incentive programs) and the impact of our tiered pricing structure;</w:t>
      </w: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financial safeguards package to adequately protect us from the credit risks of clearing members;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compliance and risk management methods to effectively monitor and manage our risks;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price levels and volatility in the derivatives markets and in underlying fixed income, equity, foreign exchange and commodities markets;</w:t>
      </w:r>
    </w:p>
    <w:p>
      <w:pPr>
        <w:spacing w:after="0" w:line="113" w:lineRule="exact"/>
        <w:rPr>
          <w:rFonts w:ascii="Arial" w:cs="Arial" w:eastAsia="Arial" w:hAnsi="Arial"/>
          <w:sz w:val="16"/>
          <w:szCs w:val="16"/>
          <w:color w:val="auto"/>
        </w:rPr>
      </w:pPr>
    </w:p>
    <w:p>
      <w:pPr>
        <w:ind w:left="900" w:right="62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political and market conditions, including the recent volatility of the capital and credit markets and the impact of recent economic conditions on the trading activity of our current and potential customers;</w:t>
      </w:r>
    </w:p>
    <w:p>
      <w:pPr>
        <w:spacing w:after="0" w:line="50" w:lineRule="exact"/>
        <w:rPr>
          <w:rFonts w:ascii="Arial" w:cs="Arial" w:eastAsia="Arial" w:hAnsi="Arial"/>
          <w:sz w:val="18"/>
          <w:szCs w:val="18"/>
          <w:color w:val="auto"/>
        </w:rPr>
      </w:pPr>
    </w:p>
    <w:p>
      <w:pPr>
        <w:ind w:left="900" w:right="60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accommodate increases in trading volume and order transaction traffic without failure or degradation of the performance of our systems;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execute our growth strategy and maintain our growth effectively;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the risks and control the costs associated with our acquisition, investment and alliance strategy;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continue to generate funds and/or manage our indebtedness to allow us to continue to invest in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and customer consolidation;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decreases in trading and clearing activity;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imposition of a transaction tax on futures and options on futures transactions and/or repeal of the 60/40 tax treatment of such transactions;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unfavorable resolution of material legal proceedings;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seasonality of the futures business.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a detailed discussion of these and other factors that might affect our performance, see Item 1A. of this Report and Item 1A. of our Annual Report on Form 10-K, filed with the Securities and Exchange Commission on February 26, 2010.</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400" w:type="dxa"/>
            <w:vAlign w:val="bottom"/>
          </w:tcPr>
          <w:p>
            <w:pPr>
              <w:ind w:left="80"/>
              <w:spacing w:after="0"/>
              <w:rPr>
                <w:sz w:val="20"/>
                <w:szCs w:val="20"/>
                <w:color w:val="auto"/>
              </w:rPr>
            </w:pPr>
            <w:r>
              <w:rPr>
                <w:rFonts w:ascii="Arial" w:cs="Arial" w:eastAsia="Arial" w:hAnsi="Arial"/>
                <w:sz w:val="18"/>
                <w:szCs w:val="18"/>
                <w:b w:val="1"/>
                <w:bCs w:val="1"/>
                <w:color w:val="auto"/>
              </w:rPr>
              <w:t>FINANCIAL STATEMENTS AND SUPPLEMENTARY DATA</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0" w:type="dxa"/>
            <w:vAlign w:val="bottom"/>
          </w:tcPr>
          <w:p>
            <w:pPr>
              <w:jc w:val="center"/>
              <w:ind w:left="1032"/>
              <w:spacing w:after="0"/>
              <w:rPr>
                <w:sz w:val="20"/>
                <w:szCs w:val="20"/>
                <w:color w:val="auto"/>
              </w:rPr>
            </w:pPr>
            <w:r>
              <w:rPr>
                <w:rFonts w:ascii="Arial" w:cs="Arial" w:eastAsia="Arial" w:hAnsi="Arial"/>
                <w:sz w:val="18"/>
                <w:szCs w:val="18"/>
                <w:b w:val="1"/>
                <w:bCs w:val="1"/>
                <w:color w:val="auto"/>
                <w:w w:val="97"/>
              </w:rPr>
              <w:t>CME GROUP INC. AND SUBSIDIARIES</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0" w:type="dxa"/>
            <w:vAlign w:val="bottom"/>
          </w:tcPr>
          <w:p>
            <w:pPr>
              <w:jc w:val="center"/>
              <w:ind w:left="1032"/>
              <w:spacing w:after="0"/>
              <w:rPr>
                <w:sz w:val="20"/>
                <w:szCs w:val="20"/>
                <w:color w:val="auto"/>
              </w:rPr>
            </w:pPr>
            <w:r>
              <w:rPr>
                <w:rFonts w:ascii="Arial" w:cs="Arial" w:eastAsia="Arial" w:hAnsi="Arial"/>
                <w:sz w:val="18"/>
                <w:szCs w:val="18"/>
                <w:b w:val="1"/>
                <w:bCs w:val="1"/>
                <w:color w:val="auto"/>
                <w:w w:val="96"/>
              </w:rPr>
              <w:t>CONSOLIDATED BALANCE SHEETS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0" w:type="dxa"/>
            <w:vAlign w:val="bottom"/>
          </w:tcPr>
          <w:p>
            <w:pPr>
              <w:jc w:val="center"/>
              <w:ind w:left="1012"/>
              <w:spacing w:after="0"/>
              <w:rPr>
                <w:sz w:val="20"/>
                <w:szCs w:val="20"/>
                <w:color w:val="auto"/>
              </w:rPr>
            </w:pPr>
            <w:r>
              <w:rPr>
                <w:rFonts w:ascii="Arial" w:cs="Arial" w:eastAsia="Arial" w:hAnsi="Arial"/>
                <w:sz w:val="18"/>
                <w:szCs w:val="18"/>
                <w:color w:val="auto"/>
                <w:w w:val="87"/>
              </w:rPr>
              <w:t>(dollars in millions, except per share data; shares in thousands)</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0" w:type="dxa"/>
            <w:vAlign w:val="bottom"/>
          </w:tcPr>
          <w:p>
            <w:pPr>
              <w:jc w:val="center"/>
              <w:ind w:left="1012"/>
              <w:spacing w:after="0"/>
              <w:rPr>
                <w:sz w:val="20"/>
                <w:szCs w:val="20"/>
                <w:color w:val="auto"/>
              </w:rPr>
            </w:pPr>
            <w:r>
              <w:rPr>
                <w:rFonts w:ascii="Arial" w:cs="Arial" w:eastAsia="Arial" w:hAnsi="Arial"/>
                <w:sz w:val="18"/>
                <w:szCs w:val="18"/>
                <w:color w:val="auto"/>
                <w:w w:val="90"/>
              </w:rPr>
              <w:t>(unaudited)</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2010</w:t>
            </w:r>
          </w:p>
        </w:tc>
        <w:tc>
          <w:tcPr>
            <w:tcW w:w="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363.6</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Marketable securities</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45.0</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receivable, net of allowance of $1.4 and $1.9</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330.8</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Other current assets</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103.8</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performance bonds and security deposits</w:t>
            </w: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3,758.8</w:t>
            </w:r>
          </w:p>
        </w:tc>
        <w:tc>
          <w:tcPr>
            <w:tcW w:w="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360" w:type="dxa"/>
            <w:vAlign w:val="bottom"/>
            <w:gridSpan w:val="3"/>
          </w:tcPr>
          <w:p>
            <w:pPr>
              <w:spacing w:after="0"/>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4,602.0</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6,699.0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net of accumulated depreciation and amortization of $546.0 and $546.1</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729.5</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Intangible assets – trading products</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5"/>
              </w:rPr>
              <w:t>17,038.0</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16,982.0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 other, net</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3,502.0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Goodwill</w:t>
            </w:r>
          </w:p>
        </w:tc>
        <w:tc>
          <w:tcPr>
            <w:tcW w:w="8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7,962.8</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7,549.2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w w:val="90"/>
              </w:rPr>
              <w:t>Other assets</w:t>
            </w:r>
          </w:p>
        </w:tc>
        <w:tc>
          <w:tcPr>
            <w:tcW w:w="8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424.6</w:t>
            </w:r>
          </w:p>
        </w:tc>
        <w:tc>
          <w:tcPr>
            <w:tcW w:w="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w w:val="87"/>
              </w:rPr>
              <w:t>Total Assets</w:t>
            </w:r>
          </w:p>
        </w:tc>
        <w:tc>
          <w:tcPr>
            <w:tcW w:w="84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34,258.9</w:t>
            </w:r>
          </w:p>
        </w:tc>
        <w:tc>
          <w:tcPr>
            <w:tcW w:w="4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35,651.0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8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Short-term debt</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300.0</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Cash performance bonds and security deposits</w:t>
            </w: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3,758.8</w:t>
            </w: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4,334.3</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2,524.4</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liabilities, net</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7,775.9</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172.9</w:t>
            </w: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14,807.5</w:t>
            </w:r>
          </w:p>
        </w:tc>
        <w:tc>
          <w:tcPr>
            <w:tcW w:w="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16,350.0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9360" w:type="dxa"/>
            <w:vAlign w:val="bottom"/>
            <w:gridSpan w:val="3"/>
          </w:tcPr>
          <w:p>
            <w:pPr>
              <w:spacing w:after="0"/>
              <w:rPr>
                <w:sz w:val="20"/>
                <w:szCs w:val="20"/>
                <w:color w:val="auto"/>
              </w:rPr>
            </w:pPr>
            <w:r>
              <w:rPr>
                <w:rFonts w:ascii="Arial" w:cs="Arial" w:eastAsia="Arial" w:hAnsi="Arial"/>
                <w:sz w:val="18"/>
                <w:szCs w:val="18"/>
                <w:color w:val="auto"/>
              </w:rPr>
              <w:t>Redeemable non-controlling interest</w:t>
            </w: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67.9</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34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Preferred stock, $0.01 par value, 9,860 shares authorized, none issued or outstanding</w:t>
            </w:r>
          </w:p>
        </w:tc>
        <w:tc>
          <w:tcPr>
            <w:tcW w:w="8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Series A junior participating preferred stock, $0.01 par value, 140 shares authorized, none issued or outstanding</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w w:val="90"/>
              </w:rPr>
              <w:t>Class A common stock, $0.01 par value, 1,000,000 shares authorized, 65,585 and 66,511 shares issued and outstanding as</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gridSpan w:val="2"/>
          </w:tcPr>
          <w:p>
            <w:pPr>
              <w:ind w:left="640"/>
              <w:spacing w:after="0"/>
              <w:rPr>
                <w:sz w:val="20"/>
                <w:szCs w:val="20"/>
                <w:color w:val="auto"/>
              </w:rPr>
            </w:pPr>
            <w:r>
              <w:rPr>
                <w:rFonts w:ascii="Arial" w:cs="Arial" w:eastAsia="Arial" w:hAnsi="Arial"/>
                <w:sz w:val="18"/>
                <w:szCs w:val="18"/>
                <w:color w:val="auto"/>
              </w:rPr>
              <w:t>of June 30, 2010 and December 31, 2009</w:t>
            </w: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0.7</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Class B common stock, $0.01 par value, 3 shares authorized, issued and outstanding</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5"/>
              </w:rPr>
              <w:t>16,920.3</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17,186.6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2,599.3</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80" w:type="dxa"/>
            <w:vAlign w:val="bottom"/>
          </w:tcPr>
          <w:p>
            <w:pPr>
              <w:spacing w:after="0"/>
              <w:rPr>
                <w:sz w:val="19"/>
                <w:szCs w:val="19"/>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(136.8)</w:t>
            </w:r>
          </w:p>
        </w:tc>
        <w:tc>
          <w:tcPr>
            <w:tcW w:w="14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19,383.5</w:t>
            </w:r>
          </w:p>
        </w:tc>
        <w:tc>
          <w:tcPr>
            <w:tcW w:w="4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19,301.0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6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34,258.9</w:t>
            </w:r>
          </w:p>
        </w:tc>
        <w:tc>
          <w:tcPr>
            <w:tcW w:w="4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35,651.0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Quarter Ended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8"/>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Clearing and transaction fees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684.2</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536.8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1,262.2</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Market data and information services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Access and communication fees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Revenues</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813.9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647.8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1,507.1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1,294.9</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9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88.0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Communications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Technology support services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 and outside services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Amortization of purchased intangibles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63.1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Occupancy and building operations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Licensing and other fee agreements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Restructuring</w:t>
            </w:r>
          </w:p>
        </w:tc>
        <w:tc>
          <w:tcPr>
            <w:tcW w:w="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Expenses</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298.8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249.0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577.3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509.7</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9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398.8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785.2</w:t>
            </w:r>
          </w:p>
        </w:tc>
        <w:tc>
          <w:tcPr>
            <w:tcW w:w="0" w:type="dxa"/>
            <w:vAlign w:val="bottom"/>
          </w:tcPr>
          <w:p>
            <w:pPr>
              <w:spacing w:after="0"/>
              <w:rPr>
                <w:sz w:val="1"/>
                <w:szCs w:val="1"/>
                <w:color w:val="auto"/>
              </w:rPr>
            </w:pPr>
          </w:p>
        </w:tc>
      </w:tr>
      <w:tr>
        <w:trPr>
          <w:trHeight w:val="322"/>
        </w:trPr>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Non-Operating Income (Expense)</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Gains (losses) on derivative investments</w:t>
            </w:r>
          </w:p>
        </w:tc>
        <w:tc>
          <w:tcPr>
            <w:tcW w:w="8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Securities lending interest income</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Securities lending interest and other costs</w:t>
            </w:r>
          </w:p>
        </w:tc>
        <w:tc>
          <w:tcPr>
            <w:tcW w:w="8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borrowing costs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Equity in losses of unconsolidated subsidiaries</w:t>
            </w:r>
          </w:p>
        </w:tc>
        <w:tc>
          <w:tcPr>
            <w:tcW w:w="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Non-Operating</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9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374.9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Income tax provision</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208.9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153.1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367.6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304.5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221.8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Less: net income attributable to redeemable non-controlling interest</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CME Group</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221.8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510.9</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420.9</w:t>
            </w: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per Common Share Attributable to CME Group:</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98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7.73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Common Shares: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65,582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w w:val="83"/>
              </w:rPr>
              <w:t>66,329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65,906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66,316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65,784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3"/>
              </w:rPr>
              <w:t>66,526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66,104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66,470</w:t>
            </w: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Common</w:t>
            </w: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Class A</w:t>
            </w: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Class B</w:t>
            </w:r>
          </w:p>
        </w:tc>
        <w:tc>
          <w:tcPr>
            <w:tcW w:w="14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Stock and</w:t>
            </w: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Common</w:t>
            </w: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Common</w:t>
            </w:r>
          </w:p>
        </w:tc>
        <w:tc>
          <w:tcPr>
            <w:tcW w:w="14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Additional</w:t>
            </w: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Other</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Total</w:t>
            </w: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Stock</w:t>
            </w: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Stock</w:t>
            </w:r>
          </w:p>
        </w:tc>
        <w:tc>
          <w:tcPr>
            <w:tcW w:w="14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Paid-in</w:t>
            </w:r>
          </w:p>
        </w:tc>
        <w:tc>
          <w:tcPr>
            <w:tcW w:w="104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4"/>
              </w:rPr>
              <w:t>Retained</w:t>
            </w:r>
          </w:p>
        </w:tc>
        <w:tc>
          <w:tcPr>
            <w:tcW w:w="11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8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Shareholders’</w:t>
            </w:r>
          </w:p>
        </w:tc>
      </w:t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40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40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Earnings</w:t>
            </w:r>
          </w:p>
        </w:tc>
        <w:tc>
          <w:tcPr>
            <w:tcW w:w="42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Income (Loss)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2009</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4"/>
              </w:rPr>
              <w:t>66,511</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$17,187.3</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$2,239.9</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(126.2)</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19,301.0</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Comprehensive income:</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attributable to CME Group</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510.9</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510.9</w:t>
            </w: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w w:val="98"/>
              </w:rPr>
              <w:t>Change in net unrealized loss on securities, net of tax of $4.1</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(11.0)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(11.0)</w:t>
            </w:r>
          </w:p>
        </w:tc>
      </w:tr>
      <w:tr>
        <w:trPr>
          <w:trHeight w:val="208"/>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Change in net actuarial loss on defined benefit plans, net of tax</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2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of $0.8</w:t>
            </w:r>
          </w:p>
        </w:tc>
        <w:tc>
          <w:tcPr>
            <w:tcW w:w="5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w w:val="96"/>
              </w:rPr>
              <w:t>Change in net unrealized loss on derivatives, net of tax of $1.6</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r>
      <w:tr>
        <w:trPr>
          <w:trHeight w:val="208"/>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Change in foreign currency translation adjustment, net of tax of</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2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$2.2</w:t>
            </w:r>
          </w:p>
        </w:tc>
        <w:tc>
          <w:tcPr>
            <w:tcW w:w="5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r>
      <w:tr>
        <w:trPr>
          <w:trHeight w:val="221"/>
        </w:trPr>
        <w:tc>
          <w:tcPr>
            <w:tcW w:w="5260" w:type="dxa"/>
            <w:vAlign w:val="bottom"/>
            <w:gridSpan w:val="2"/>
          </w:tcPr>
          <w:p>
            <w:pPr>
              <w:spacing w:after="0"/>
              <w:rPr>
                <w:sz w:val="20"/>
                <w:szCs w:val="20"/>
                <w:color w:val="auto"/>
              </w:rPr>
            </w:pPr>
            <w:r>
              <w:rPr>
                <w:rFonts w:ascii="Arial" w:cs="Arial" w:eastAsia="Arial" w:hAnsi="Arial"/>
                <w:sz w:val="18"/>
                <w:szCs w:val="18"/>
                <w:color w:val="auto"/>
              </w:rPr>
              <w:t>Total comprehensive income attributable to CME Group</w:t>
            </w: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500.3</w:t>
            </w: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on common stock of $2.30 per share</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(151.5)</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(151.5)</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Repurchase of Class A common stock</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(982)</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(296.2)</w:t>
            </w: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(296.2)</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43</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4"/>
              </w:rPr>
              <w:t>Excess tax benefits from option exercises and restricted stock vesting</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Vesting of issued restricted Class A Common stock</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Shares issued to Board of Directors</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8</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Shares issued under Employee Stock Purchase Plan</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54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40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June 30, 2010</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4"/>
              </w:rPr>
              <w:t>65,585</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16,921.0</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2,599.3</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(136.8)</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19,383.5</w:t>
            </w: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60" w:right="2660"/>
        <w:spacing w:after="0" w:line="261" w:lineRule="auto"/>
        <w:rPr>
          <w:sz w:val="20"/>
          <w:szCs w:val="20"/>
          <w:color w:val="auto"/>
        </w:rPr>
      </w:pPr>
      <w:r>
        <w:rPr>
          <w:rFonts w:ascii="Arial" w:cs="Arial" w:eastAsia="Arial" w:hAnsi="Arial"/>
          <w:sz w:val="18"/>
          <w:szCs w:val="18"/>
          <w:b w:val="1"/>
          <w:bCs w:val="1"/>
          <w:color w:val="auto"/>
        </w:rPr>
        <w:t xml:space="preserve">CME GROUP INC. AND SUBSIDIARIES CONSOLIDATED STATEMENTS OF SHAREHOLDERS’ EQUITY </w:t>
      </w:r>
      <w:r>
        <w:rPr>
          <w:rFonts w:ascii="Arial" w:cs="Arial" w:eastAsia="Arial" w:hAnsi="Arial"/>
          <w:sz w:val="18"/>
          <w:szCs w:val="18"/>
          <w:color w:val="auto"/>
        </w:rPr>
        <w:t>(continued)</w:t>
      </w:r>
      <w:r>
        <w:rPr>
          <w:rFonts w:ascii="Arial" w:cs="Arial" w:eastAsia="Arial" w:hAnsi="Arial"/>
          <w:sz w:val="18"/>
          <w:szCs w:val="18"/>
          <w:b w:val="1"/>
          <w:bCs w:val="1"/>
          <w:color w:val="auto"/>
        </w:rPr>
        <w:t xml:space="preserve"> </w:t>
      </w:r>
      <w:r>
        <w:rPr>
          <w:rFonts w:ascii="Arial" w:cs="Arial" w:eastAsia="Arial" w:hAnsi="Arial"/>
          <w:sz w:val="18"/>
          <w:szCs w:val="18"/>
          <w:color w:val="auto"/>
        </w:rPr>
        <w:t>(dollars in millions, except per share data; shares in thousands) (unaudited)</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Common</w:t>
            </w: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26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Class A</w:t>
            </w: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Class B</w:t>
            </w:r>
          </w:p>
        </w:tc>
        <w:tc>
          <w:tcPr>
            <w:tcW w:w="14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Stock and</w:t>
            </w: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26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Common</w:t>
            </w: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Common</w:t>
            </w:r>
          </w:p>
        </w:tc>
        <w:tc>
          <w:tcPr>
            <w:tcW w:w="14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Additional</w:t>
            </w: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Other</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Total</w:t>
            </w:r>
          </w:p>
        </w:tc>
      </w:tr>
      <w:tr>
        <w:trPr>
          <w:trHeight w:val="149"/>
        </w:trPr>
        <w:tc>
          <w:tcPr>
            <w:tcW w:w="526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Stock</w:t>
            </w: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Stock</w:t>
            </w:r>
          </w:p>
        </w:tc>
        <w:tc>
          <w:tcPr>
            <w:tcW w:w="14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Paid-in</w:t>
            </w:r>
          </w:p>
        </w:tc>
        <w:tc>
          <w:tcPr>
            <w:tcW w:w="104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4"/>
              </w:rPr>
              <w:t>Retained</w:t>
            </w:r>
          </w:p>
        </w:tc>
        <w:tc>
          <w:tcPr>
            <w:tcW w:w="11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8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Shareholders’</w:t>
            </w:r>
          </w:p>
        </w:tc>
      </w:tr>
      <w:tr>
        <w:trPr>
          <w:trHeight w:val="161"/>
        </w:trPr>
        <w:tc>
          <w:tcPr>
            <w:tcW w:w="526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40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40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Earnings</w:t>
            </w:r>
          </w:p>
        </w:tc>
        <w:tc>
          <w:tcPr>
            <w:tcW w:w="42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Income (Loss)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4"/>
                <w:szCs w:val="14"/>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66,417</w:t>
            </w:r>
          </w:p>
        </w:tc>
        <w:tc>
          <w:tcPr>
            <w:tcW w:w="4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$17,129.2</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$1,719.7</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(160.3)</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18,688.6</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Comprehensive income:</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 attributable to CME Group</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420.9</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420.9</w:t>
            </w:r>
          </w:p>
        </w:tc>
      </w:tr>
      <w:tr>
        <w:trPr>
          <w:trHeight w:val="216"/>
        </w:trPr>
        <w:tc>
          <w:tcPr>
            <w:tcW w:w="5260" w:type="dxa"/>
            <w:vAlign w:val="bottom"/>
          </w:tcPr>
          <w:p>
            <w:pPr>
              <w:ind w:left="440"/>
              <w:spacing w:after="0"/>
              <w:rPr>
                <w:sz w:val="20"/>
                <w:szCs w:val="20"/>
                <w:color w:val="auto"/>
              </w:rPr>
            </w:pPr>
            <w:r>
              <w:rPr>
                <w:rFonts w:ascii="Arial" w:cs="Arial" w:eastAsia="Arial" w:hAnsi="Arial"/>
                <w:sz w:val="18"/>
                <w:szCs w:val="18"/>
                <w:color w:val="auto"/>
                <w:w w:val="98"/>
              </w:rPr>
              <w:t>Change in net unrealized loss on securities, net of tax of $6.0</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r>
      <w:tr>
        <w:trPr>
          <w:trHeight w:val="208"/>
        </w:trPr>
        <w:tc>
          <w:tcPr>
            <w:tcW w:w="52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5"/>
              </w:rPr>
              <w:t>Change in net actuarial loss on defined benefit plans, net of tax</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52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of $0.9</w:t>
            </w:r>
          </w:p>
        </w:tc>
        <w:tc>
          <w:tcPr>
            <w:tcW w:w="5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5260" w:type="dxa"/>
            <w:vAlign w:val="bottom"/>
          </w:tcPr>
          <w:p>
            <w:pPr>
              <w:ind w:left="440"/>
              <w:spacing w:after="0"/>
              <w:rPr>
                <w:sz w:val="20"/>
                <w:szCs w:val="20"/>
                <w:color w:val="auto"/>
              </w:rPr>
            </w:pPr>
            <w:r>
              <w:rPr>
                <w:rFonts w:ascii="Arial" w:cs="Arial" w:eastAsia="Arial" w:hAnsi="Arial"/>
                <w:sz w:val="18"/>
                <w:szCs w:val="18"/>
                <w:color w:val="auto"/>
                <w:w w:val="96"/>
              </w:rPr>
              <w:t>Change in net unrealized loss on derivatives, net of tax of $2.8</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r>
      <w:tr>
        <w:trPr>
          <w:trHeight w:val="208"/>
        </w:trPr>
        <w:tc>
          <w:tcPr>
            <w:tcW w:w="52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5"/>
              </w:rPr>
              <w:t>Change in foreign currency translation adjustment, net of tax of</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52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$2.6</w:t>
            </w:r>
          </w:p>
        </w:tc>
        <w:tc>
          <w:tcPr>
            <w:tcW w:w="5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r>
      <w:tr>
        <w:trPr>
          <w:trHeight w:val="221"/>
        </w:trPr>
        <w:tc>
          <w:tcPr>
            <w:tcW w:w="5260" w:type="dxa"/>
            <w:vAlign w:val="bottom"/>
          </w:tcPr>
          <w:p>
            <w:pPr>
              <w:spacing w:after="0"/>
              <w:rPr>
                <w:sz w:val="20"/>
                <w:szCs w:val="20"/>
                <w:color w:val="auto"/>
              </w:rPr>
            </w:pPr>
            <w:r>
              <w:rPr>
                <w:rFonts w:ascii="Arial" w:cs="Arial" w:eastAsia="Arial" w:hAnsi="Arial"/>
                <w:sz w:val="18"/>
                <w:szCs w:val="18"/>
                <w:color w:val="auto"/>
              </w:rPr>
              <w:t>Total comprehensive income attributable to CME Group</w:t>
            </w: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437.3</w:t>
            </w:r>
          </w:p>
        </w:tc>
      </w:tr>
      <w:tr>
        <w:trPr>
          <w:trHeight w:val="218"/>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on common stock of $2.30 per share</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(152.6)</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(152.6)</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Repurchase of Class A common stock</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(139)</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(27.0)</w:t>
            </w: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(27.0)</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w w:val="94"/>
              </w:rPr>
              <w:t>Excess tax benefits from option exercises and restricted stock vesting</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Vesting of issued restricted Class A common stock</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Shares issued to Board of Directors</w:t>
            </w:r>
          </w:p>
        </w:tc>
        <w:tc>
          <w:tcPr>
            <w:tcW w:w="540" w:type="dxa"/>
            <w:vAlign w:val="bottom"/>
          </w:tcPr>
          <w:p>
            <w:pPr>
              <w:jc w:val="right"/>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Shares issued under Employee Stock</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Purchase Plan</w:t>
            </w: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540" w:type="dxa"/>
            <w:vAlign w:val="bottom"/>
            <w:tcBorders>
              <w:bottom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4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8"/>
                <w:szCs w:val="18"/>
                <w:color w:val="auto"/>
              </w:rPr>
            </w:pPr>
          </w:p>
        </w:tc>
      </w:tr>
      <w:tr>
        <w:trPr>
          <w:trHeight w:val="222"/>
        </w:trPr>
        <w:tc>
          <w:tcPr>
            <w:tcW w:w="5260" w:type="dxa"/>
            <w:vAlign w:val="bottom"/>
          </w:tcPr>
          <w:p>
            <w:pPr>
              <w:spacing w:after="0"/>
              <w:rPr>
                <w:sz w:val="20"/>
                <w:szCs w:val="20"/>
                <w:color w:val="auto"/>
              </w:rPr>
            </w:pPr>
            <w:r>
              <w:rPr>
                <w:rFonts w:ascii="Arial" w:cs="Arial" w:eastAsia="Arial" w:hAnsi="Arial"/>
                <w:sz w:val="18"/>
                <w:szCs w:val="18"/>
                <w:b w:val="1"/>
                <w:bCs w:val="1"/>
                <w:color w:val="auto"/>
              </w:rPr>
              <w:t>Balance at June 30, 2009</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66,370</w:t>
            </w:r>
          </w:p>
        </w:tc>
        <w:tc>
          <w:tcPr>
            <w:tcW w:w="4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8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17,137.2</w:t>
            </w:r>
          </w:p>
        </w:tc>
        <w:tc>
          <w:tcPr>
            <w:tcW w:w="4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1,988.0</w:t>
            </w:r>
          </w:p>
        </w:tc>
        <w:tc>
          <w:tcPr>
            <w:tcW w:w="420" w:type="dxa"/>
            <w:vAlign w:val="bottom"/>
          </w:tcPr>
          <w:p>
            <w:pPr>
              <w:spacing w:after="0"/>
              <w:rPr>
                <w:sz w:val="19"/>
                <w:szCs w:val="19"/>
                <w:color w:val="auto"/>
              </w:rPr>
            </w:pPr>
          </w:p>
        </w:tc>
        <w:tc>
          <w:tcPr>
            <w:tcW w:w="180" w:type="dxa"/>
            <w:vAlign w:val="bottom"/>
          </w:tcPr>
          <w:p>
            <w:pPr>
              <w:jc w:val="right"/>
              <w:ind w:right="29"/>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(143.9)</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18,981.3</w:t>
            </w:r>
          </w:p>
        </w:tc>
      </w:tr>
      <w:tr>
        <w:trPr>
          <w:trHeight w:val="20"/>
        </w:trPr>
        <w:tc>
          <w:tcPr>
            <w:tcW w:w="5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60" w:type="dxa"/>
            <w:vAlign w:val="bottom"/>
          </w:tcPr>
          <w:p>
            <w:pPr>
              <w:spacing w:after="0"/>
              <w:rPr>
                <w:sz w:val="14"/>
                <w:szCs w:val="14"/>
                <w:color w:val="auto"/>
              </w:rPr>
            </w:pPr>
          </w:p>
        </w:tc>
        <w:tc>
          <w:tcPr>
            <w:tcW w:w="164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760" w:type="dxa"/>
            <w:vAlign w:val="bottom"/>
          </w:tcPr>
          <w:p>
            <w:pPr>
              <w:spacing w:after="0"/>
              <w:rPr>
                <w:sz w:val="14"/>
                <w:szCs w:val="14"/>
                <w:color w:val="auto"/>
              </w:rPr>
            </w:pPr>
          </w:p>
        </w:tc>
        <w:tc>
          <w:tcPr>
            <w:tcW w:w="164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60" w:type="dxa"/>
            <w:vAlign w:val="bottom"/>
          </w:tcPr>
          <w:p>
            <w:pPr>
              <w:spacing w:after="0"/>
              <w:rPr>
                <w:sz w:val="12"/>
                <w:szCs w:val="12"/>
                <w:color w:val="auto"/>
              </w:rPr>
            </w:pPr>
          </w:p>
        </w:tc>
        <w:tc>
          <w:tcPr>
            <w:tcW w:w="54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Net income</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$ 511.4</w:t>
            </w:r>
          </w:p>
        </w:tc>
        <w:tc>
          <w:tcPr>
            <w:tcW w:w="2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$ 420.9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540" w:type="dxa"/>
            <w:vAlign w:val="bottom"/>
          </w:tcPr>
          <w:p>
            <w:pPr>
              <w:jc w:val="right"/>
              <w:spacing w:after="0"/>
              <w:rPr>
                <w:sz w:val="20"/>
                <w:szCs w:val="20"/>
                <w:color w:val="auto"/>
              </w:rPr>
            </w:pPr>
            <w:r>
              <w:rPr>
                <w:rFonts w:ascii="Arial" w:cs="Arial" w:eastAsia="Arial" w:hAnsi="Arial"/>
                <w:sz w:val="18"/>
                <w:szCs w:val="18"/>
                <w:color w:val="auto"/>
              </w:rPr>
              <w:t>18.9</w:t>
            </w:r>
          </w:p>
        </w:tc>
        <w:tc>
          <w:tcPr>
            <w:tcW w:w="2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purchased intangibles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2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540" w:type="dxa"/>
            <w:vAlign w:val="bottom"/>
          </w:tcPr>
          <w:p>
            <w:pPr>
              <w:jc w:val="right"/>
              <w:spacing w:after="0"/>
              <w:rPr>
                <w:sz w:val="20"/>
                <w:szCs w:val="20"/>
                <w:color w:val="auto"/>
              </w:rPr>
            </w:pPr>
            <w:r>
              <w:rPr>
                <w:rFonts w:ascii="Arial" w:cs="Arial" w:eastAsia="Arial" w:hAnsi="Arial"/>
                <w:sz w:val="18"/>
                <w:szCs w:val="18"/>
                <w:color w:val="auto"/>
              </w:rPr>
              <w:t>65.0</w:t>
            </w:r>
          </w:p>
        </w:tc>
        <w:tc>
          <w:tcPr>
            <w:tcW w:w="2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Credit Market Analysis Limited impairment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Net accretion of discounts and amortization of debt financing costs</w:t>
            </w:r>
          </w:p>
        </w:tc>
        <w:tc>
          <w:tcPr>
            <w:tcW w:w="540" w:type="dxa"/>
            <w:vAlign w:val="bottom"/>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losses of unconsolidated subsidiaries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(17.8)</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assets and liabilities:</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Accounts receivable</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(65.0)</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current assets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Other assets</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(13.9)</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Income taxes payable</w:t>
            </w:r>
          </w:p>
        </w:tc>
        <w:tc>
          <w:tcPr>
            <w:tcW w:w="540" w:type="dxa"/>
            <w:vAlign w:val="bottom"/>
          </w:tcPr>
          <w:p>
            <w:pPr>
              <w:jc w:val="right"/>
              <w:spacing w:after="0"/>
              <w:rPr>
                <w:sz w:val="20"/>
                <w:szCs w:val="20"/>
                <w:color w:val="auto"/>
              </w:rPr>
            </w:pPr>
            <w:r>
              <w:rPr>
                <w:rFonts w:ascii="Arial" w:cs="Arial" w:eastAsia="Arial" w:hAnsi="Arial"/>
                <w:sz w:val="18"/>
                <w:szCs w:val="18"/>
                <w:color w:val="auto"/>
              </w:rPr>
              <w:t>15.2</w:t>
            </w:r>
          </w:p>
        </w:tc>
        <w:tc>
          <w:tcPr>
            <w:tcW w:w="2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current liabilities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2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Other liabilities</w:t>
            </w:r>
          </w:p>
        </w:tc>
        <w:tc>
          <w:tcPr>
            <w:tcW w:w="540" w:type="dxa"/>
            <w:vAlign w:val="bottom"/>
          </w:tcPr>
          <w:p>
            <w:pPr>
              <w:jc w:val="right"/>
              <w:spacing w:after="0"/>
              <w:rPr>
                <w:sz w:val="20"/>
                <w:szCs w:val="20"/>
                <w:color w:val="auto"/>
              </w:rPr>
            </w:pPr>
            <w:r>
              <w:rPr>
                <w:rFonts w:ascii="Arial" w:cs="Arial" w:eastAsia="Arial" w:hAnsi="Arial"/>
                <w:sz w:val="18"/>
                <w:szCs w:val="18"/>
                <w:color w:val="auto"/>
              </w:rPr>
              <w:t>7.2</w:t>
            </w:r>
          </w:p>
        </w:tc>
        <w:tc>
          <w:tcPr>
            <w:tcW w:w="2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2"/>
        </w:trPr>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Proceeds from maturities of available-for-sale marketable securities</w:t>
            </w:r>
          </w:p>
        </w:tc>
        <w:tc>
          <w:tcPr>
            <w:tcW w:w="540" w:type="dxa"/>
            <w:vAlign w:val="bottom"/>
          </w:tcPr>
          <w:p>
            <w:pPr>
              <w:jc w:val="right"/>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368.7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Purchases of available-for-sale marketable securities</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Net change in NYMEX securities lending program investments</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425.9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net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(53.8)</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Cash acquired from Index Services</w:t>
            </w:r>
          </w:p>
        </w:tc>
        <w:tc>
          <w:tcPr>
            <w:tcW w:w="540" w:type="dxa"/>
            <w:vAlign w:val="bottom"/>
          </w:tcPr>
          <w:p>
            <w:pPr>
              <w:jc w:val="right"/>
              <w:spacing w:after="0"/>
              <w:rPr>
                <w:sz w:val="20"/>
                <w:szCs w:val="20"/>
                <w:color w:val="auto"/>
              </w:rPr>
            </w:pPr>
            <w:r>
              <w:rPr>
                <w:rFonts w:ascii="Arial" w:cs="Arial" w:eastAsia="Arial" w:hAnsi="Arial"/>
                <w:sz w:val="18"/>
                <w:szCs w:val="18"/>
                <w:color w:val="auto"/>
              </w:rPr>
              <w:t>5.4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Chicago Board Options Exchange exercise right privileges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Capital contributions to FXMarketSpace Limited</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7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557.9</w:t>
            </w:r>
          </w:p>
        </w:tc>
        <w:tc>
          <w:tcPr>
            <w:tcW w:w="0" w:type="dxa"/>
            <w:vAlign w:val="bottom"/>
          </w:tcPr>
          <w:p>
            <w:pPr>
              <w:spacing w:after="0"/>
              <w:rPr>
                <w:sz w:val="1"/>
                <w:szCs w:val="1"/>
                <w:color w:val="auto"/>
              </w:rPr>
            </w:pPr>
          </w:p>
        </w:tc>
      </w:tr>
      <w:tr>
        <w:trPr>
          <w:trHeight w:val="329"/>
        </w:trPr>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Proceeds (repayments) of commercial paper, net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(99.9)</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Proceeds from other borrowings, net of issuance costs</w:t>
            </w:r>
          </w:p>
        </w:tc>
        <w:tc>
          <w:tcPr>
            <w:tcW w:w="540" w:type="dxa"/>
            <w:vAlign w:val="bottom"/>
          </w:tcPr>
          <w:p>
            <w:pPr>
              <w:jc w:val="right"/>
              <w:spacing w:after="0"/>
              <w:rPr>
                <w:sz w:val="20"/>
                <w:szCs w:val="20"/>
                <w:color w:val="auto"/>
              </w:rPr>
            </w:pPr>
            <w:r>
              <w:rPr>
                <w:rFonts w:ascii="Arial" w:cs="Arial" w:eastAsia="Arial" w:hAnsi="Arial"/>
                <w:sz w:val="18"/>
                <w:szCs w:val="18"/>
                <w:color w:val="auto"/>
              </w:rPr>
              <w:t>608.0</w:t>
            </w:r>
          </w:p>
        </w:tc>
        <w:tc>
          <w:tcPr>
            <w:tcW w:w="2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743.8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NYMEX securities lending program liabilities</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Cash dividends</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(151.5)</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(152.6)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Class A common stock, including costs</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(296.2)</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540" w:type="dxa"/>
            <w:vAlign w:val="bottom"/>
          </w:tcPr>
          <w:p>
            <w:pPr>
              <w:jc w:val="right"/>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Distribution paid to non-controlling interest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(607.5)</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Excess tax benefits related to employee option exercises and restricted stock vesting</w:t>
            </w:r>
          </w:p>
        </w:tc>
        <w:tc>
          <w:tcPr>
            <w:tcW w:w="540" w:type="dxa"/>
            <w:vAlign w:val="bottom"/>
          </w:tcPr>
          <w:p>
            <w:pPr>
              <w:jc w:val="right"/>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Employee Stock Purchase Plan</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(538.4)</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(845.5)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CONSOLIDATED STATEMENTS OF CASH FLOWS </w:t>
      </w:r>
      <w:r>
        <w:rPr>
          <w:rFonts w:ascii="Arial" w:cs="Arial" w:eastAsia="Arial" w:hAnsi="Arial"/>
          <w:sz w:val="18"/>
          <w:szCs w:val="18"/>
          <w:color w:val="auto"/>
        </w:rPr>
        <w:t>(continued)</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4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4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7"/>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38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$103.0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30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260.6</w:t>
            </w:r>
          </w:p>
        </w:tc>
        <w:tc>
          <w:tcPr>
            <w:tcW w:w="3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38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363.6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448.7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0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7000" w:type="dxa"/>
            <w:vAlign w:val="bottom"/>
            <w:gridSpan w:val="2"/>
            <w:vMerge w:val="continue"/>
          </w:tcPr>
          <w:p>
            <w:pPr>
              <w:spacing w:after="0"/>
              <w:rPr>
                <w:sz w:val="24"/>
                <w:szCs w:val="24"/>
                <w:color w:val="auto"/>
              </w:rPr>
            </w:pPr>
          </w:p>
        </w:tc>
        <w:tc>
          <w:tcPr>
            <w:tcW w:w="3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w:t>
            </w:r>
          </w:p>
        </w:tc>
        <w:tc>
          <w:tcPr>
            <w:tcW w:w="38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$351.9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Interest paid (excluding securities lending program)</w:t>
            </w:r>
          </w:p>
        </w:tc>
        <w:tc>
          <w:tcPr>
            <w:tcW w:w="3820" w:type="dxa"/>
            <w:vAlign w:val="bottom"/>
            <w:gridSpan w:val="3"/>
          </w:tcPr>
          <w:p>
            <w:pPr>
              <w:jc w:val="right"/>
              <w:ind w:right="300"/>
              <w:spacing w:after="0"/>
              <w:rPr>
                <w:sz w:val="20"/>
                <w:szCs w:val="20"/>
                <w:color w:val="auto"/>
              </w:rPr>
            </w:pPr>
            <w:r>
              <w:rPr>
                <w:rFonts w:ascii="Arial" w:cs="Arial" w:eastAsia="Arial" w:hAnsi="Arial"/>
                <w:sz w:val="18"/>
                <w:szCs w:val="18"/>
                <w:color w:val="auto"/>
              </w:rPr>
              <w:t>46.1</w:t>
            </w:r>
          </w:p>
        </w:tc>
        <w:tc>
          <w:tcPr>
            <w:tcW w:w="500" w:type="dxa"/>
            <w:vAlign w:val="bottom"/>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activities:</w:t>
            </w:r>
          </w:p>
        </w:tc>
        <w:tc>
          <w:tcPr>
            <w:tcW w:w="3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420"/>
              <w:spacing w:after="0"/>
              <w:rPr>
                <w:sz w:val="20"/>
                <w:szCs w:val="20"/>
                <w:color w:val="auto"/>
              </w:rPr>
            </w:pPr>
            <w:r>
              <w:rPr>
                <w:rFonts w:ascii="Arial" w:cs="Arial" w:eastAsia="Arial" w:hAnsi="Arial"/>
                <w:sz w:val="18"/>
                <w:szCs w:val="18"/>
                <w:color w:val="auto"/>
              </w:rPr>
              <w:t>Change in net unrealized securities gains (losses)</w:t>
            </w:r>
          </w:p>
        </w:tc>
        <w:tc>
          <w:tcPr>
            <w:tcW w:w="3820" w:type="dxa"/>
            <w:vAlign w:val="bottom"/>
            <w:gridSpan w:val="3"/>
          </w:tcPr>
          <w:p>
            <w:pPr>
              <w:jc w:val="right"/>
              <w:ind w:right="300"/>
              <w:spacing w:after="0"/>
              <w:rPr>
                <w:sz w:val="20"/>
                <w:szCs w:val="20"/>
                <w:color w:val="auto"/>
              </w:rPr>
            </w:pPr>
            <w:r>
              <w:rPr>
                <w:rFonts w:ascii="Arial" w:cs="Arial" w:eastAsia="Arial" w:hAnsi="Arial"/>
                <w:sz w:val="18"/>
                <w:szCs w:val="18"/>
                <w:color w:val="auto"/>
              </w:rPr>
              <w:t>15.1</w:t>
            </w:r>
          </w:p>
        </w:tc>
        <w:tc>
          <w:tcPr>
            <w:tcW w:w="50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net unrealized derivatives gains (losses)</w:t>
            </w:r>
          </w:p>
        </w:tc>
        <w:tc>
          <w:tcPr>
            <w:tcW w:w="38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CME GROUP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9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consolidated financial statements consist of CME Group Inc. (CME Group) and its subsidiaries (collectively, the company), including Chicago Mercantile Exchange Inc. (CME), the Board of Trade of the City of Chicago, Inc. (CBOT), New York Mercantile Exchange, Inc. (NYMEX) and their respective subsidiaries (collectively, the exchange). On March 18, 2010, CBOT acquired a 90% ownership interest in CME Group Index Services LLC (Index Services), a joint venture with Dow Jones &amp; Company (Dow Jones). The financial statements and accompanying notes presented in this report include the financial results of Index Services beginning on March 19, 2010.</w:t>
      </w:r>
    </w:p>
    <w:p>
      <w:pPr>
        <w:spacing w:after="0" w:line="14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accompanying interim consolidated financial statements have been prepared by CME Group without audit. Certain notes and other information normally included in financial statements prepared in accordance with accounting principles generally accepted in the United States have been condensed or omitted. In the opinion of management, the accompanying consolidated financial statements include all normal recurring adjustments considered necessary to present fairly the financial position of the company at June 30, 2010 and December 31, 2009 and the results of operations and cash flows for the periods indicated. Quarterly results are not necessarily indicative of results for any subsequent period.</w:t>
      </w:r>
    </w:p>
    <w:p>
      <w:pPr>
        <w:spacing w:after="0" w:line="116"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The accompanying consolidated financial statements should be read in conjunction with the consolidated financial statements and notes thereto in CME Group’s Annual Report on Form 10-K for the year ended December 31, 2009, filed with the Securities and Exchange Commission (SEC) on February 26, 2010. Certain reclassifications have been made to the 2009 financial statements to conform to the presentation in 2010.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Business Combinations</w:t>
      </w:r>
    </w:p>
    <w:p>
      <w:pPr>
        <w:spacing w:after="0" w:line="9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On March 18, 2010, CBOT and Dow Jones entered into an agreement to form Index Services. Index Services was formed through the contribution of CBOT’s market data business and Dow Jones’ index business. Based on the preliminary fair value of assets contributed, the company has allocated $436.5 million to goodwill and $376.4 million to identifiable intangible assets. Intangible assets consist primarily of $232.8 million of customer relationships and $126.6 million of trade names.</w:t>
      </w:r>
    </w:p>
    <w:p>
      <w:pPr>
        <w:spacing w:after="0" w:line="14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conjunction with its formation, Index Services issued $612.5 million of 4.40% fixed rate notes due 2018, which are guaranteed by CME Group, in an unregistered offering. Proceeds of $607.5 million were distributed to Dow Jones thereby reducing its interest in Index Services to 10%. Dow Jones retains the right to redeem its remaining interest at fair value on or after March 18, 2016. In addition, CBOT retains a right to call Dow Jones’ remaining interest at fair value on or after March 18, 2017. In accordance with current accounting guidance, Dow Jones’ interest has been classified as a redeemable non-controlling interest in the company’s consolidated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changes in redeemable non-controlling interest during the first six months of 2010: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20" w:type="dxa"/>
            <w:vAlign w:val="bottom"/>
            <w:gridSpan w:val="3"/>
          </w:tcPr>
          <w:p>
            <w:pPr>
              <w:ind w:left="20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vMerge w:val="restart"/>
          </w:tcPr>
          <w:p>
            <w:pPr>
              <w:spacing w:after="0" w:line="20" w:lineRule="exact"/>
              <w:rPr>
                <w:sz w:val="1"/>
                <w:szCs w:val="1"/>
                <w:color w:val="auto"/>
              </w:rPr>
            </w:pPr>
          </w:p>
        </w:tc>
        <w:tc>
          <w:tcPr>
            <w:tcW w:w="7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2009</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Contribution by Dow Jones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675.0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 to Dow Jones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(607.5)</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Total comprehensive income attributable to redeemable non-controlling interest</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June 30, 2010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2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gridSpan w:val="5"/>
            <w:vMerge w:val="restart"/>
          </w:tcPr>
          <w:p>
            <w:pPr>
              <w:jc w:val="right"/>
              <w:ind w:right="460"/>
              <w:spacing w:after="0"/>
              <w:rPr>
                <w:sz w:val="20"/>
                <w:szCs w:val="20"/>
                <w:color w:val="auto"/>
              </w:rPr>
            </w:pPr>
            <w:r>
              <w:rPr>
                <w:rFonts w:ascii="Arial" w:cs="Arial" w:eastAsia="Arial" w:hAnsi="Arial"/>
                <w:sz w:val="18"/>
                <w:szCs w:val="18"/>
                <w:color w:val="auto"/>
                <w:w w:val="89"/>
              </w:rPr>
              <w:t>The following summarizes total comprehensive income attributable to redeemable non-controlling interest:</w:t>
            </w: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8000" w:type="dxa"/>
            <w:vAlign w:val="bottom"/>
            <w:gridSpan w:val="5"/>
            <w:vMerge w:val="continue"/>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ind w:right="80"/>
              <w:spacing w:after="0"/>
              <w:rPr>
                <w:sz w:val="20"/>
                <w:szCs w:val="20"/>
                <w:color w:val="auto"/>
              </w:rPr>
            </w:pPr>
            <w:r>
              <w:rPr>
                <w:rFonts w:ascii="Arial" w:cs="Arial" w:eastAsia="Arial" w:hAnsi="Arial"/>
                <w:sz w:val="14"/>
                <w:szCs w:val="14"/>
                <w:b w:val="1"/>
                <w:bCs w:val="1"/>
                <w:color w:val="auto"/>
                <w:w w:val="94"/>
              </w:rPr>
              <w:t>Quarter</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3"/>
          </w:tcPr>
          <w:p>
            <w:pPr>
              <w:ind w:left="6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120"/>
              <w:spacing w:after="0" w:line="149" w:lineRule="exact"/>
              <w:rPr>
                <w:sz w:val="20"/>
                <w:szCs w:val="20"/>
                <w:color w:val="auto"/>
              </w:rPr>
            </w:pPr>
            <w:r>
              <w:rPr>
                <w:rFonts w:ascii="Arial" w:cs="Arial" w:eastAsia="Arial" w:hAnsi="Arial"/>
                <w:sz w:val="14"/>
                <w:szCs w:val="14"/>
                <w:b w:val="1"/>
                <w:bCs w:val="1"/>
                <w:color w:val="auto"/>
              </w:rPr>
              <w:t>Ended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8"/>
              </w:rPr>
              <w:t>Ended</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(in millions)</w:t>
            </w:r>
          </w:p>
        </w:tc>
        <w:tc>
          <w:tcPr>
            <w:tcW w:w="6820" w:type="dxa"/>
            <w:vAlign w:val="bottom"/>
            <w:gridSpan w:val="3"/>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3"/>
              </w:rPr>
              <w:t>June 30, 2010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June 30, 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 for the period</w:t>
            </w:r>
          </w:p>
        </w:tc>
        <w:tc>
          <w:tcPr>
            <w:tcW w:w="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540" w:type="dxa"/>
            <w:vAlign w:val="bottom"/>
            <w:gridSpan w:val="4"/>
          </w:tcPr>
          <w:p>
            <w:pPr>
              <w:spacing w:after="0"/>
              <w:rPr>
                <w:sz w:val="20"/>
                <w:szCs w:val="20"/>
                <w:color w:val="auto"/>
              </w:rPr>
            </w:pPr>
            <w:r>
              <w:rPr>
                <w:rFonts w:ascii="Arial" w:cs="Arial" w:eastAsia="Arial" w:hAnsi="Arial"/>
                <w:sz w:val="18"/>
                <w:szCs w:val="18"/>
                <w:color w:val="auto"/>
              </w:rPr>
              <w:t>Net unrealized loss on derivative related to 4.40% fixed rate notes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7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comprehensive income attributable to redeemable non-controlling interest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8000" w:type="dxa"/>
            <w:vAlign w:val="bottom"/>
            <w:gridSpan w:val="5"/>
            <w:vMerge w:val="restart"/>
          </w:tcPr>
          <w:p>
            <w:pPr>
              <w:jc w:val="right"/>
              <w:ind w:right="2200"/>
              <w:spacing w:after="0"/>
              <w:rPr>
                <w:sz w:val="20"/>
                <w:szCs w:val="20"/>
                <w:color w:val="auto"/>
              </w:rPr>
            </w:pPr>
            <w:r>
              <w:rPr>
                <w:rFonts w:ascii="Arial" w:cs="Arial" w:eastAsia="Arial" w:hAnsi="Arial"/>
                <w:sz w:val="18"/>
                <w:szCs w:val="18"/>
                <w:color w:val="auto"/>
              </w:rPr>
              <w:t>12</w:t>
            </w: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000" w:type="dxa"/>
            <w:vAlign w:val="bottom"/>
            <w:gridSpan w:val="5"/>
            <w:vMerge w:val="continue"/>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Intangible Assets and Goodwill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 at June 30, 2010 and December 31, 2009: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w w:val="87"/>
              </w:rPr>
              <w:t>June 30, 2010</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0"/>
              </w:rPr>
              <w:t>December 31, 2009</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4"/>
              </w:rPr>
              <w:t>Net Book</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1"/>
                <w:szCs w:val="11"/>
                <w:color w:val="auto"/>
              </w:rPr>
            </w:pPr>
          </w:p>
        </w:tc>
        <w:tc>
          <w:tcPr>
            <w:tcW w:w="640" w:type="dxa"/>
            <w:vAlign w:val="bottom"/>
          </w:tcPr>
          <w:p>
            <w:pPr>
              <w:jc w:val="right"/>
              <w:ind w:right="15"/>
              <w:spacing w:after="0" w:line="129" w:lineRule="exact"/>
              <w:rPr>
                <w:sz w:val="20"/>
                <w:szCs w:val="20"/>
                <w:color w:val="auto"/>
              </w:rPr>
            </w:pPr>
            <w:r>
              <w:rPr>
                <w:rFonts w:ascii="Arial" w:cs="Arial" w:eastAsia="Arial" w:hAnsi="Arial"/>
                <w:sz w:val="14"/>
                <w:szCs w:val="14"/>
                <w:b w:val="1"/>
                <w:bCs w:val="1"/>
                <w:color w:val="auto"/>
                <w:w w:val="84"/>
              </w:rPr>
              <w:t>Net Book</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52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94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Value</w:t>
            </w: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4"/>
                <w:szCs w:val="14"/>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Amortizable Intangible Assets: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Clearing firm, market data and other customer relationships</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$3,075.3</w:t>
            </w:r>
          </w:p>
        </w:tc>
        <w:tc>
          <w:tcPr>
            <w:tcW w:w="180" w:type="dxa"/>
            <w:vAlign w:val="bottom"/>
          </w:tcPr>
          <w:p>
            <w:pPr>
              <w:spacing w:after="0"/>
              <w:rPr>
                <w:sz w:val="18"/>
                <w:szCs w:val="18"/>
                <w:color w:val="auto"/>
              </w:rPr>
            </w:pP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(238.2)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2,837.1</w:t>
            </w: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$2,842.5</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(186.8)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2,655.7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Lease-related intangibles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55.6</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(21.7)</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Dow Jones trading products (a)</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74.0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(16.6)</w:t>
            </w: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Technology-related intellectual property</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Open interest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12.3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(12.3)</w:t>
            </w: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(b)</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3,212.3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(289.7)</w:t>
            </w:r>
          </w:p>
        </w:tc>
        <w:tc>
          <w:tcPr>
            <w:tcW w:w="10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2,922.6</w:t>
            </w:r>
          </w:p>
        </w:tc>
        <w:tc>
          <w:tcPr>
            <w:tcW w:w="3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3,053.7</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(256.2)</w:t>
            </w:r>
          </w:p>
        </w:tc>
        <w:tc>
          <w:tcPr>
            <w:tcW w:w="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2,797.5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00" w:type="dxa"/>
            <w:vAlign w:val="bottom"/>
          </w:tcPr>
          <w:p>
            <w:pPr>
              <w:spacing w:after="0"/>
              <w:rPr>
                <w:sz w:val="9"/>
                <w:szCs w:val="9"/>
                <w:color w:val="auto"/>
              </w:rPr>
            </w:pPr>
          </w:p>
        </w:tc>
        <w:tc>
          <w:tcPr>
            <w:tcW w:w="48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(5.6)</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5"/>
        </w:trPr>
        <w:tc>
          <w:tcPr>
            <w:tcW w:w="5520" w:type="dxa"/>
            <w:vAlign w:val="bottom"/>
            <w:gridSpan w:val="3"/>
          </w:tcPr>
          <w:p>
            <w:pPr>
              <w:spacing w:after="0"/>
              <w:rPr>
                <w:sz w:val="20"/>
                <w:szCs w:val="20"/>
                <w:color w:val="auto"/>
              </w:rPr>
            </w:pPr>
            <w:r>
              <w:rPr>
                <w:rFonts w:ascii="Arial" w:cs="Arial" w:eastAsia="Arial" w:hAnsi="Arial"/>
                <w:sz w:val="18"/>
                <w:szCs w:val="18"/>
                <w:color w:val="auto"/>
              </w:rPr>
              <w:t>Total Amortizable Intangible Assets</w:t>
            </w:r>
          </w:p>
        </w:tc>
        <w:tc>
          <w:tcPr>
            <w:tcW w:w="6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Borders>
              <w:top w:val="single" w:sz="8" w:color="auto"/>
            </w:tcBorders>
          </w:tcPr>
          <w:p>
            <w:pPr>
              <w:jc w:val="right"/>
              <w:ind w:right="455"/>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3,202.8</w:t>
            </w:r>
          </w:p>
        </w:tc>
        <w:tc>
          <w:tcPr>
            <w:tcW w:w="180" w:type="dxa"/>
            <w:vAlign w:val="bottom"/>
          </w:tcPr>
          <w:p>
            <w:pPr>
              <w:spacing w:after="0"/>
              <w:rPr>
                <w:sz w:val="19"/>
                <w:szCs w:val="19"/>
                <w:color w:val="auto"/>
              </w:rPr>
            </w:pP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(285.8)</w:t>
            </w:r>
          </w:p>
        </w:tc>
        <w:tc>
          <w:tcPr>
            <w:tcW w:w="10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2,917.0</w:t>
            </w:r>
          </w:p>
        </w:tc>
        <w:tc>
          <w:tcPr>
            <w:tcW w:w="3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3,045.9</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(253.7)</w:t>
            </w:r>
          </w:p>
        </w:tc>
        <w:tc>
          <w:tcPr>
            <w:tcW w:w="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2,792.2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Indefinite-Lived Intangible Assets: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Trade names (c)</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582.9</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(d)</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Foreign currency translation adjustments</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ind w:right="260"/>
              <w:spacing w:after="0"/>
              <w:rPr>
                <w:sz w:val="20"/>
                <w:szCs w:val="20"/>
                <w:color w:val="auto"/>
              </w:rPr>
            </w:pPr>
            <w:r>
              <w:rPr>
                <w:rFonts w:ascii="Arial" w:cs="Arial" w:eastAsia="Arial" w:hAnsi="Arial"/>
                <w:sz w:val="18"/>
                <w:szCs w:val="18"/>
                <w:color w:val="auto"/>
              </w:rPr>
              <w:t>(0.5)</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intangible assets – other, net</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3,502.0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520" w:type="dxa"/>
            <w:vAlign w:val="bottom"/>
            <w:gridSpan w:val="3"/>
          </w:tcPr>
          <w:p>
            <w:pPr>
              <w:spacing w:after="0"/>
              <w:rPr>
                <w:sz w:val="20"/>
                <w:szCs w:val="20"/>
                <w:color w:val="auto"/>
              </w:rPr>
            </w:pPr>
            <w:r>
              <w:rPr>
                <w:rFonts w:ascii="Arial" w:cs="Arial" w:eastAsia="Arial" w:hAnsi="Arial"/>
                <w:sz w:val="18"/>
                <w:szCs w:val="18"/>
                <w:color w:val="auto"/>
              </w:rPr>
              <w:t>Indefinite-lived trading products (a)</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85"/>
              </w:rPr>
              <w:t>17,038.0</w:t>
            </w: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16,982.0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900" w:right="720" w:hanging="446"/>
        <w:spacing w:after="0" w:line="25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connection with CBOT’s acquisition of 90% ownership in Index Services, the company now considers Dow Jones trading products to be indefinite-lived.</w:t>
      </w:r>
    </w:p>
    <w:p>
      <w:pPr>
        <w:ind w:left="900" w:hanging="446"/>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At June 30, 2010 and December 31, 2009, other amortizable intangible assets consisted of non-compete, service and market maker agreements.</w:t>
      </w:r>
    </w:p>
    <w:p>
      <w:pPr>
        <w:spacing w:after="0" w:line="32" w:lineRule="exact"/>
        <w:rPr>
          <w:rFonts w:ascii="Arial" w:cs="Arial" w:eastAsia="Arial" w:hAnsi="Arial"/>
          <w:sz w:val="16"/>
          <w:szCs w:val="16"/>
          <w:color w:val="auto"/>
        </w:rPr>
      </w:pPr>
    </w:p>
    <w:p>
      <w:pPr>
        <w:ind w:left="900" w:right="260" w:hanging="446"/>
        <w:spacing w:after="0" w:line="250"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second quarter of 2010, the company recorded a $0.7 million impairment charge to Credit Market Analysis Limited (CMA) trade name as a result of its annual impairment testing.</w:t>
      </w: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 June 30, 2010 and December 31, 2009, other indefinite-lived intangible assets consisted of products in development.</w:t>
      </w:r>
    </w:p>
    <w:p>
      <w:pPr>
        <w:spacing w:after="0" w:line="16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Total amortization expense for intangible assets was $32.3 million and $30.5 million for the quarters ended June 30, 2010 and 2009, respectively. Total amortization expense for intangible assets was $63.1 million and $63.8 million for the first six months of 2010 and 2009, respectively. As of June 30, 2010, the future estimated amortization expense related to amortizable intangible assets is expected to be:</w:t>
      </w:r>
    </w:p>
    <w:p>
      <w:pPr>
        <w:spacing w:after="0" w:line="17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56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5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2010</w:t>
            </w:r>
          </w:p>
        </w:tc>
        <w:tc>
          <w:tcPr>
            <w:tcW w:w="5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2011</w:t>
            </w:r>
          </w:p>
        </w:tc>
        <w:tc>
          <w:tcPr>
            <w:tcW w:w="1840" w:type="dxa"/>
            <w:vAlign w:val="bottom"/>
          </w:tcPr>
          <w:p>
            <w:pPr>
              <w:spacing w:after="0"/>
              <w:rPr>
                <w:sz w:val="18"/>
                <w:szCs w:val="18"/>
                <w:color w:val="auto"/>
              </w:rPr>
            </w:pPr>
          </w:p>
        </w:tc>
        <w:tc>
          <w:tcPr>
            <w:tcW w:w="5200" w:type="dxa"/>
            <w:vAlign w:val="bottom"/>
          </w:tcPr>
          <w:p>
            <w:pPr>
              <w:jc w:val="right"/>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840" w:type="dxa"/>
            <w:vAlign w:val="bottom"/>
            <w:shd w:val="clear" w:color="auto" w:fill="CCEEFF"/>
          </w:tcPr>
          <w:p>
            <w:pPr>
              <w:spacing w:after="0"/>
              <w:rPr>
                <w:sz w:val="18"/>
                <w:szCs w:val="18"/>
                <w:color w:val="auto"/>
              </w:rPr>
            </w:pPr>
          </w:p>
        </w:tc>
        <w:tc>
          <w:tcPr>
            <w:tcW w:w="5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2013</w:t>
            </w:r>
          </w:p>
        </w:tc>
        <w:tc>
          <w:tcPr>
            <w:tcW w:w="1840" w:type="dxa"/>
            <w:vAlign w:val="bottom"/>
          </w:tcPr>
          <w:p>
            <w:pPr>
              <w:spacing w:after="0"/>
              <w:rPr>
                <w:sz w:val="18"/>
                <w:szCs w:val="18"/>
                <w:color w:val="auto"/>
              </w:rPr>
            </w:pPr>
          </w:p>
        </w:tc>
        <w:tc>
          <w:tcPr>
            <w:tcW w:w="5200" w:type="dxa"/>
            <w:vAlign w:val="bottom"/>
          </w:tcPr>
          <w:p>
            <w:pPr>
              <w:jc w:val="right"/>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840" w:type="dxa"/>
            <w:vAlign w:val="bottom"/>
            <w:shd w:val="clear" w:color="auto" w:fill="CCEEFF"/>
          </w:tcPr>
          <w:p>
            <w:pPr>
              <w:spacing w:after="0"/>
              <w:rPr>
                <w:sz w:val="18"/>
                <w:szCs w:val="18"/>
                <w:color w:val="auto"/>
              </w:rPr>
            </w:pPr>
          </w:p>
        </w:tc>
        <w:tc>
          <w:tcPr>
            <w:tcW w:w="5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2015</w:t>
            </w:r>
          </w:p>
        </w:tc>
        <w:tc>
          <w:tcPr>
            <w:tcW w:w="1840" w:type="dxa"/>
            <w:vAlign w:val="bottom"/>
          </w:tcPr>
          <w:p>
            <w:pPr>
              <w:spacing w:after="0"/>
              <w:rPr>
                <w:sz w:val="18"/>
                <w:szCs w:val="18"/>
                <w:color w:val="auto"/>
              </w:rPr>
            </w:pPr>
          </w:p>
        </w:tc>
        <w:tc>
          <w:tcPr>
            <w:tcW w:w="5200" w:type="dxa"/>
            <w:vAlign w:val="bottom"/>
          </w:tcPr>
          <w:p>
            <w:pPr>
              <w:jc w:val="right"/>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5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2,254.1</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200" w:type="dxa"/>
            <w:vAlign w:val="bottom"/>
          </w:tcPr>
          <w:p>
            <w:pPr>
              <w:jc w:val="right"/>
              <w:ind w:right="371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Goodwill activity consisted of the following for the six months ended June 30, 2010 and the year ended December 31, 2009: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8"/>
              </w:rPr>
              <w:t>Balance at</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December 31,</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Business</w:t>
            </w:r>
          </w:p>
        </w:tc>
        <w:tc>
          <w:tcPr>
            <w:tcW w:w="240" w:type="dxa"/>
            <w:vAlign w:val="bottom"/>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Impairment</w:t>
            </w:r>
          </w:p>
        </w:tc>
        <w:tc>
          <w:tcPr>
            <w:tcW w:w="120" w:type="dxa"/>
            <w:vAlign w:val="bottom"/>
          </w:tcPr>
          <w:p>
            <w:pPr>
              <w:spacing w:after="0"/>
              <w:rPr>
                <w:sz w:val="12"/>
                <w:szCs w:val="12"/>
                <w:color w:val="auto"/>
              </w:rPr>
            </w:pPr>
          </w:p>
        </w:tc>
        <w:tc>
          <w:tcPr>
            <w:tcW w:w="110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61"/>
        </w:trPr>
        <w:tc>
          <w:tcPr>
            <w:tcW w:w="562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3"/>
              </w:rPr>
              <w:t>2009</w:t>
            </w:r>
          </w:p>
        </w:tc>
        <w:tc>
          <w:tcPr>
            <w:tcW w:w="48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Combination</w:t>
            </w:r>
          </w:p>
        </w:tc>
        <w:tc>
          <w:tcPr>
            <w:tcW w:w="240" w:type="dxa"/>
            <w:vAlign w:val="bottom"/>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Activity (e)</w:t>
            </w:r>
          </w:p>
        </w:tc>
        <w:tc>
          <w:tcPr>
            <w:tcW w:w="100" w:type="dxa"/>
            <w:vAlign w:val="bottom"/>
          </w:tcPr>
          <w:p>
            <w:pPr>
              <w:spacing w:after="0"/>
              <w:rPr>
                <w:sz w:val="14"/>
                <w:szCs w:val="14"/>
                <w:color w:val="auto"/>
              </w:rPr>
            </w:pPr>
          </w:p>
        </w:tc>
        <w:tc>
          <w:tcPr>
            <w:tcW w:w="700" w:type="dxa"/>
            <w:vAlign w:val="bottom"/>
          </w:tcPr>
          <w:p>
            <w:pPr>
              <w:jc w:val="center"/>
              <w:ind w:right="19"/>
              <w:spacing w:after="0"/>
              <w:rPr>
                <w:sz w:val="20"/>
                <w:szCs w:val="20"/>
                <w:color w:val="auto"/>
              </w:rPr>
            </w:pPr>
            <w:r>
              <w:rPr>
                <w:rFonts w:ascii="Arial" w:cs="Arial" w:eastAsia="Arial" w:hAnsi="Arial"/>
                <w:sz w:val="14"/>
                <w:szCs w:val="14"/>
                <w:b w:val="1"/>
                <w:bCs w:val="1"/>
                <w:color w:val="auto"/>
                <w:w w:val="89"/>
              </w:rPr>
              <w:t>2010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CBOT Holdings, Inc.</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5,035.7</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NYMEX Holdings, Inc.</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2,463.1</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center"/>
              <w:ind w:right="4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2,462.3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89"/>
              </w:rPr>
              <w:t>(19.8)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Index Services</w:t>
            </w: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center"/>
              <w:ind w:left="176"/>
              <w:spacing w:after="0"/>
              <w:rPr>
                <w:sz w:val="20"/>
                <w:szCs w:val="20"/>
                <w:color w:val="auto"/>
              </w:rPr>
            </w:pPr>
            <w:r>
              <w:rPr>
                <w:rFonts w:ascii="Arial" w:cs="Arial" w:eastAsia="Arial" w:hAnsi="Arial"/>
                <w:sz w:val="18"/>
                <w:szCs w:val="18"/>
                <w:color w:val="auto"/>
                <w:w w:val="88"/>
              </w:rPr>
              <w:t>436.5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center"/>
              <w:ind w:left="52"/>
              <w:spacing w:after="0"/>
              <w:rPr>
                <w:sz w:val="20"/>
                <w:szCs w:val="20"/>
                <w:color w:val="auto"/>
              </w:rPr>
            </w:pPr>
            <w:r>
              <w:rPr>
                <w:rFonts w:ascii="Arial" w:cs="Arial" w:eastAsia="Arial" w:hAnsi="Arial"/>
                <w:sz w:val="18"/>
                <w:szCs w:val="18"/>
                <w:color w:val="auto"/>
                <w:w w:val="99"/>
              </w:rPr>
              <w:t>—</w:t>
            </w:r>
          </w:p>
        </w:tc>
        <w:tc>
          <w:tcPr>
            <w:tcW w:w="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Goodwill</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7,549.2</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center"/>
              <w:ind w:left="176"/>
              <w:spacing w:after="0"/>
              <w:rPr>
                <w:sz w:val="20"/>
                <w:szCs w:val="20"/>
                <w:color w:val="auto"/>
              </w:rPr>
            </w:pPr>
            <w:r>
              <w:rPr>
                <w:rFonts w:ascii="Arial" w:cs="Arial" w:eastAsia="Arial" w:hAnsi="Arial"/>
                <w:sz w:val="18"/>
                <w:szCs w:val="18"/>
                <w:color w:val="auto"/>
                <w:w w:val="88"/>
              </w:rPr>
              <w:t>436.5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89"/>
              </w:rPr>
              <w:t>(19.8)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8"/>
              </w:rPr>
              <w:t>Balance at</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December 31,</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Business</w:t>
            </w:r>
          </w:p>
        </w:tc>
        <w:tc>
          <w:tcPr>
            <w:tcW w:w="240" w:type="dxa"/>
            <w:vAlign w:val="bottom"/>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Impairment</w:t>
            </w:r>
          </w:p>
        </w:tc>
        <w:tc>
          <w:tcPr>
            <w:tcW w:w="120" w:type="dxa"/>
            <w:vAlign w:val="bottom"/>
          </w:tcPr>
          <w:p>
            <w:pPr>
              <w:spacing w:after="0"/>
              <w:rPr>
                <w:sz w:val="12"/>
                <w:szCs w:val="12"/>
                <w:color w:val="auto"/>
              </w:rPr>
            </w:pPr>
          </w:p>
        </w:tc>
        <w:tc>
          <w:tcPr>
            <w:tcW w:w="110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96"/>
              </w:rPr>
              <w:t>Other</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562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3"/>
              </w:rPr>
              <w:t>2008</w:t>
            </w:r>
          </w:p>
        </w:tc>
        <w:tc>
          <w:tcPr>
            <w:tcW w:w="48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Combination</w:t>
            </w:r>
          </w:p>
        </w:tc>
        <w:tc>
          <w:tcPr>
            <w:tcW w:w="240" w:type="dxa"/>
            <w:vAlign w:val="bottom"/>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Activity (e)</w:t>
            </w:r>
          </w:p>
        </w:tc>
        <w:tc>
          <w:tcPr>
            <w:tcW w:w="100" w:type="dxa"/>
            <w:vAlign w:val="bottom"/>
          </w:tcPr>
          <w:p>
            <w:pPr>
              <w:spacing w:after="0"/>
              <w:rPr>
                <w:sz w:val="14"/>
                <w:szCs w:val="14"/>
                <w:color w:val="auto"/>
              </w:rPr>
            </w:pPr>
          </w:p>
        </w:tc>
        <w:tc>
          <w:tcPr>
            <w:tcW w:w="700" w:type="dxa"/>
            <w:vAlign w:val="bottom"/>
          </w:tcPr>
          <w:p>
            <w:pPr>
              <w:jc w:val="center"/>
              <w:ind w:right="19"/>
              <w:spacing w:after="0"/>
              <w:rPr>
                <w:sz w:val="20"/>
                <w:szCs w:val="20"/>
                <w:color w:val="auto"/>
              </w:rPr>
            </w:pPr>
            <w:r>
              <w:rPr>
                <w:rFonts w:ascii="Arial" w:cs="Arial" w:eastAsia="Arial" w:hAnsi="Arial"/>
                <w:sz w:val="14"/>
                <w:szCs w:val="14"/>
                <w:b w:val="1"/>
                <w:bCs w:val="1"/>
                <w:color w:val="auto"/>
                <w:w w:val="89"/>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CBOT Holdings, Inc.</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5,036.1</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NYMEX Holdings, Inc.</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2,436.7</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center"/>
              <w:ind w:right="4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26.4</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2,463.1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w:t>
            </w: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center"/>
              <w:ind w:left="196"/>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center"/>
              <w:ind w:left="52"/>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20" w:type="dxa"/>
            <w:vAlign w:val="bottom"/>
            <w:gridSpan w:val="3"/>
          </w:tcPr>
          <w:p>
            <w:pPr>
              <w:spacing w:after="0"/>
              <w:rPr>
                <w:sz w:val="20"/>
                <w:szCs w:val="20"/>
                <w:color w:val="auto"/>
              </w:rPr>
            </w:pPr>
            <w:r>
              <w:rPr>
                <w:rFonts w:ascii="Arial" w:cs="Arial" w:eastAsia="Arial" w:hAnsi="Arial"/>
                <w:sz w:val="18"/>
                <w:szCs w:val="18"/>
                <w:color w:val="auto"/>
              </w:rPr>
              <w:t>Total Goodwill</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7,519.2</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center"/>
              <w:ind w:right="4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30.0</w:t>
            </w:r>
          </w:p>
        </w:tc>
        <w:tc>
          <w:tcPr>
            <w:tcW w:w="5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7,549.2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900" w:right="80" w:hanging="446"/>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activity consisted primarily of adjustments to restructuring costs and tax contingencies for CBOT Holdings, Inc. (CBOT Holdings) and NYMEX Holdings, Inc. (NYMEX Holdings,) the recognition of excess tax benefits upon exercise of stock options assumed for CBOT Holdings and NYMEX Holdings, and foreign currency translation adjustments for CMA.</w:t>
      </w:r>
    </w:p>
    <w:p>
      <w:pPr>
        <w:spacing w:after="0" w:line="140"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The company conducts impairment testing of goodwill and indefinite-lived intangible assets at least annually. The company is required to consider a market participant’s perspective when developing the assumptions used to estimate fair value for its impairment tests. During the second quarter of 2010, the company recorded a $19.8 million impairment charge to reduce the carrying amount of CMA goodwill to its estimated fair value.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9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On March 18, 2010, Index Services completed an offering of $612.5 million of 4.40% fixed rate notes due 2018. Proceeds of $607.5 million were distributed to Dow Jones in conjunction with its investment in Index Services.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Debt consisted of the following: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960" w:type="dxa"/>
            <w:vAlign w:val="bottom"/>
            <w:gridSpan w:val="3"/>
          </w:tcPr>
          <w:p>
            <w:pPr>
              <w:ind w:left="80"/>
              <w:spacing w:after="0"/>
              <w:rPr>
                <w:sz w:val="20"/>
                <w:szCs w:val="20"/>
                <w:color w:val="auto"/>
              </w:rPr>
            </w:pPr>
            <w:r>
              <w:rPr>
                <w:rFonts w:ascii="Arial" w:cs="Arial" w:eastAsia="Arial" w:hAnsi="Arial"/>
                <w:sz w:val="14"/>
                <w:szCs w:val="14"/>
                <w:b w:val="1"/>
                <w:bCs w:val="1"/>
                <w:color w:val="auto"/>
              </w:rPr>
              <w:t>June 30,</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966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4"/>
                <w:szCs w:val="14"/>
                <w:color w:val="auto"/>
              </w:rPr>
            </w:pPr>
          </w:p>
        </w:tc>
        <w:tc>
          <w:tcPr>
            <w:tcW w:w="520" w:type="dxa"/>
            <w:vAlign w:val="bottom"/>
          </w:tcPr>
          <w:p>
            <w:pPr>
              <w:jc w:val="right"/>
              <w:ind w:right="74"/>
              <w:spacing w:after="0"/>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40" w:type="dxa"/>
            <w:vAlign w:val="bottom"/>
            <w:gridSpan w:val="2"/>
          </w:tcPr>
          <w:p>
            <w:pPr>
              <w:spacing w:after="0"/>
              <w:rPr>
                <w:sz w:val="20"/>
                <w:szCs w:val="20"/>
                <w:color w:val="auto"/>
              </w:rPr>
            </w:pPr>
            <w:r>
              <w:rPr>
                <w:rFonts w:ascii="Arial" w:cs="Arial" w:eastAsia="Arial" w:hAnsi="Arial"/>
                <w:sz w:val="18"/>
                <w:szCs w:val="18"/>
                <w:color w:val="auto"/>
              </w:rPr>
              <w:t>$300.0 million floating rate notes due August 2010, interest equal to 3-month LIBOR plus 0.65%, reset quarterly</w:t>
            </w:r>
            <w:r>
              <w:rPr>
                <w:rFonts w:ascii="Arial" w:cs="Arial" w:eastAsia="Arial" w:hAnsi="Arial"/>
                <w:sz w:val="11"/>
                <w:szCs w:val="11"/>
                <w:color w:val="auto"/>
              </w:rPr>
              <w:t>(a)</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short-term debt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60" w:type="dxa"/>
            <w:vAlign w:val="bottom"/>
            <w:gridSpan w:val="3"/>
            <w:vMerge w:val="restart"/>
          </w:tcPr>
          <w:p>
            <w:pPr>
              <w:spacing w:after="0"/>
              <w:rPr>
                <w:sz w:val="20"/>
                <w:szCs w:val="20"/>
                <w:color w:val="auto"/>
              </w:rPr>
            </w:pPr>
            <w:r>
              <w:rPr>
                <w:rFonts w:ascii="Arial" w:cs="Arial" w:eastAsia="Arial" w:hAnsi="Arial"/>
                <w:sz w:val="18"/>
                <w:szCs w:val="18"/>
                <w:color w:val="auto"/>
              </w:rPr>
              <w:t>Long-term debt:</w:t>
            </w: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966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 loan due 2011, interest equal to 3-month LIBOR plus 1.00%, reset quarterly</w:t>
            </w:r>
            <w:r>
              <w:rPr>
                <w:rFonts w:ascii="Arial" w:cs="Arial" w:eastAsia="Arial" w:hAnsi="Arial"/>
                <w:sz w:val="11"/>
                <w:szCs w:val="11"/>
                <w:color w:val="auto"/>
              </w:rPr>
              <w:t>(b)</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tcPr>
          <w:p>
            <w:pPr>
              <w:spacing w:after="0"/>
              <w:rPr>
                <w:sz w:val="20"/>
                <w:szCs w:val="20"/>
                <w:color w:val="auto"/>
              </w:rPr>
            </w:pPr>
            <w:r>
              <w:rPr>
                <w:rFonts w:ascii="Arial" w:cs="Arial" w:eastAsia="Arial" w:hAnsi="Arial"/>
                <w:sz w:val="18"/>
                <w:szCs w:val="18"/>
                <w:color w:val="auto"/>
              </w:rPr>
              <w:t>$750.0 million fixed rate notes due August 2013, interest equal to 5.40%</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748.3</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$750.0 million fixed rate notes due February 2014, interest equal to 5.75%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746.7</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tcPr>
          <w:p>
            <w:pPr>
              <w:spacing w:after="0"/>
              <w:rPr>
                <w:sz w:val="20"/>
                <w:szCs w:val="20"/>
                <w:color w:val="auto"/>
              </w:rPr>
            </w:pPr>
            <w:r>
              <w:rPr>
                <w:rFonts w:ascii="Arial" w:cs="Arial" w:eastAsia="Arial" w:hAnsi="Arial"/>
                <w:sz w:val="18"/>
                <w:szCs w:val="18"/>
                <w:color w:val="auto"/>
              </w:rPr>
              <w:t>$612.5 million fixed rate notes due March 2018, interest equal to 4.40%</w:t>
            </w:r>
            <w:r>
              <w:rPr>
                <w:rFonts w:ascii="Arial" w:cs="Arial" w:eastAsia="Arial" w:hAnsi="Arial"/>
                <w:sz w:val="11"/>
                <w:szCs w:val="11"/>
                <w:color w:val="auto"/>
              </w:rPr>
              <w:t>(c)</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608.9</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Commercial paper </w:t>
            </w:r>
            <w:r>
              <w:rPr>
                <w:rFonts w:ascii="Arial" w:cs="Arial" w:eastAsia="Arial" w:hAnsi="Arial"/>
                <w:sz w:val="11"/>
                <w:szCs w:val="11"/>
                <w:color w:val="auto"/>
              </w:rPr>
              <w:t>(d)</w:t>
            </w: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60" w:type="dxa"/>
            <w:vAlign w:val="bottom"/>
            <w:gridSpan w:val="3"/>
          </w:tcPr>
          <w:p>
            <w:pPr>
              <w:spacing w:after="0"/>
              <w:rPr>
                <w:sz w:val="20"/>
                <w:szCs w:val="20"/>
                <w:color w:val="auto"/>
              </w:rPr>
            </w:pPr>
            <w:r>
              <w:rPr>
                <w:rFonts w:ascii="Arial" w:cs="Arial" w:eastAsia="Arial" w:hAnsi="Arial"/>
                <w:sz w:val="18"/>
                <w:szCs w:val="18"/>
                <w:color w:val="auto"/>
              </w:rPr>
              <w:t>Total long-term debt</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2,524.4</w:t>
            </w:r>
          </w:p>
        </w:tc>
        <w:tc>
          <w:tcPr>
            <w:tcW w:w="3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2,014.7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900" w:hanging="446"/>
        <w:spacing w:after="0" w:line="305" w:lineRule="auto"/>
        <w:tabs>
          <w:tab w:leader="none" w:pos="900" w:val="left"/>
        </w:tabs>
        <w:numPr>
          <w:ilvl w:val="0"/>
          <w:numId w:val="7"/>
        </w:numPr>
        <w:rPr>
          <w:rFonts w:ascii="Arial" w:cs="Arial" w:eastAsia="Arial" w:hAnsi="Arial"/>
          <w:sz w:val="15"/>
          <w:szCs w:val="15"/>
          <w:color w:val="auto"/>
        </w:rPr>
      </w:pPr>
      <w:r>
        <w:rPr>
          <w:rFonts w:ascii="Arial" w:cs="Arial" w:eastAsia="Arial" w:hAnsi="Arial"/>
          <w:sz w:val="15"/>
          <w:szCs w:val="15"/>
          <w:color w:val="auto"/>
        </w:rPr>
        <w:t>In September 2008, the company entered into an interest-rate swap agreement that modified the variable interest obligation associated with these notes so that the interest payable on the notes effectively became fixed at a rate of 3.92% beginning with the interest accrued after November 6, 2008.</w:t>
      </w:r>
    </w:p>
    <w:p>
      <w:pPr>
        <w:ind w:left="900" w:right="460" w:hanging="446"/>
        <w:spacing w:after="0" w:line="281"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September 2008, the company entered into an interest-rate swap agreement that modified the variable interest obligation associated with this facility so that the interest payable effectively became fixed at a rate of 4.72% beginning with the interest accrued after October 22, 2008.</w:t>
      </w:r>
    </w:p>
    <w:p>
      <w:pPr>
        <w:spacing w:after="0" w:line="1" w:lineRule="exact"/>
        <w:rPr>
          <w:rFonts w:ascii="Arial" w:cs="Arial" w:eastAsia="Arial" w:hAnsi="Arial"/>
          <w:sz w:val="16"/>
          <w:szCs w:val="16"/>
          <w:color w:val="auto"/>
        </w:rPr>
      </w:pPr>
    </w:p>
    <w:p>
      <w:pPr>
        <w:ind w:left="900" w:right="380" w:hanging="446"/>
        <w:spacing w:after="0" w:line="281"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February 2010, the company entered into a forward-starting interest-rate swap agreement that modified the interest obligation associated with these notes so that the interest payable on the notes effectively became fixed at a rate of 4.46% at issuance on March 18, 2010.</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December 31, 2009, this represented commercial paper backed by a three-year senior credit facility.</w:t>
      </w:r>
    </w:p>
    <w:p>
      <w:pPr>
        <w:spacing w:after="0" w:line="16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Commercial paper notes with an aggregate par value of $1.3 billion and maturities ranging from 2 to 61 days were issued during the six months ended June 30, 2010. The weighted average discount rate for commercial paper outstanding at December 31, 2009 was 0.24%. There was no commercial paper outstanding at June 30, 2010. During the first six months of 2010 and 2009, the weighted average balance, at par value, of commercial paper outstanding was $168.2 million and $807.5 million,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Long-term debt maturities, at par value, were as follows as of June 30, 2010:</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26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55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2011</w:t>
            </w:r>
          </w:p>
        </w:tc>
        <w:tc>
          <w:tcPr>
            <w:tcW w:w="1540" w:type="dxa"/>
            <w:vAlign w:val="bottom"/>
            <w:shd w:val="clear" w:color="auto" w:fill="CCEEFF"/>
          </w:tcPr>
          <w:p>
            <w:pPr>
              <w:spacing w:after="0"/>
              <w:rPr>
                <w:sz w:val="18"/>
                <w:szCs w:val="18"/>
                <w:color w:val="auto"/>
              </w:rPr>
            </w:pPr>
          </w:p>
        </w:tc>
        <w:tc>
          <w:tcPr>
            <w:tcW w:w="5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2012</w:t>
            </w:r>
          </w:p>
        </w:tc>
        <w:tc>
          <w:tcPr>
            <w:tcW w:w="1540" w:type="dxa"/>
            <w:vAlign w:val="bottom"/>
          </w:tcPr>
          <w:p>
            <w:pPr>
              <w:spacing w:after="0"/>
              <w:rPr>
                <w:sz w:val="18"/>
                <w:szCs w:val="18"/>
                <w:color w:val="auto"/>
              </w:rPr>
            </w:pPr>
          </w:p>
        </w:tc>
        <w:tc>
          <w:tcPr>
            <w:tcW w:w="55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540" w:type="dxa"/>
            <w:vAlign w:val="bottom"/>
            <w:shd w:val="clear" w:color="auto" w:fill="CCEEFF"/>
          </w:tcPr>
          <w:p>
            <w:pPr>
              <w:spacing w:after="0"/>
              <w:rPr>
                <w:sz w:val="18"/>
                <w:szCs w:val="18"/>
                <w:color w:val="auto"/>
              </w:rPr>
            </w:pPr>
          </w:p>
        </w:tc>
        <w:tc>
          <w:tcPr>
            <w:tcW w:w="5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2014</w:t>
            </w:r>
          </w:p>
        </w:tc>
        <w:tc>
          <w:tcPr>
            <w:tcW w:w="1540" w:type="dxa"/>
            <w:vAlign w:val="bottom"/>
          </w:tcPr>
          <w:p>
            <w:pPr>
              <w:spacing w:after="0"/>
              <w:rPr>
                <w:sz w:val="18"/>
                <w:szCs w:val="18"/>
                <w:color w:val="auto"/>
              </w:rPr>
            </w:pPr>
          </w:p>
        </w:tc>
        <w:tc>
          <w:tcPr>
            <w:tcW w:w="5500" w:type="dxa"/>
            <w:vAlign w:val="bottom"/>
          </w:tcPr>
          <w:p>
            <w:pPr>
              <w:jc w:val="right"/>
              <w:spacing w:after="0"/>
              <w:rPr>
                <w:sz w:val="20"/>
                <w:szCs w:val="20"/>
                <w:color w:val="auto"/>
              </w:rPr>
            </w:pPr>
            <w:r>
              <w:rPr>
                <w:rFonts w:ascii="Arial" w:cs="Arial" w:eastAsia="Arial" w:hAnsi="Arial"/>
                <w:sz w:val="18"/>
                <w:szCs w:val="18"/>
                <w:color w:val="auto"/>
              </w:rPr>
              <w:t>750.0</w:t>
            </w: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540" w:type="dxa"/>
            <w:vAlign w:val="bottom"/>
            <w:shd w:val="clear" w:color="auto" w:fill="CCEEFF"/>
          </w:tcPr>
          <w:p>
            <w:pPr>
              <w:spacing w:after="0"/>
              <w:rPr>
                <w:sz w:val="18"/>
                <w:szCs w:val="18"/>
                <w:color w:val="auto"/>
              </w:rPr>
            </w:pPr>
          </w:p>
        </w:tc>
        <w:tc>
          <w:tcPr>
            <w:tcW w:w="5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5500" w:type="dxa"/>
            <w:vAlign w:val="bottom"/>
          </w:tcPr>
          <w:p>
            <w:pPr>
              <w:jc w:val="right"/>
              <w:spacing w:after="0"/>
              <w:rPr>
                <w:sz w:val="20"/>
                <w:szCs w:val="20"/>
                <w:color w:val="auto"/>
              </w:rPr>
            </w:pPr>
            <w:r>
              <w:rPr>
                <w:rFonts w:ascii="Arial" w:cs="Arial" w:eastAsia="Arial" w:hAnsi="Arial"/>
                <w:sz w:val="18"/>
                <w:szCs w:val="18"/>
                <w:color w:val="auto"/>
              </w:rPr>
              <w:t>612.5</w:t>
            </w:r>
          </w:p>
        </w:tc>
      </w:tr>
      <w:tr>
        <w:trPr>
          <w:trHeight w:val="356"/>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500" w:type="dxa"/>
            <w:vAlign w:val="bottom"/>
          </w:tcPr>
          <w:p>
            <w:pPr>
              <w:jc w:val="right"/>
              <w:ind w:right="3712"/>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fair value of the fixed rate notes due 2013 and 2014 was estimated using quoted market prices. The fair value of the fixed rate notes due 2018 was derived using a standard valuation model with market-based observable inputs including U.S. Treasury yields and interest rate spreads. At June 30, 2010, the fair values of the fixed rate notes by maturity date were as follows.</w:t>
      </w:r>
    </w:p>
    <w:p>
      <w:pPr>
        <w:spacing w:after="0" w:line="17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34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2420" w:type="dxa"/>
            <w:vAlign w:val="bottom"/>
            <w:gridSpan w:val="3"/>
          </w:tcPr>
          <w:p>
            <w:pPr>
              <w:jc w:val="right"/>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$750.0 million fixed rate notes due August 2013</w:t>
            </w:r>
          </w:p>
        </w:tc>
        <w:tc>
          <w:tcPr>
            <w:tcW w:w="1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$750.0 million fixed rate notes due February 2014</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832.6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$612.5 million fixed rate notes due March 2018</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640.4</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Contingencies</w:t>
      </w:r>
    </w:p>
    <w:p>
      <w:pPr>
        <w:spacing w:after="0" w:line="9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i w:val="1"/>
          <w:iCs w:val="1"/>
          <w:color w:val="auto"/>
        </w:rPr>
        <w:t>Legal Matters</w:t>
      </w:r>
      <w:r>
        <w:rPr>
          <w:rFonts w:ascii="Arial" w:cs="Arial" w:eastAsia="Arial" w:hAnsi="Arial"/>
          <w:sz w:val="16"/>
          <w:szCs w:val="16"/>
          <w:color w:val="auto"/>
        </w:rPr>
        <w:t>. In October 2003, the U.S. Futures Exchange, L.L.C. (Eurex U.S.) and U.S. Exchange Holdings, Inc. filed suit against CBOT and CME in the</w:t>
      </w:r>
      <w:r>
        <w:rPr>
          <w:rFonts w:ascii="Arial" w:cs="Arial" w:eastAsia="Arial" w:hAnsi="Arial"/>
          <w:sz w:val="16"/>
          <w:szCs w:val="16"/>
          <w:i w:val="1"/>
          <w:iCs w:val="1"/>
          <w:color w:val="auto"/>
        </w:rPr>
        <w:t xml:space="preserve"> </w:t>
      </w:r>
      <w:r>
        <w:rPr>
          <w:rFonts w:ascii="Arial" w:cs="Arial" w:eastAsia="Arial" w:hAnsi="Arial"/>
          <w:sz w:val="16"/>
          <w:szCs w:val="16"/>
          <w:color w:val="auto"/>
        </w:rPr>
        <w:t>United States District Court for the District of Columbia. The suit alleges that CBOT and CME violated the antitrust laws and tortiously interfered with the business relationship and contract between Eurex U.S. and The Clearing Corporation. Eurex U.S. and U.S. Exchange Holdings, Inc. are seeking treble damages. In December 2003, CBOT and CME filed separate motions to dismiss or, in the event the motion to dismiss is denied, to move the venue to the United States District Court for the Northern District of Illinois. In September 2004, the judge granted CBOT’s and CME’s motion to transfer venue to the Northern District of Illinois. In light of that decision, the judge did not rule on the motions to dismiss. In March 2005, Eurex U.S. filed a second amended complaint in the United States District Court for the Northern District of Illinois. In June 2005, CME and CBOT filed a motion to dismiss the complaint which was denied in August 2005. In April 2007, CME and CBOT filed two joint motions for summary judgment. In July 2010, the judge partially granted the company’s motion for summary judgment on the predatory pricing claims, finding no factual basis for such claims. The company anticipates receiving a ruling on the remaining claims in the near future. Based on its investigation to date and advice from legal counsel, the company believes this suit is without merit and intends to defend itself vigorously against these charges.</w:t>
      </w:r>
    </w:p>
    <w:p>
      <w:pPr>
        <w:spacing w:after="0" w:line="12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 August 2008, Fifth Market filed a complaint against CME Group and CME seeking a permanent injunction against CME’s Globex system and enhanced damages for what the plaintiff alleges is willful infringement, in addition to costs, expenses and attorneys’ fees. The suit alleges that CME infringes two U.S. patents. Based on its investigation to date and advice from legal counsel, the company believes this suit is without merit and intends to defend itself vigorously against these charges.</w:t>
      </w:r>
    </w:p>
    <w:p>
      <w:pPr>
        <w:spacing w:after="0" w:line="143" w:lineRule="exact"/>
        <w:rPr>
          <w:sz w:val="20"/>
          <w:szCs w:val="20"/>
          <w:color w:val="auto"/>
        </w:rPr>
      </w:pPr>
    </w:p>
    <w:p>
      <w:pPr>
        <w:jc w:val="both"/>
        <w:ind w:right="100"/>
        <w:spacing w:after="0" w:line="284" w:lineRule="auto"/>
        <w:rPr>
          <w:sz w:val="20"/>
          <w:szCs w:val="20"/>
          <w:color w:val="auto"/>
        </w:rPr>
      </w:pPr>
      <w:r>
        <w:rPr>
          <w:rFonts w:ascii="Arial" w:cs="Arial" w:eastAsia="Arial" w:hAnsi="Arial"/>
          <w:sz w:val="16"/>
          <w:szCs w:val="16"/>
          <w:color w:val="auto"/>
        </w:rPr>
        <w:t>In June 2009, CME and CBOT filed a complaint against Howard Garber seeking a declaratory judgment that neither CME nor CBOT was infringing certain of Mr. Garber’s patents and that one of his patents is invalid and unenforceable. In September 2009, Technology Research Group LLC, the current owner of one of the patents at issue, filed counterclaims alleging that CME and CBOT infringe, induce or contribute to the infringement and willfully infringe its patent.</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Technology Research is seeking an injunction and damages no less than a reasonable royalty. Based on its investigation to date and advice from legal counsel, the company believes this suit is without merit and intends to defend itself vigorously against these charges.</w:t>
      </w:r>
    </w:p>
    <w:p>
      <w:pPr>
        <w:spacing w:after="0" w:line="138"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In July 2009, Realtime Data LLC filed a complaint against CME Group and other exchanges seeking a permanent injunction and damages no less than a reasonable royalty. In July 2009, Realtime filed an amended complaint and added CBOT and NYMEX along with other related companies of the other defendants. The complaint alleges that CME Group, CBOT and NYMEX infringe directly and/or indirectly four patents and further that the infringement is willful. Based on its investigation to date and advice from legal counsel, the company believes this suit is without merit and intends to defend itself vigorously against these charges.</w:t>
      </w:r>
    </w:p>
    <w:p>
      <w:pPr>
        <w:spacing w:after="0" w:line="14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the company is a defendant in, and has potential for, various other legal proceedings arising from its regular business activities. While the ultimate results of such proceedings against the company cannot be predicted with certainty, the company believes that the resolution of any of these matters will not have a material adverse affect on its consolidated financial position or results of operations.</w:t>
      </w:r>
    </w:p>
    <w:p>
      <w:pPr>
        <w:spacing w:after="0" w:line="14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Intellectual Property Indemnifications</w:t>
      </w:r>
      <w:r>
        <w:rPr>
          <w:rFonts w:ascii="Arial" w:cs="Arial" w:eastAsia="Arial" w:hAnsi="Arial"/>
          <w:sz w:val="18"/>
          <w:szCs w:val="18"/>
          <w:color w:val="auto"/>
        </w:rPr>
        <w:t>. Certain agreements with customers and other third parties related to accessing the CME Globex platform, the CME</w:t>
      </w:r>
      <w:r>
        <w:rPr>
          <w:rFonts w:ascii="Arial" w:cs="Arial" w:eastAsia="Arial" w:hAnsi="Arial"/>
          <w:sz w:val="18"/>
          <w:szCs w:val="18"/>
          <w:i w:val="1"/>
          <w:iCs w:val="1"/>
          <w:color w:val="auto"/>
        </w:rPr>
        <w:t xml:space="preserve"> </w:t>
      </w:r>
      <w:r>
        <w:rPr>
          <w:rFonts w:ascii="Arial" w:cs="Arial" w:eastAsia="Arial" w:hAnsi="Arial"/>
          <w:sz w:val="18"/>
          <w:szCs w:val="18"/>
          <w:color w:val="auto"/>
        </w:rPr>
        <w:t>ClearPort platform, and/or the Clearing 21 platform; utilizing market data services; licensing CME SPAN software; and calculating indexes as a service provider and licensing indexes as the basis of financial</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products may contain indemnifications from intellectual property claims that may be made against them as a result of their use of the applicable products and/or services. The potential future claims relating to these indemnifications cannot be estimated and, therefore, no liability has been recorded.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Guarantees</w:t>
      </w:r>
    </w:p>
    <w:p>
      <w:pPr>
        <w:spacing w:after="0" w:line="96"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i w:val="1"/>
          <w:iCs w:val="1"/>
          <w:color w:val="auto"/>
        </w:rPr>
        <w:t xml:space="preserve">CME Clearing Contract Settlement. </w:t>
      </w:r>
      <w:r>
        <w:rPr>
          <w:rFonts w:ascii="Arial" w:cs="Arial" w:eastAsia="Arial" w:hAnsi="Arial"/>
          <w:sz w:val="16"/>
          <w:szCs w:val="16"/>
          <w:color w:val="auto"/>
        </w:rPr>
        <w:t>CME accounts for its guarantee of settlement of contracts in accordance with current accounting guidance on guarantees.</w:t>
      </w:r>
      <w:r>
        <w:rPr>
          <w:rFonts w:ascii="Arial" w:cs="Arial" w:eastAsia="Arial" w:hAnsi="Arial"/>
          <w:sz w:val="16"/>
          <w:szCs w:val="16"/>
          <w:i w:val="1"/>
          <w:iCs w:val="1"/>
          <w:color w:val="auto"/>
        </w:rPr>
        <w:t xml:space="preserve"> </w:t>
      </w:r>
      <w:r>
        <w:rPr>
          <w:rFonts w:ascii="Arial" w:cs="Arial" w:eastAsia="Arial" w:hAnsi="Arial"/>
          <w:sz w:val="16"/>
          <w:szCs w:val="16"/>
          <w:color w:val="auto"/>
        </w:rPr>
        <w:t>CME marks-to-market all open positions at least twice a day, and requires payment from clearing firms whose positions have lost value and makes payments to clearing firms whose positions have gained value. In select circumstances where CME has introduced clearing services to newer markets, positions are marked-to-market daily, with the capability to mark-to-market more frequently as market conditions warrant. Under the extremely unlikely scenario of simultaneous default by every clearing firm who has open positions with unrealized losses, the maximum exposure related to CME’s guarantee would be equal to one half day of changes in fair value of all open positions, before considering CME’s ability to access defaulting clearing firms’ performance bond and security deposit balances as well as other available resources. During the first six months of 2010, CME transferred an average of approximately $2.2 billion a day through its clearing system for settlement from clearing firms whose positions had lost value to clearing firms whose positions had gained value. CME reduces its guarantee exposure through initial and maintenance performance bond requirements and mandatory security deposits. The company believes that the guarantee liability in accordance with the accounting guidance is immaterial and therefore has not recorded any liability at June 30, 2010.</w:t>
      </w:r>
    </w:p>
    <w:p>
      <w:pPr>
        <w:spacing w:after="0" w:line="12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i w:val="1"/>
          <w:iCs w:val="1"/>
          <w:color w:val="auto"/>
        </w:rPr>
        <w:t xml:space="preserve">Mutual Offset Agreement. </w:t>
      </w:r>
      <w:r>
        <w:rPr>
          <w:rFonts w:ascii="Arial" w:cs="Arial" w:eastAsia="Arial" w:hAnsi="Arial"/>
          <w:sz w:val="16"/>
          <w:szCs w:val="16"/>
          <w:color w:val="auto"/>
        </w:rPr>
        <w:t>CME and Singapore Exchange Limited (SGX) have a mutual offset agreement with a current term through October 2010. The term of</w:t>
      </w:r>
      <w:r>
        <w:rPr>
          <w:rFonts w:ascii="Arial" w:cs="Arial" w:eastAsia="Arial" w:hAnsi="Arial"/>
          <w:sz w:val="16"/>
          <w:szCs w:val="16"/>
          <w:i w:val="1"/>
          <w:iCs w:val="1"/>
          <w:color w:val="auto"/>
        </w:rPr>
        <w:t xml:space="preserve"> </w:t>
      </w:r>
      <w:r>
        <w:rPr>
          <w:rFonts w:ascii="Arial" w:cs="Arial" w:eastAsia="Arial" w:hAnsi="Arial"/>
          <w:sz w:val="16"/>
          <w:szCs w:val="16"/>
          <w:color w:val="auto"/>
        </w:rPr>
        <w:t>the agreement will automatically renew for a one-year period unless either party provides advance notice of their intent to terminate. CME can maintain collateral in the form of U.S. Treasury securities or irrevocable letters of credit. At June 30, 2010, CME was contingently liable to SGX on irrevocable letters of credit totaling $83.0 million. Regardless of the collateral, CME guarantees all cleared transactions submitted through SGX and would initiate procedures designed to satisfy these financial obligations in the event of a default, such as the use of performance bonds and security deposits of the defaulting clearing firm.</w:t>
      </w:r>
    </w:p>
    <w:p>
      <w:pPr>
        <w:spacing w:after="0" w:line="11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Cross-Margin Agreements</w:t>
      </w:r>
      <w:r>
        <w:rPr>
          <w:rFonts w:ascii="Arial" w:cs="Arial" w:eastAsia="Arial" w:hAnsi="Arial"/>
          <w:sz w:val="18"/>
          <w:szCs w:val="18"/>
          <w:color w:val="auto"/>
        </w:rPr>
        <w:t>. CME and Options Clearing Corporation (OCC) have a cross-margin arrangement, whereby a common clearing firm may maintain a</w:t>
      </w:r>
      <w:r>
        <w:rPr>
          <w:rFonts w:ascii="Arial" w:cs="Arial" w:eastAsia="Arial" w:hAnsi="Arial"/>
          <w:sz w:val="18"/>
          <w:szCs w:val="18"/>
          <w:i w:val="1"/>
          <w:iCs w:val="1"/>
          <w:color w:val="auto"/>
        </w:rPr>
        <w:t xml:space="preserve"> </w:t>
      </w:r>
      <w:r>
        <w:rPr>
          <w:rFonts w:ascii="Arial" w:cs="Arial" w:eastAsia="Arial" w:hAnsi="Arial"/>
          <w:sz w:val="18"/>
          <w:szCs w:val="18"/>
          <w:color w:val="auto"/>
        </w:rPr>
        <w:t>cross-margin account in which the clearing firm’s positions in certain CME futures and options on futures contracts are combined with certain positions cleared by OCC for purposes of calculating performance bond requirements. The performance bond deposits are held jointly by CME and OCC. If a participating firm defaults, the gain or loss on the liquidation of the firm’s open position and the proceeds from the liquidation of the cross-margin account would be allocated 50% each to CME and OCC.</w:t>
      </w:r>
    </w:p>
    <w:p>
      <w:pPr>
        <w:spacing w:after="0" w:line="14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Cross-margin agreements exist with CME and Fixed Income Clearing Corp (FICC) whereby the clearing firms’ offsetting positions with CME are subject to reduced margin requirements. Clearing firms maintain separate performance bond deposits with each clearing house, but depending on the net offsetting positions between CME and FICC, each clearing house may reduce the firm’s performance bond requirement. In the event of a firm default, the total liquidation net gain or loss on the firm’s offsetting open positions and the proceeds from the liquidation of the performance bond collateral held by each clearing house’s supporting offsetting positions would be divided evenly between CME and the applicable clearing house.</w:t>
      </w:r>
    </w:p>
    <w:p>
      <w:pPr>
        <w:spacing w:after="0" w:line="1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Additionally, for the FICC cross-margin agreements, if, after liquidation of all the positions and collateral of the defaulting firm at each respective clearing organization, and taking into account any cross-margining loss sharing payments, any of the participating clearing organizations has a remaining liquidating surplus, and any other participating clearing organization has a remaining liquidating deficit, any additional surplus from the liquidation would be shared with the other clearing houses to the extent that they have a remaining liquidating deficit. Any remaining surplus funds would be passed to the bankruptcy trustee.</w:t>
      </w:r>
    </w:p>
    <w:p>
      <w:pPr>
        <w:spacing w:after="0" w:line="11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GFX Corporation Letter of Credit</w:t>
      </w:r>
      <w:r>
        <w:rPr>
          <w:rFonts w:ascii="Arial" w:cs="Arial" w:eastAsia="Arial" w:hAnsi="Arial"/>
          <w:sz w:val="18"/>
          <w:szCs w:val="18"/>
          <w:color w:val="auto"/>
        </w:rPr>
        <w:t>. CME guarantees a $5.0 million standby letter of credit for GFX Corporation (GFX). The beneficiary of the letter of credit is</w:t>
      </w:r>
      <w:r>
        <w:rPr>
          <w:rFonts w:ascii="Arial" w:cs="Arial" w:eastAsia="Arial" w:hAnsi="Arial"/>
          <w:sz w:val="18"/>
          <w:szCs w:val="18"/>
          <w:i w:val="1"/>
          <w:iCs w:val="1"/>
          <w:color w:val="auto"/>
        </w:rPr>
        <w:t xml:space="preserve"> </w:t>
      </w:r>
      <w:r>
        <w:rPr>
          <w:rFonts w:ascii="Arial" w:cs="Arial" w:eastAsia="Arial" w:hAnsi="Arial"/>
          <w:sz w:val="18"/>
          <w:szCs w:val="18"/>
          <w:color w:val="auto"/>
        </w:rPr>
        <w:t>the clearing firm that is used by GFX to execute and maintain its futures positions. Per exchange requirements, GFX is required to place performance bond deposits with its clearing firm. The letter of credit, utilized as performance bond, would be drawn on in the event that GFX defaults in meeting requirements to its clearing firm. In the unlikely event of a payment default by GFX, if GFX’s performance bond is not sufficient to cover the deficit, CME would guarantee the remaining deficit, if any.</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Payments</w:t>
      </w:r>
    </w:p>
    <w:p>
      <w:pPr>
        <w:spacing w:after="0" w:line="9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Total expense for stock-based payments, including shares issued to the board of directors, converted CBOT Holdings options and converted NYMEX Holdings options, was $20.1 million and $18.2 million for the six months ended June 30, 2010 and 2009, respectively. The total income tax benefit recognized in the consolidated statements of income for stock-based payment arrangements was $8.0 million and $7.3 million for the six months ended June 30, 2010 and 2009,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color w:val="auto"/>
        </w:rPr>
        <w:t>In the first six months of 2010, the company granted employees stock options totaling 7,508 shares under the CME Group Omnibus Stock Plan. The options have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 ten-year term with exercise prices ranging from $310 to $314 per share, the closing market price on the dates of grant. The fair value of these options totaled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$0.9 million, measured at the grant dates using the Black-Scholes valuation model, which is recognized as compensation expense on an accelerated basis over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vesting period. The Black-Scholes fair values of the option grants were calculated using the following assumptions: dividend yield of 1.5%; expected volatility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44%; risk-free interest rates ranging from 2.6% to 2.9% and an expected life of 6.2 years. The grant date weighted average fair value of options granted during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first six months of 2010 was $126 per share.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In the first six months of 2010, the company granted 6,711 shares of restricted Class A common stock which generally have a vesting period of two to five years.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these grant were $2.1 million, which is recognized as compensation expense on an accelerated basis over the vesting period.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w:t>
      </w:r>
    </w:p>
    <w:p>
      <w:pPr>
        <w:spacing w:after="0" w:line="9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Accounting guidance on fair value measurements and related disclosures provides direction for using fair value to measure assets and liabilities by defining fair value and establishing a framework for measuring fair value. The guidance creates a three-level hierarchy that establishes classification of fair value measurements for disclosure purposes.</w:t>
      </w:r>
    </w:p>
    <w:p>
      <w:pPr>
        <w:spacing w:after="0" w:line="59" w:lineRule="exact"/>
        <w:rPr>
          <w:sz w:val="20"/>
          <w:szCs w:val="20"/>
          <w:color w:val="auto"/>
        </w:rPr>
      </w:pPr>
    </w:p>
    <w:p>
      <w:pPr>
        <w:ind w:left="900" w:right="6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1 inputs, which are considered the most reliable evidence of fair value, consist of quoted prices (unadjusted) for identical assets or liabilities in active markets.</w:t>
      </w:r>
    </w:p>
    <w:p>
      <w:pPr>
        <w:spacing w:after="0" w:line="5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2 inputs consist of observable market data, other than level 1 inputs, such as quoted prices for similar assets and liabilities in active markets or inputs other than quoted prices that are directly observable.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Level 3 inputs consist of unobservable inputs which are derived and cannot be corroborated by market data or other entity-specific inputs.</w:t>
      </w:r>
    </w:p>
    <w:p>
      <w:pPr>
        <w:spacing w:after="0" w:line="19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general, the company uses quoted prices in active markets for identical assets to determine the fair value of marketable securities and equity investments. Level 1 assets generally include U.S. Treasury securities, exchange-traded mutual funds and publicly-traded equity securities. If quoted prices are not available to determine fair value, the company uses other inputs that are observable either directly or indirectly. Assets included in level 2 generally consist of U.S. Government agency securities, municipal bonds, asset-backed securities and certain corporate bonds. There were no level 3 assets that were valued on a recurring basis as of June 30, 2010.</w:t>
      </w:r>
    </w:p>
    <w:p>
      <w:pPr>
        <w:spacing w:after="0" w:line="143"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 company determined the fair value of its interest rate swap contracts, considered level 2 assets, using standard valuation models with market-based observable inputs including forward and spot exchange rates and interest rate curves. The level 2 marketable securities are measured at fair value based on matrix pricing based on prices of similar securities with similar inputs such as maturity dates, interest rates and credit ratings.</w:t>
      </w:r>
    </w:p>
    <w:p>
      <w:pPr>
        <w:spacing w:after="0" w:line="10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Financial assets and liabilities recorded in the consolidated balance sheet as of June 30, 2010 were classified in their entirety based on the lowest level of input that was significant to each asset or liability’s fair value measurement.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Measured at Fair Value on a Recurring Basis:</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As of June 30, 2010</w:t>
            </w: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20" w:type="dxa"/>
            <w:vAlign w:val="bottom"/>
            <w:gridSpan w:val="3"/>
            <w:vMerge w:val="continue"/>
          </w:tcPr>
          <w:p>
            <w:pPr>
              <w:spacing w:after="0"/>
              <w:rPr>
                <w:sz w:val="12"/>
                <w:szCs w:val="12"/>
                <w:color w:val="auto"/>
              </w:rPr>
            </w:pPr>
          </w:p>
        </w:tc>
        <w:tc>
          <w:tcPr>
            <w:tcW w:w="4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4"/>
              </w:rPr>
              <w:t>Level 1</w:t>
            </w:r>
          </w:p>
        </w:tc>
        <w:tc>
          <w:tcPr>
            <w:tcW w:w="40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4"/>
              </w:rPr>
              <w:t>Level 2</w:t>
            </w:r>
          </w:p>
        </w:tc>
        <w:tc>
          <w:tcPr>
            <w:tcW w:w="42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9"/>
              </w:rPr>
              <w:t>Level 3</w:t>
            </w:r>
          </w:p>
        </w:tc>
        <w:tc>
          <w:tcPr>
            <w:tcW w:w="400" w:type="dxa"/>
            <w:vAlign w:val="bottom"/>
          </w:tcPr>
          <w:p>
            <w:pPr>
              <w:spacing w:after="0"/>
              <w:rPr>
                <w:sz w:val="12"/>
                <w:szCs w:val="12"/>
                <w:color w:val="auto"/>
              </w:rPr>
            </w:pPr>
          </w:p>
        </w:tc>
        <w:tc>
          <w:tcPr>
            <w:tcW w:w="4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 at Fair Value:</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U.S. Treasury securities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84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 —</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rPr>
              <w:t>Mutual funds</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23.4</w:t>
            </w:r>
          </w:p>
        </w:tc>
        <w:tc>
          <w:tcPr>
            <w:tcW w:w="4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4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23.4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bonds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rPr>
              <w:t>Municipal bonds</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420" w:type="dxa"/>
            <w:vAlign w:val="bottom"/>
          </w:tcPr>
          <w:p>
            <w:pPr>
              <w:spacing w:after="0"/>
              <w:rPr>
                <w:sz w:val="18"/>
                <w:szCs w:val="18"/>
                <w:color w:val="auto"/>
              </w:rPr>
            </w:pPr>
          </w:p>
        </w:tc>
        <w:tc>
          <w:tcPr>
            <w:tcW w:w="4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Asset-backed securities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rPr>
              <w:t>U.S. Government agency securities</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420" w:type="dxa"/>
            <w:vAlign w:val="bottom"/>
          </w:tcPr>
          <w:p>
            <w:pPr>
              <w:spacing w:after="0"/>
              <w:rPr>
                <w:sz w:val="19"/>
                <w:szCs w:val="19"/>
                <w:color w:val="auto"/>
              </w:rPr>
            </w:pPr>
          </w:p>
        </w:tc>
        <w:tc>
          <w:tcPr>
            <w:tcW w:w="4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28.5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45.0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54.1</w:t>
            </w:r>
          </w:p>
        </w:tc>
        <w:tc>
          <w:tcPr>
            <w:tcW w:w="40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4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54.1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 at Fair Value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82.6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$ 16.5</w:t>
            </w:r>
          </w:p>
        </w:tc>
        <w:tc>
          <w:tcPr>
            <w:tcW w:w="84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 —</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99.1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gridSpan w:val="3"/>
            <w:vMerge w:val="restart"/>
          </w:tcPr>
          <w:p>
            <w:pPr>
              <w:spacing w:after="0"/>
              <w:rPr>
                <w:sz w:val="20"/>
                <w:szCs w:val="20"/>
                <w:color w:val="auto"/>
              </w:rPr>
            </w:pPr>
            <w:r>
              <w:rPr>
                <w:rFonts w:ascii="Arial" w:cs="Arial" w:eastAsia="Arial" w:hAnsi="Arial"/>
                <w:sz w:val="18"/>
                <w:szCs w:val="18"/>
                <w:color w:val="auto"/>
              </w:rPr>
              <w:t>Liabilities at Fair Value: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6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rate swap contracts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$ 19.4</w:t>
            </w:r>
          </w:p>
        </w:tc>
        <w:tc>
          <w:tcPr>
            <w:tcW w:w="84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 —</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gridSpan w:val="3"/>
            <w:vMerge w:val="restart"/>
          </w:tcPr>
          <w:p>
            <w:pPr>
              <w:spacing w:after="0"/>
              <w:rPr>
                <w:sz w:val="20"/>
                <w:szCs w:val="20"/>
                <w:color w:val="auto"/>
              </w:rPr>
            </w:pPr>
            <w:r>
              <w:rPr>
                <w:rFonts w:ascii="Arial" w:cs="Arial" w:eastAsia="Arial" w:hAnsi="Arial"/>
                <w:sz w:val="18"/>
                <w:szCs w:val="18"/>
                <w:color w:val="auto"/>
              </w:rPr>
              <w:t>Total Liabilities at Fair Value</w:t>
            </w: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20" w:type="dxa"/>
            <w:vAlign w:val="bottom"/>
            <w:gridSpan w:val="3"/>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79"/>
              </w:rPr>
              <w:t>$ 19.4</w:t>
            </w:r>
          </w:p>
        </w:tc>
        <w:tc>
          <w:tcPr>
            <w:tcW w:w="840" w:type="dxa"/>
            <w:vAlign w:val="bottom"/>
            <w:gridSpan w:val="2"/>
          </w:tcPr>
          <w:p>
            <w:pPr>
              <w:jc w:val="right"/>
              <w:ind w:right="15"/>
              <w:spacing w:after="0"/>
              <w:rPr>
                <w:sz w:val="20"/>
                <w:szCs w:val="20"/>
                <w:color w:val="auto"/>
              </w:rPr>
            </w:pPr>
            <w:r>
              <w:rPr>
                <w:rFonts w:ascii="Arial" w:cs="Arial" w:eastAsia="Arial" w:hAnsi="Arial"/>
                <w:sz w:val="18"/>
                <w:szCs w:val="18"/>
                <w:color w:val="auto"/>
              </w:rPr>
              <w:t>$ —</w:t>
            </w:r>
          </w:p>
        </w:tc>
        <w:tc>
          <w:tcPr>
            <w:tcW w:w="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85"/>
              </w:rPr>
              <w:t>19.4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There were no transfers of assets or liabilities between level 1 and level 2 during the first six months of 2010. There were also no assets or liabilities valued at fair value on a recurring basis using significant unobservable inputs during the first six months of 2010.</w:t>
      </w:r>
    </w:p>
    <w:p>
      <w:pPr>
        <w:spacing w:after="0" w:line="132"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During the first six months of 2010, the company recorded impairment on goodwill and a trade name related to CMA. The fair values of CMA’s goodwill and trade name were derived using a discounted cash flow model. As of the impairment test date, the fair values of CMA’s goodwill and trade name were $28.5 million and $0.9 million, respectively. Both assets were considered to be level 3.</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Earnings Per Common Share</w:t>
      </w:r>
    </w:p>
    <w:p>
      <w:pPr>
        <w:spacing w:after="0" w:line="9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Basic earnings per common share is computed by dividing net income by the weighted average number of shares of all classes of common stock outstanding for each reporting period. Diluted earnings per share reflects the increase in shares using the treasury stock method to reflect the impact of an equivalent number of shares of common stock if stock options were exercised and restricted stock awards were converted into common stock. Outstanding stock options of approximately 605,000 were anti-dilutive for the quarter and six months ended June 30, 2010, respectively. Outstanding stock options and restricted stock awards of approximately 463,000 and 680,000 were anti-dilutive for the quarter and six months ended June 30, 2009, respectively. These options and awards were not included in the diluted earnings per common share calculation.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except shares and per share data)</w:t>
            </w:r>
          </w:p>
        </w:tc>
        <w:tc>
          <w:tcPr>
            <w:tcW w:w="2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ind w:left="20"/>
              <w:spacing w:after="0"/>
              <w:rPr>
                <w:sz w:val="20"/>
                <w:szCs w:val="20"/>
                <w:color w:val="auto"/>
              </w:rPr>
            </w:pPr>
            <w:r>
              <w:rPr>
                <w:rFonts w:ascii="Arial" w:cs="Arial" w:eastAsia="Arial" w:hAnsi="Arial"/>
                <w:sz w:val="14"/>
                <w:szCs w:val="14"/>
                <w:b w:val="1"/>
                <w:bCs w:val="1"/>
                <w:color w:val="auto"/>
              </w:rPr>
              <w:t>Quarter Ended June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w w:val="86"/>
              </w:rPr>
              <w:t>Six Months Ended June 30,</w:t>
            </w:r>
          </w:p>
        </w:tc>
        <w:tc>
          <w:tcPr>
            <w:tcW w:w="0" w:type="dxa"/>
            <w:vAlign w:val="bottom"/>
          </w:tcPr>
          <w:p>
            <w:pPr>
              <w:spacing w:after="0"/>
              <w:rPr>
                <w:sz w:val="1"/>
                <w:szCs w:val="1"/>
                <w:color w:val="auto"/>
              </w:rPr>
            </w:pPr>
          </w:p>
        </w:tc>
      </w:tr>
      <w:tr>
        <w:trPr>
          <w:trHeight w:val="142"/>
        </w:trPr>
        <w:tc>
          <w:tcPr>
            <w:tcW w:w="5020" w:type="dxa"/>
            <w:vAlign w:val="bottom"/>
            <w:gridSpan w:val="3"/>
            <w:vMerge w:val="continue"/>
          </w:tcPr>
          <w:p>
            <w:pPr>
              <w:spacing w:after="0"/>
              <w:rPr>
                <w:sz w:val="12"/>
                <w:szCs w:val="12"/>
                <w:color w:val="auto"/>
              </w:rPr>
            </w:pPr>
          </w:p>
        </w:tc>
        <w:tc>
          <w:tcPr>
            <w:tcW w:w="26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CME Group</w:t>
            </w:r>
          </w:p>
        </w:tc>
        <w:tc>
          <w:tcPr>
            <w:tcW w:w="2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270.7</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221.8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510.9</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020" w:type="dxa"/>
            <w:vAlign w:val="bottom"/>
            <w:gridSpan w:val="3"/>
          </w:tcPr>
          <w:p>
            <w:pPr>
              <w:spacing w:after="0"/>
              <w:rPr>
                <w:sz w:val="20"/>
                <w:szCs w:val="20"/>
                <w:color w:val="auto"/>
              </w:rPr>
            </w:pPr>
            <w:r>
              <w:rPr>
                <w:rFonts w:ascii="Arial" w:cs="Arial" w:eastAsia="Arial" w:hAnsi="Arial"/>
                <w:sz w:val="18"/>
                <w:szCs w:val="18"/>
                <w:color w:val="auto"/>
                <w:w w:val="99"/>
              </w:rPr>
              <w:t>Weighted Average Number of Common Shares (in thousands):</w:t>
            </w:r>
          </w:p>
        </w:tc>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65,582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66,329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65,906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ind w:left="420"/>
              <w:spacing w:after="0"/>
              <w:rPr>
                <w:sz w:val="20"/>
                <w:szCs w:val="20"/>
                <w:color w:val="auto"/>
              </w:rPr>
            </w:pPr>
            <w:r>
              <w:rPr>
                <w:rFonts w:ascii="Arial" w:cs="Arial" w:eastAsia="Arial" w:hAnsi="Arial"/>
                <w:sz w:val="18"/>
                <w:szCs w:val="18"/>
                <w:color w:val="auto"/>
              </w:rPr>
              <w:t>Effect of stock options</w:t>
            </w: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151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169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Effect of restricted stock awards</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gridSpan w:val="2"/>
            <w:vMerge w:val="restart"/>
          </w:tcPr>
          <w:p>
            <w:pPr>
              <w:ind w:left="420"/>
              <w:spacing w:after="0"/>
              <w:rPr>
                <w:sz w:val="20"/>
                <w:szCs w:val="20"/>
                <w:color w:val="auto"/>
              </w:rPr>
            </w:pPr>
            <w:r>
              <w:rPr>
                <w:rFonts w:ascii="Arial" w:cs="Arial" w:eastAsia="Arial" w:hAnsi="Arial"/>
                <w:sz w:val="18"/>
                <w:szCs w:val="18"/>
                <w:color w:val="auto"/>
              </w:rPr>
              <w:t>Diluted</w:t>
            </w:r>
          </w:p>
        </w:tc>
        <w:tc>
          <w:tcPr>
            <w:tcW w:w="2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gridSpan w:val="2"/>
            <w:vMerge w:val="continue"/>
          </w:tcPr>
          <w:p>
            <w:pPr>
              <w:spacing w:after="0"/>
              <w:rPr>
                <w:sz w:val="19"/>
                <w:szCs w:val="19"/>
                <w:color w:val="auto"/>
              </w:rPr>
            </w:pPr>
          </w:p>
        </w:tc>
        <w:tc>
          <w:tcPr>
            <w:tcW w:w="2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65,784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66,526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66,104</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66,470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2800" w:type="dxa"/>
            <w:vAlign w:val="bottom"/>
          </w:tcPr>
          <w:p>
            <w:pPr>
              <w:spacing w:after="0"/>
              <w:rPr>
                <w:sz w:val="8"/>
                <w:szCs w:val="8"/>
                <w:color w:val="auto"/>
              </w:rPr>
            </w:pPr>
          </w:p>
        </w:tc>
        <w:tc>
          <w:tcPr>
            <w:tcW w:w="220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Common Share Attributable to CME Group:</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ind w:left="420"/>
              <w:spacing w:after="0"/>
              <w:rPr>
                <w:sz w:val="20"/>
                <w:szCs w:val="20"/>
                <w:color w:val="auto"/>
              </w:rPr>
            </w:pPr>
            <w:r>
              <w:rPr>
                <w:rFonts w:ascii="Arial" w:cs="Arial" w:eastAsia="Arial" w:hAnsi="Arial"/>
                <w:sz w:val="18"/>
                <w:szCs w:val="18"/>
                <w:color w:val="auto"/>
              </w:rPr>
              <w:t>Basic</w:t>
            </w:r>
          </w:p>
        </w:tc>
        <w:tc>
          <w:tcPr>
            <w:tcW w:w="2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4.13</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3.34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7.75</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660" w:type="dxa"/>
            <w:vAlign w:val="bottom"/>
          </w:tcPr>
          <w:p>
            <w:pPr>
              <w:jc w:val="right"/>
              <w:ind w:right="179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96"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In June 2010, BM&amp;FBOVESPA S.A. (BM&amp;FBOVESPA) and CME Group entered into an agreement which provides for, among other things, an increase in BM&amp;FBOVESPA’s ownership interest in CME Group to approximately 5%. Pursuant to the agreement, the company issued 2.2 million shares of its Class A common stock to BM&amp;FBOVESPA in July 2010 for an aggregate price of $607.0 million.</w:t>
      </w:r>
    </w:p>
    <w:p>
      <w:pPr>
        <w:spacing w:after="0" w:line="14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purchased 1.0 million shares of its Class A common stock through open market purchases between July 1, 2010 and August 6, 2010 for a total cost of approximately $279.1 million as part of the share repurchase program that was announced February 12, 2010. Under the terms of this share repurchase program, the company was authorized to purchase up to 2.35 million shares of Class A common stock.</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240" w:top="459" w:right="3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The following discussion is provided as a supplement to, and should be read in conjunction with, the accompanying unaudited consolidated financial statements and notes in this Quarterly Report on Form 10-Q and our Annual Report on Form 10-K for the year ended December 31, 2009.</w:t>
      </w:r>
    </w:p>
    <w:p>
      <w:pPr>
        <w:spacing w:after="0" w:line="85"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References in this discussion and analysis to “we,” “us” and “our” are to CME Group Inc. (CME Group) and its consolidated subsidiaries, collectively. References to “exchange” are to Chicago Mercantile Exchange Inc. (CME), Board of Trade of the City of Chicago, Inc. (CBOT), and New York Mercantile Exchange, Inc. (NYMEX), collectively.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significant changes in our financial performance for the periods presented.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Quarter Ended</w:t>
            </w: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Six Months Ended</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 except per share data)</w:t>
            </w:r>
          </w:p>
        </w:tc>
        <w:tc>
          <w:tcPr>
            <w:tcW w:w="880" w:type="dxa"/>
            <w:vAlign w:val="bottom"/>
          </w:tcPr>
          <w:p>
            <w:pPr>
              <w:spacing w:after="0"/>
              <w:rPr>
                <w:sz w:val="14"/>
                <w:szCs w:val="14"/>
                <w:color w:val="auto"/>
              </w:rPr>
            </w:pPr>
          </w:p>
        </w:tc>
        <w:tc>
          <w:tcPr>
            <w:tcW w:w="174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June 30,</w:t>
            </w: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4"/>
                <w:szCs w:val="14"/>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142"/>
        </w:trPr>
        <w:tc>
          <w:tcPr>
            <w:tcW w:w="5320" w:type="dxa"/>
            <w:vAlign w:val="bottom"/>
            <w:gridSpan w:val="3"/>
            <w:vMerge w:val="continue"/>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rPr>
              <w:t>2010</w:t>
            </w:r>
          </w:p>
        </w:tc>
        <w:tc>
          <w:tcPr>
            <w:tcW w:w="3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74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$813.9</w:t>
            </w:r>
          </w:p>
        </w:tc>
        <w:tc>
          <w:tcPr>
            <w:tcW w:w="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$647.8</w:t>
            </w: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1,507.1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1,294.9</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Total expenses</w:t>
            </w:r>
          </w:p>
        </w:tc>
        <w:tc>
          <w:tcPr>
            <w:tcW w:w="1640" w:type="dxa"/>
            <w:vAlign w:val="bottom"/>
            <w:gridSpan w:val="3"/>
          </w:tcPr>
          <w:p>
            <w:pPr>
              <w:jc w:val="right"/>
              <w:ind w:right="260"/>
              <w:spacing w:after="0"/>
              <w:rPr>
                <w:sz w:val="20"/>
                <w:szCs w:val="20"/>
                <w:color w:val="auto"/>
              </w:rPr>
            </w:pPr>
            <w:r>
              <w:rPr>
                <w:rFonts w:ascii="Arial" w:cs="Arial" w:eastAsia="Arial" w:hAnsi="Arial"/>
                <w:sz w:val="18"/>
                <w:szCs w:val="18"/>
                <w:color w:val="auto"/>
              </w:rPr>
              <w:t>298.8</w:t>
            </w:r>
          </w:p>
        </w:tc>
        <w:tc>
          <w:tcPr>
            <w:tcW w:w="980" w:type="dxa"/>
            <w:vAlign w:val="bottom"/>
            <w:gridSpan w:val="3"/>
          </w:tcPr>
          <w:p>
            <w:pPr>
              <w:jc w:val="right"/>
              <w:ind w:right="360"/>
              <w:spacing w:after="0"/>
              <w:rPr>
                <w:sz w:val="20"/>
                <w:szCs w:val="20"/>
                <w:color w:val="auto"/>
              </w:rPr>
            </w:pPr>
            <w:r>
              <w:rPr>
                <w:rFonts w:ascii="Arial" w:cs="Arial" w:eastAsia="Arial" w:hAnsi="Arial"/>
                <w:sz w:val="18"/>
                <w:szCs w:val="18"/>
                <w:color w:val="auto"/>
              </w:rPr>
              <w:t>249.0</w:t>
            </w: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577.3</w:t>
            </w:r>
          </w:p>
        </w:tc>
        <w:tc>
          <w:tcPr>
            <w:tcW w:w="8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509.7</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1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63%</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Non-operating income (expense)</w:t>
            </w:r>
          </w:p>
        </w:tc>
        <w:tc>
          <w:tcPr>
            <w:tcW w:w="1640" w:type="dxa"/>
            <w:vAlign w:val="bottom"/>
            <w:gridSpan w:val="3"/>
          </w:tcPr>
          <w:p>
            <w:pPr>
              <w:jc w:val="right"/>
              <w:ind w:right="200"/>
              <w:spacing w:after="0"/>
              <w:rPr>
                <w:sz w:val="20"/>
                <w:szCs w:val="20"/>
                <w:color w:val="auto"/>
              </w:rPr>
            </w:pPr>
            <w:r>
              <w:rPr>
                <w:rFonts w:ascii="Arial" w:cs="Arial" w:eastAsia="Arial" w:hAnsi="Arial"/>
                <w:sz w:val="18"/>
                <w:szCs w:val="18"/>
                <w:color w:val="auto"/>
              </w:rPr>
              <w:t>$ (35.0)</w:t>
            </w: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 (23.9)</w:t>
            </w: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45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(50.8)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(59.8)</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1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44%</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41%</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Net income attributable to CME Group</w:t>
            </w:r>
          </w:p>
        </w:tc>
        <w:tc>
          <w:tcPr>
            <w:tcW w:w="1640" w:type="dxa"/>
            <w:vAlign w:val="bottom"/>
            <w:gridSpan w:val="3"/>
          </w:tcPr>
          <w:p>
            <w:pPr>
              <w:jc w:val="right"/>
              <w:ind w:right="260"/>
              <w:spacing w:after="0"/>
              <w:rPr>
                <w:sz w:val="20"/>
                <w:szCs w:val="20"/>
                <w:color w:val="auto"/>
              </w:rPr>
            </w:pPr>
            <w:r>
              <w:rPr>
                <w:rFonts w:ascii="Arial" w:cs="Arial" w:eastAsia="Arial" w:hAnsi="Arial"/>
                <w:sz w:val="18"/>
                <w:szCs w:val="18"/>
                <w:color w:val="auto"/>
              </w:rPr>
              <w:t>$270.7</w:t>
            </w:r>
          </w:p>
        </w:tc>
        <w:tc>
          <w:tcPr>
            <w:tcW w:w="980" w:type="dxa"/>
            <w:vAlign w:val="bottom"/>
            <w:gridSpan w:val="3"/>
          </w:tcPr>
          <w:p>
            <w:pPr>
              <w:jc w:val="right"/>
              <w:ind w:right="360"/>
              <w:spacing w:after="0"/>
              <w:rPr>
                <w:sz w:val="20"/>
                <w:szCs w:val="20"/>
                <w:color w:val="auto"/>
              </w:rPr>
            </w:pPr>
            <w:r>
              <w:rPr>
                <w:rFonts w:ascii="Arial" w:cs="Arial" w:eastAsia="Arial" w:hAnsi="Arial"/>
                <w:sz w:val="18"/>
                <w:szCs w:val="18"/>
                <w:color w:val="auto"/>
              </w:rPr>
              <w:t>$221.8</w:t>
            </w: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22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510.9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420.9</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common share attributable to CME Group</w:t>
            </w:r>
          </w:p>
        </w:tc>
        <w:tc>
          <w:tcPr>
            <w:tcW w:w="1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4.11</w:t>
            </w:r>
          </w:p>
        </w:tc>
        <w:tc>
          <w:tcPr>
            <w:tcW w:w="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3.33</w:t>
            </w: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7.73</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6.33</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649.1</w:t>
            </w:r>
          </w:p>
        </w:tc>
        <w:tc>
          <w:tcPr>
            <w:tcW w:w="80" w:type="dxa"/>
            <w:vAlign w:val="bottom"/>
          </w:tcPr>
          <w:p>
            <w:pPr>
              <w:spacing w:after="0"/>
              <w:rPr>
                <w:sz w:val="19"/>
                <w:szCs w:val="19"/>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438.4</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900" w:right="18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Growth in revenues in the second quarter and first six months of 2010 when compared with the same periods in 2009 was primarily the result of an increase in clearing and transaction fees due to increased trading volume.</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goodwill and trade name impairment charge related to our Credit Market Analysis Limited (CMA) operations as well as increases in compensation and benefits expense contributed to higher overall expenses in the second quarter and first six months of 2010.</w:t>
      </w:r>
    </w:p>
    <w:p>
      <w:pPr>
        <w:spacing w:after="0" w:line="5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effective tax rate increased due primarily to the establishment of a full valuation allowance for the tax benefit associated with CMA’s goodwill and trade name impairment.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Cash flows from operations are strongly correlated with trading volume.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22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Quarter Ended</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220" w:type="dxa"/>
            <w:vAlign w:val="bottom"/>
            <w:tcBorders>
              <w:bottom w:val="single" w:sz="8" w:color="auto"/>
            </w:tcBorders>
            <w:gridSpan w:val="3"/>
          </w:tcPr>
          <w:p>
            <w:pPr>
              <w:jc w:val="right"/>
              <w:ind w:right="292"/>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7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81"/>
              </w:rPr>
              <w:t>Change</w:t>
            </w:r>
          </w:p>
        </w:tc>
        <w:tc>
          <w:tcPr>
            <w:tcW w:w="140" w:type="dxa"/>
            <w:vAlign w:val="bottom"/>
          </w:tcPr>
          <w:p>
            <w:pPr>
              <w:spacing w:after="0"/>
              <w:rPr>
                <w:sz w:val="14"/>
                <w:szCs w:val="14"/>
                <w:color w:val="auto"/>
              </w:rPr>
            </w:pPr>
          </w:p>
        </w:tc>
        <w:tc>
          <w:tcPr>
            <w:tcW w:w="1460" w:type="dxa"/>
            <w:vAlign w:val="bottom"/>
            <w:tcBorders>
              <w:bottom w:val="single" w:sz="8" w:color="auto"/>
            </w:tcBorders>
            <w:gridSpan w:val="3"/>
          </w:tcPr>
          <w:p>
            <w:pPr>
              <w:jc w:val="right"/>
              <w:ind w:right="392"/>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142"/>
        </w:trPr>
        <w:tc>
          <w:tcPr>
            <w:tcW w:w="6800" w:type="dxa"/>
            <w:vAlign w:val="bottom"/>
            <w:gridSpan w:val="3"/>
            <w:vMerge w:val="continue"/>
          </w:tcPr>
          <w:p>
            <w:pPr>
              <w:spacing w:after="0"/>
              <w:rPr>
                <w:sz w:val="12"/>
                <w:szCs w:val="12"/>
                <w:color w:val="auto"/>
              </w:rPr>
            </w:pPr>
          </w:p>
        </w:tc>
        <w:tc>
          <w:tcPr>
            <w:tcW w:w="500" w:type="dxa"/>
            <w:vAlign w:val="bottom"/>
          </w:tcPr>
          <w:p>
            <w:pPr>
              <w:jc w:val="right"/>
              <w:ind w:right="40"/>
              <w:spacing w:after="0" w:line="142" w:lineRule="exact"/>
              <w:rPr>
                <w:sz w:val="20"/>
                <w:szCs w:val="20"/>
                <w:color w:val="auto"/>
              </w:rPr>
            </w:pPr>
            <w:r>
              <w:rPr>
                <w:rFonts w:ascii="Arial" w:cs="Arial" w:eastAsia="Arial" w:hAnsi="Arial"/>
                <w:sz w:val="14"/>
                <w:szCs w:val="14"/>
                <w:b w:val="1"/>
                <w:bCs w:val="1"/>
                <w:color w:val="auto"/>
              </w:rPr>
              <w:t>2010</w:t>
            </w:r>
          </w:p>
        </w:tc>
        <w:tc>
          <w:tcPr>
            <w:tcW w:w="720" w:type="dxa"/>
            <w:vAlign w:val="bottom"/>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107"/>
              <w:spacing w:after="0" w:line="142" w:lineRule="exact"/>
              <w:rPr>
                <w:sz w:val="20"/>
                <w:szCs w:val="20"/>
                <w:color w:val="auto"/>
              </w:rPr>
            </w:pPr>
            <w:r>
              <w:rPr>
                <w:rFonts w:ascii="Arial" w:cs="Arial" w:eastAsia="Arial" w:hAnsi="Arial"/>
                <w:sz w:val="14"/>
                <w:szCs w:val="14"/>
                <w:b w:val="1"/>
                <w:bCs w:val="1"/>
                <w:color w:val="auto"/>
              </w:rPr>
              <w:t>2010</w:t>
            </w:r>
          </w:p>
        </w:tc>
        <w:tc>
          <w:tcPr>
            <w:tcW w:w="840" w:type="dxa"/>
            <w:vAlign w:val="bottom"/>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Clearing and transaction fees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$684.2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$536.8</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$1,262.2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$1,064.6</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Market data and information services</w:t>
            </w:r>
          </w:p>
        </w:tc>
        <w:tc>
          <w:tcPr>
            <w:tcW w:w="500" w:type="dxa"/>
            <w:vAlign w:val="bottom"/>
          </w:tcPr>
          <w:p>
            <w:pPr>
              <w:jc w:val="right"/>
              <w:spacing w:after="0"/>
              <w:rPr>
                <w:sz w:val="20"/>
                <w:szCs w:val="20"/>
                <w:color w:val="auto"/>
              </w:rPr>
            </w:pPr>
            <w:r>
              <w:rPr>
                <w:rFonts w:ascii="Arial" w:cs="Arial" w:eastAsia="Arial" w:hAnsi="Arial"/>
                <w:sz w:val="18"/>
                <w:szCs w:val="18"/>
                <w:color w:val="auto"/>
              </w:rPr>
              <w:t>102.0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82.1</w:t>
            </w:r>
          </w:p>
        </w:tc>
        <w:tc>
          <w:tcPr>
            <w:tcW w:w="940" w:type="dxa"/>
            <w:vAlign w:val="bottom"/>
            <w:gridSpan w:val="3"/>
          </w:tcPr>
          <w:p>
            <w:pPr>
              <w:jc w:val="right"/>
              <w:ind w:right="280"/>
              <w:spacing w:after="0"/>
              <w:rPr>
                <w:sz w:val="20"/>
                <w:szCs w:val="20"/>
                <w:color w:val="auto"/>
              </w:rPr>
            </w:pPr>
            <w:r>
              <w:rPr>
                <w:rFonts w:ascii="Arial" w:cs="Arial" w:eastAsia="Arial" w:hAnsi="Arial"/>
                <w:sz w:val="18"/>
                <w:szCs w:val="18"/>
                <w:color w:val="auto"/>
              </w:rPr>
              <w:t>24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189.6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167.6</w:t>
            </w: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Access and communication fees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2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2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813.9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647.8</w:t>
            </w:r>
          </w:p>
        </w:tc>
        <w:tc>
          <w:tcPr>
            <w:tcW w:w="9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1,507.1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1,294.9</w:t>
            </w: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Clearing and Transaction Fees</w:t>
      </w:r>
    </w:p>
    <w:p>
      <w:pPr>
        <w:spacing w:after="0" w:line="90"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Based on total volume and average rate per contract data below, we estimate that clearing and transaction fees revenue increased by $168.9 million during the second quarter due to the increase in total volume partially offset by a decline of $21.5 million due to the decrease in average rate per contract, resulting in a net increase in revenues in the second quarter of 2010 of $147.4 million when compared with the same period in 2009.</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During the first six months of 2010, we estimate that clearing and transaction fees revenue increased by $232.2 million due to the increase in total volume when compared with the same period in 2009. This increase was partially offset by a decline in revenue of $34.6 million due to the decrease in average rate per contract, resulting in a net increase in revenues in the first six months of 2010 of $197.6 million when compared with the same period in 2009.</w:t>
      </w:r>
    </w:p>
    <w:p>
      <w:pPr>
        <w:spacing w:after="0" w:line="10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Average rate per contract is impacted by our rate structure, which includes volume-based incentives; product mix; trading venue and the percentage of trading volume executed by customers who are members compared with non-member customers. Due to the relationship between average rate per contract and volume, the change in revenues attributable to changes in each is only an approximation.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rPr>
              <w:t>Quarter Ended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9"/>
          </w:tcPr>
          <w:p>
            <w:pPr>
              <w:ind w:left="100"/>
              <w:spacing w:after="0"/>
              <w:rPr>
                <w:sz w:val="20"/>
                <w:szCs w:val="20"/>
                <w:color w:val="auto"/>
              </w:rPr>
            </w:pPr>
            <w:r>
              <w:rPr>
                <w:rFonts w:ascii="Arial" w:cs="Arial" w:eastAsia="Arial" w:hAnsi="Arial"/>
                <w:sz w:val="14"/>
                <w:szCs w:val="14"/>
                <w:b w:val="1"/>
                <w:bCs w:val="1"/>
                <w:color w:val="auto"/>
              </w:rPr>
              <w:t>Six Months Ended</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6"/>
              </w:rPr>
              <w:t>June 30,</w:t>
            </w:r>
          </w:p>
        </w:tc>
        <w:tc>
          <w:tcPr>
            <w:tcW w:w="280" w:type="dxa"/>
            <w:vAlign w:val="bottom"/>
          </w:tcPr>
          <w:p>
            <w:pPr>
              <w:spacing w:after="0"/>
              <w:rPr>
                <w:sz w:val="14"/>
                <w:szCs w:val="14"/>
                <w:color w:val="auto"/>
              </w:rPr>
            </w:pPr>
          </w:p>
        </w:tc>
        <w:tc>
          <w:tcPr>
            <w:tcW w:w="44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81"/>
              </w:rPr>
              <w:t>Change</w:t>
            </w:r>
          </w:p>
        </w:tc>
        <w:tc>
          <w:tcPr>
            <w:tcW w:w="360" w:type="dxa"/>
            <w:vAlign w:val="bottom"/>
            <w:gridSpan w:val="3"/>
            <w:vMerge w:val="restart"/>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8"/>
          </w:tcPr>
          <w:p>
            <w:pPr>
              <w:ind w:left="200"/>
              <w:spacing w:after="0"/>
              <w:rPr>
                <w:sz w:val="20"/>
                <w:szCs w:val="20"/>
                <w:color w:val="auto"/>
              </w:rPr>
            </w:pPr>
            <w:r>
              <w:rPr>
                <w:rFonts w:ascii="Arial" w:cs="Arial" w:eastAsia="Arial" w:hAnsi="Arial"/>
                <w:sz w:val="14"/>
                <w:szCs w:val="14"/>
                <w:b w:val="1"/>
                <w:bCs w:val="1"/>
                <w:color w:val="auto"/>
              </w:rPr>
              <w:t>June 30,</w:t>
            </w: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1"/>
              </w:rPr>
              <w:t>Change</w:t>
            </w:r>
          </w:p>
        </w:tc>
        <w:tc>
          <w:tcPr>
            <w:tcW w:w="2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2"/>
                <w:szCs w:val="12"/>
                <w:color w:val="auto"/>
              </w:rPr>
            </w:pPr>
          </w:p>
        </w:tc>
        <w:tc>
          <w:tcPr>
            <w:tcW w:w="440" w:type="dxa"/>
            <w:vAlign w:val="bottom"/>
            <w:tcBorders>
              <w:bottom w:val="single" w:sz="8" w:color="auto"/>
            </w:tcBorders>
            <w:gridSpan w:val="4"/>
            <w:vMerge w:val="continue"/>
          </w:tcPr>
          <w:p>
            <w:pPr>
              <w:spacing w:after="0"/>
              <w:rPr>
                <w:sz w:val="12"/>
                <w:szCs w:val="12"/>
                <w:color w:val="auto"/>
              </w:rPr>
            </w:pPr>
          </w:p>
        </w:tc>
        <w:tc>
          <w:tcPr>
            <w:tcW w:w="3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2010</w:t>
            </w:r>
          </w:p>
        </w:tc>
        <w:tc>
          <w:tcPr>
            <w:tcW w:w="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volume (in millions)</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865.6</w:t>
            </w:r>
          </w:p>
        </w:tc>
        <w:tc>
          <w:tcPr>
            <w:tcW w:w="6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652.0</w:t>
            </w:r>
          </w:p>
        </w:tc>
        <w:tc>
          <w:tcPr>
            <w:tcW w:w="2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3"/>
              </w:rPr>
              <w:t>1,569.8</w:t>
            </w:r>
          </w:p>
        </w:tc>
        <w:tc>
          <w:tcPr>
            <w:tcW w:w="14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1,281.0</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Clearing and transaction fees (in millions)</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$684.2</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$536.8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gridSpan w:val="3"/>
          </w:tcPr>
          <w:p>
            <w:pPr>
              <w:jc w:val="right"/>
              <w:ind w:right="120"/>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5"/>
          </w:tcPr>
          <w:p>
            <w:pPr>
              <w:jc w:val="right"/>
              <w:spacing w:after="0"/>
              <w:rPr>
                <w:sz w:val="20"/>
                <w:szCs w:val="20"/>
                <w:color w:val="auto"/>
              </w:rPr>
            </w:pPr>
            <w:r>
              <w:rPr>
                <w:rFonts w:ascii="Arial" w:cs="Arial" w:eastAsia="Arial" w:hAnsi="Arial"/>
                <w:sz w:val="18"/>
                <w:szCs w:val="18"/>
                <w:color w:val="auto"/>
                <w:w w:val="94"/>
              </w:rPr>
              <w:t>$1,262.2</w:t>
            </w:r>
          </w:p>
        </w:tc>
        <w:tc>
          <w:tcPr>
            <w:tcW w:w="140" w:type="dxa"/>
            <w:vAlign w:val="bottom"/>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auto"/>
                <w:w w:val="96"/>
              </w:rPr>
              <w:t>$1,064.6</w:t>
            </w:r>
          </w:p>
        </w:tc>
        <w:tc>
          <w:tcPr>
            <w:tcW w:w="2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rate per contract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0.790</w:t>
            </w:r>
          </w:p>
        </w:tc>
        <w:tc>
          <w:tcPr>
            <w:tcW w:w="6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0.823</w:t>
            </w:r>
          </w:p>
        </w:tc>
        <w:tc>
          <w:tcPr>
            <w:tcW w:w="2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0.804</w:t>
            </w:r>
          </w:p>
        </w:tc>
        <w:tc>
          <w:tcPr>
            <w:tcW w:w="14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0.831</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57"/>
        </w:trPr>
        <w:tc>
          <w:tcPr>
            <w:tcW w:w="6600" w:type="dxa"/>
            <w:vAlign w:val="bottom"/>
            <w:gridSpan w:val="3"/>
          </w:tcPr>
          <w:p>
            <w:pPr>
              <w:spacing w:after="0"/>
              <w:rPr>
                <w:sz w:val="20"/>
                <w:szCs w:val="20"/>
                <w:color w:val="auto"/>
              </w:rPr>
            </w:pPr>
            <w:r>
              <w:rPr>
                <w:rFonts w:ascii="Arial" w:cs="Arial" w:eastAsia="Arial" w:hAnsi="Arial"/>
                <w:sz w:val="18"/>
                <w:szCs w:val="18"/>
                <w:i w:val="1"/>
                <w:iCs w:val="1"/>
                <w:color w:val="auto"/>
              </w:rPr>
              <w:t>Trading Volume</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600" w:type="dxa"/>
            <w:vAlign w:val="bottom"/>
            <w:gridSpan w:val="3"/>
          </w:tcPr>
          <w:p>
            <w:pPr>
              <w:spacing w:after="0"/>
              <w:rPr>
                <w:sz w:val="20"/>
                <w:szCs w:val="20"/>
                <w:color w:val="auto"/>
              </w:rPr>
            </w:pPr>
            <w:r>
              <w:rPr>
                <w:rFonts w:ascii="Arial" w:cs="Arial" w:eastAsia="Arial" w:hAnsi="Arial"/>
                <w:sz w:val="18"/>
                <w:szCs w:val="18"/>
                <w:color w:val="auto"/>
              </w:rPr>
              <w:t>The following table summarizes average daily trading volume.</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2"/>
              </w:rPr>
              <w:t>Quarter Ended</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9"/>
          </w:tcPr>
          <w:p>
            <w:pPr>
              <w:jc w:val="center"/>
              <w:ind w:right="400"/>
              <w:spacing w:after="0"/>
              <w:rPr>
                <w:sz w:val="20"/>
                <w:szCs w:val="20"/>
                <w:color w:val="auto"/>
              </w:rPr>
            </w:pPr>
            <w:r>
              <w:rPr>
                <w:rFonts w:ascii="Arial" w:cs="Arial" w:eastAsia="Arial" w:hAnsi="Arial"/>
                <w:sz w:val="14"/>
                <w:szCs w:val="14"/>
                <w:b w:val="1"/>
                <w:bCs w:val="1"/>
                <w:color w:val="auto"/>
                <w:w w:val="87"/>
              </w:rPr>
              <w:t>Six Months Ended</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6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200" w:type="dxa"/>
            <w:vAlign w:val="bottom"/>
          </w:tcPr>
          <w:p>
            <w:pPr>
              <w:spacing w:after="0"/>
              <w:rPr>
                <w:sz w:val="14"/>
                <w:szCs w:val="14"/>
                <w:color w:val="auto"/>
              </w:rPr>
            </w:pPr>
          </w:p>
        </w:tc>
        <w:tc>
          <w:tcPr>
            <w:tcW w:w="116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Change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8"/>
          </w:tcPr>
          <w:p>
            <w:pPr>
              <w:jc w:val="center"/>
              <w:ind w:right="600"/>
              <w:spacing w:after="0"/>
              <w:rPr>
                <w:sz w:val="20"/>
                <w:szCs w:val="20"/>
                <w:color w:val="auto"/>
              </w:rPr>
            </w:pPr>
            <w:r>
              <w:rPr>
                <w:rFonts w:ascii="Arial" w:cs="Arial" w:eastAsia="Arial" w:hAnsi="Arial"/>
                <w:sz w:val="14"/>
                <w:szCs w:val="14"/>
                <w:b w:val="1"/>
                <w:bCs w:val="1"/>
                <w:color w:val="auto"/>
                <w:w w:val="85"/>
              </w:rPr>
              <w:t>June 30,</w:t>
            </w: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142"/>
        </w:trPr>
        <w:tc>
          <w:tcPr>
            <w:tcW w:w="6600" w:type="dxa"/>
            <w:vAlign w:val="bottom"/>
            <w:gridSpan w:val="3"/>
            <w:vMerge w:val="continue"/>
          </w:tcPr>
          <w:p>
            <w:pPr>
              <w:spacing w:after="0"/>
              <w:rPr>
                <w:sz w:val="12"/>
                <w:szCs w:val="12"/>
                <w:color w:val="auto"/>
              </w:rPr>
            </w:pPr>
          </w:p>
        </w:tc>
        <w:tc>
          <w:tcPr>
            <w:tcW w:w="48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2010</w:t>
            </w: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Average Daily Volume by Product Line:</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Interest rate</w:t>
            </w:r>
          </w:p>
        </w:tc>
        <w:tc>
          <w:tcPr>
            <w:tcW w:w="700" w:type="dxa"/>
            <w:vAlign w:val="bottom"/>
            <w:gridSpan w:val="3"/>
          </w:tcPr>
          <w:p>
            <w:pPr>
              <w:jc w:val="right"/>
              <w:ind w:right="152"/>
              <w:spacing w:after="0"/>
              <w:rPr>
                <w:sz w:val="20"/>
                <w:szCs w:val="20"/>
                <w:color w:val="auto"/>
              </w:rPr>
            </w:pPr>
            <w:r>
              <w:rPr>
                <w:rFonts w:ascii="Arial" w:cs="Arial" w:eastAsia="Arial" w:hAnsi="Arial"/>
                <w:sz w:val="18"/>
                <w:szCs w:val="18"/>
                <w:color w:val="auto"/>
              </w:rPr>
              <w:t>6,074</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4,389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4"/>
          </w:tcPr>
          <w:p>
            <w:pPr>
              <w:jc w:val="right"/>
              <w:ind w:right="40"/>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5,608</w:t>
            </w:r>
          </w:p>
        </w:tc>
        <w:tc>
          <w:tcPr>
            <w:tcW w:w="14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4,120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w:t>
            </w:r>
          </w:p>
        </w:tc>
        <w:tc>
          <w:tcPr>
            <w:tcW w:w="70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3,455</w:t>
            </w:r>
          </w:p>
        </w:tc>
        <w:tc>
          <w:tcPr>
            <w:tcW w:w="6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2,988</w:t>
            </w:r>
          </w:p>
        </w:tc>
        <w:tc>
          <w:tcPr>
            <w:tcW w:w="2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3,143</w:t>
            </w:r>
          </w:p>
        </w:tc>
        <w:tc>
          <w:tcPr>
            <w:tcW w:w="1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3,258</w:t>
            </w: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Foreign exchange</w:t>
            </w:r>
          </w:p>
        </w:tc>
        <w:tc>
          <w:tcPr>
            <w:tcW w:w="700" w:type="dxa"/>
            <w:vAlign w:val="bottom"/>
            <w:gridSpan w:val="3"/>
          </w:tcPr>
          <w:p>
            <w:pPr>
              <w:jc w:val="right"/>
              <w:ind w:right="152"/>
              <w:spacing w:after="0"/>
              <w:rPr>
                <w:sz w:val="20"/>
                <w:szCs w:val="20"/>
                <w:color w:val="auto"/>
              </w:rPr>
            </w:pPr>
            <w:r>
              <w:rPr>
                <w:rFonts w:ascii="Arial" w:cs="Arial" w:eastAsia="Arial" w:hAnsi="Arial"/>
                <w:sz w:val="18"/>
                <w:szCs w:val="18"/>
                <w:color w:val="auto"/>
              </w:rPr>
              <w:t>1,035</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568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4"/>
          </w:tcPr>
          <w:p>
            <w:pPr>
              <w:jc w:val="right"/>
              <w:ind w:right="180"/>
              <w:spacing w:after="0"/>
              <w:rPr>
                <w:sz w:val="20"/>
                <w:szCs w:val="20"/>
                <w:color w:val="auto"/>
              </w:rPr>
            </w:pPr>
            <w:r>
              <w:rPr>
                <w:rFonts w:ascii="Arial" w:cs="Arial" w:eastAsia="Arial" w:hAnsi="Arial"/>
                <w:sz w:val="18"/>
                <w:szCs w:val="18"/>
                <w:color w:val="auto"/>
              </w:rPr>
              <w:t>82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963</w:t>
            </w:r>
          </w:p>
        </w:tc>
        <w:tc>
          <w:tcPr>
            <w:tcW w:w="14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538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Commodity</w:t>
            </w:r>
          </w:p>
        </w:tc>
        <w:tc>
          <w:tcPr>
            <w:tcW w:w="70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855</w:t>
            </w:r>
          </w:p>
        </w:tc>
        <w:tc>
          <w:tcPr>
            <w:tcW w:w="6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2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821</w:t>
            </w:r>
          </w:p>
        </w:tc>
        <w:tc>
          <w:tcPr>
            <w:tcW w:w="1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Energy</w:t>
            </w:r>
          </w:p>
        </w:tc>
        <w:tc>
          <w:tcPr>
            <w:tcW w:w="700" w:type="dxa"/>
            <w:vAlign w:val="bottom"/>
            <w:gridSpan w:val="3"/>
          </w:tcPr>
          <w:p>
            <w:pPr>
              <w:jc w:val="right"/>
              <w:ind w:right="152"/>
              <w:spacing w:after="0"/>
              <w:rPr>
                <w:sz w:val="20"/>
                <w:szCs w:val="20"/>
                <w:color w:val="auto"/>
              </w:rPr>
            </w:pPr>
            <w:r>
              <w:rPr>
                <w:rFonts w:ascii="Arial" w:cs="Arial" w:eastAsia="Arial" w:hAnsi="Arial"/>
                <w:sz w:val="18"/>
                <w:szCs w:val="18"/>
                <w:color w:val="auto"/>
              </w:rPr>
              <w:t>1,798</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1,396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4"/>
          </w:tcPr>
          <w:p>
            <w:pPr>
              <w:jc w:val="right"/>
              <w:ind w:right="180"/>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1,706</w:t>
            </w:r>
          </w:p>
        </w:tc>
        <w:tc>
          <w:tcPr>
            <w:tcW w:w="14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1,459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Metal</w:t>
            </w:r>
          </w:p>
        </w:tc>
        <w:tc>
          <w:tcPr>
            <w:tcW w:w="70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308</w:t>
            </w:r>
          </w:p>
        </w:tc>
        <w:tc>
          <w:tcPr>
            <w:tcW w:w="6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62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317</w:t>
            </w:r>
          </w:p>
        </w:tc>
        <w:tc>
          <w:tcPr>
            <w:tcW w:w="1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6600" w:type="dxa"/>
            <w:vAlign w:val="bottom"/>
            <w:gridSpan w:val="3"/>
            <w:vMerge w:val="restart"/>
          </w:tcPr>
          <w:p>
            <w:pPr>
              <w:spacing w:after="0"/>
              <w:rPr>
                <w:sz w:val="20"/>
                <w:szCs w:val="20"/>
                <w:color w:val="auto"/>
              </w:rPr>
            </w:pPr>
            <w:r>
              <w:rPr>
                <w:rFonts w:ascii="Arial" w:cs="Arial" w:eastAsia="Arial" w:hAnsi="Arial"/>
                <w:sz w:val="18"/>
                <w:szCs w:val="18"/>
                <w:color w:val="auto"/>
              </w:rPr>
              <w:t>Aggregate average daily volume</w:t>
            </w:r>
          </w:p>
        </w:tc>
        <w:tc>
          <w:tcPr>
            <w:tcW w:w="48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4"/>
            <w:vMerge w:val="restart"/>
          </w:tcPr>
          <w:p>
            <w:pPr>
              <w:jc w:val="right"/>
              <w:ind w:right="180"/>
              <w:spacing w:after="0"/>
              <w:rPr>
                <w:sz w:val="20"/>
                <w:szCs w:val="20"/>
                <w:color w:val="auto"/>
              </w:rPr>
            </w:pPr>
            <w:r>
              <w:rPr>
                <w:rFonts w:ascii="Arial" w:cs="Arial" w:eastAsia="Arial" w:hAnsi="Arial"/>
                <w:sz w:val="18"/>
                <w:szCs w:val="18"/>
                <w:color w:val="auto"/>
              </w:rPr>
              <w:t>31</w:t>
            </w: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line="20" w:lineRule="exact"/>
              <w:rPr>
                <w:sz w:val="1"/>
                <w:szCs w:val="1"/>
                <w:color w:val="auto"/>
              </w:rPr>
            </w:pPr>
          </w:p>
        </w:tc>
      </w:tr>
      <w:tr>
        <w:trPr>
          <w:trHeight w:val="221"/>
        </w:trPr>
        <w:tc>
          <w:tcPr>
            <w:tcW w:w="6600" w:type="dxa"/>
            <w:vAlign w:val="bottom"/>
            <w:gridSpan w:val="3"/>
            <w:vMerge w:val="continue"/>
          </w:tcPr>
          <w:p>
            <w:pPr>
              <w:spacing w:after="0"/>
              <w:rPr>
                <w:sz w:val="19"/>
                <w:szCs w:val="19"/>
                <w:color w:val="auto"/>
              </w:rPr>
            </w:pPr>
          </w:p>
        </w:tc>
        <w:tc>
          <w:tcPr>
            <w:tcW w:w="700" w:type="dxa"/>
            <w:vAlign w:val="bottom"/>
            <w:gridSpan w:val="3"/>
          </w:tcPr>
          <w:p>
            <w:pPr>
              <w:jc w:val="right"/>
              <w:ind w:right="152"/>
              <w:spacing w:after="0"/>
              <w:rPr>
                <w:sz w:val="20"/>
                <w:szCs w:val="20"/>
                <w:color w:val="auto"/>
              </w:rPr>
            </w:pPr>
            <w:r>
              <w:rPr>
                <w:rFonts w:ascii="Arial" w:cs="Arial" w:eastAsia="Arial" w:hAnsi="Arial"/>
                <w:sz w:val="18"/>
                <w:szCs w:val="18"/>
                <w:color w:val="auto"/>
                <w:w w:val="83"/>
              </w:rPr>
              <w:t>13,525</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10,349</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gridSpan w:val="4"/>
            <w:vMerge w:val="continue"/>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w w:val="83"/>
              </w:rPr>
              <w:t>12,558</w:t>
            </w:r>
          </w:p>
        </w:tc>
        <w:tc>
          <w:tcPr>
            <w:tcW w:w="14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90"/>
              </w:rPr>
              <w:t>10,330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400" w:type="dxa"/>
            <w:vAlign w:val="bottom"/>
          </w:tcPr>
          <w:p>
            <w:pPr>
              <w:spacing w:after="0"/>
              <w:rPr>
                <w:sz w:val="9"/>
                <w:szCs w:val="9"/>
                <w:color w:val="auto"/>
              </w:rPr>
            </w:pPr>
          </w:p>
        </w:tc>
        <w:tc>
          <w:tcPr>
            <w:tcW w:w="5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Average Daily Volume by Venue:</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Electronic</w:t>
            </w:r>
          </w:p>
        </w:tc>
        <w:tc>
          <w:tcPr>
            <w:tcW w:w="700" w:type="dxa"/>
            <w:vAlign w:val="bottom"/>
            <w:gridSpan w:val="3"/>
          </w:tcPr>
          <w:p>
            <w:pPr>
              <w:jc w:val="right"/>
              <w:ind w:right="152"/>
              <w:spacing w:after="0"/>
              <w:rPr>
                <w:sz w:val="20"/>
                <w:szCs w:val="20"/>
                <w:color w:val="auto"/>
              </w:rPr>
            </w:pPr>
            <w:r>
              <w:rPr>
                <w:rFonts w:ascii="Arial" w:cs="Arial" w:eastAsia="Arial" w:hAnsi="Arial"/>
                <w:sz w:val="18"/>
                <w:szCs w:val="18"/>
                <w:color w:val="auto"/>
                <w:w w:val="83"/>
              </w:rPr>
              <w:t>11,340</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8,266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4"/>
          </w:tcPr>
          <w:p>
            <w:pPr>
              <w:jc w:val="right"/>
              <w:ind w:right="180"/>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w w:val="83"/>
              </w:rPr>
              <w:t>10,472</w:t>
            </w:r>
          </w:p>
        </w:tc>
        <w:tc>
          <w:tcPr>
            <w:tcW w:w="14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8,245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Open outcry</w:t>
            </w:r>
          </w:p>
        </w:tc>
        <w:tc>
          <w:tcPr>
            <w:tcW w:w="70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1,539</w:t>
            </w:r>
          </w:p>
        </w:tc>
        <w:tc>
          <w:tcPr>
            <w:tcW w:w="6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1,431</w:t>
            </w:r>
          </w:p>
        </w:tc>
        <w:tc>
          <w:tcPr>
            <w:tcW w:w="2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1,431</w:t>
            </w:r>
          </w:p>
        </w:tc>
        <w:tc>
          <w:tcPr>
            <w:tcW w:w="1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Privately negotiated</w:t>
            </w:r>
          </w:p>
        </w:tc>
        <w:tc>
          <w:tcPr>
            <w:tcW w:w="700" w:type="dxa"/>
            <w:vAlign w:val="bottom"/>
            <w:gridSpan w:val="3"/>
          </w:tcPr>
          <w:p>
            <w:pPr>
              <w:jc w:val="right"/>
              <w:ind w:right="152"/>
              <w:spacing w:after="0"/>
              <w:rPr>
                <w:sz w:val="20"/>
                <w:szCs w:val="20"/>
                <w:color w:val="auto"/>
              </w:rPr>
            </w:pPr>
            <w:r>
              <w:rPr>
                <w:rFonts w:ascii="Arial" w:cs="Arial" w:eastAsia="Arial" w:hAnsi="Arial"/>
                <w:sz w:val="18"/>
                <w:szCs w:val="18"/>
                <w:color w:val="auto"/>
              </w:rPr>
              <w:t>198</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174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4"/>
          </w:tcPr>
          <w:p>
            <w:pPr>
              <w:jc w:val="right"/>
              <w:ind w:right="180"/>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194</w:t>
            </w:r>
          </w:p>
        </w:tc>
        <w:tc>
          <w:tcPr>
            <w:tcW w:w="14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169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0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tcBorders>
              <w:righ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exchange-traded volume</w:t>
            </w:r>
          </w:p>
        </w:tc>
        <w:tc>
          <w:tcPr>
            <w:tcW w:w="70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w w:val="83"/>
              </w:rPr>
              <w:t>13,077</w:t>
            </w:r>
          </w:p>
        </w:tc>
        <w:tc>
          <w:tcPr>
            <w:tcW w:w="6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9,871</w:t>
            </w:r>
          </w:p>
        </w:tc>
        <w:tc>
          <w:tcPr>
            <w:tcW w:w="2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3"/>
              </w:rPr>
              <w:t>12,097</w:t>
            </w:r>
          </w:p>
        </w:tc>
        <w:tc>
          <w:tcPr>
            <w:tcW w:w="1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9,799</w:t>
            </w: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Total CME ClearPort</w:t>
            </w:r>
          </w:p>
        </w:tc>
        <w:tc>
          <w:tcPr>
            <w:tcW w:w="700" w:type="dxa"/>
            <w:vAlign w:val="bottom"/>
            <w:gridSpan w:val="3"/>
          </w:tcPr>
          <w:p>
            <w:pPr>
              <w:jc w:val="right"/>
              <w:ind w:right="152"/>
              <w:spacing w:after="0"/>
              <w:rPr>
                <w:sz w:val="20"/>
                <w:szCs w:val="20"/>
                <w:color w:val="auto"/>
              </w:rPr>
            </w:pPr>
            <w:r>
              <w:rPr>
                <w:rFonts w:ascii="Arial" w:cs="Arial" w:eastAsia="Arial" w:hAnsi="Arial"/>
                <w:sz w:val="18"/>
                <w:szCs w:val="18"/>
                <w:color w:val="auto"/>
              </w:rPr>
              <w:t>448</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478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4"/>
          </w:tcPr>
          <w:p>
            <w:pPr>
              <w:jc w:val="right"/>
              <w:ind w:right="12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461</w:t>
            </w:r>
          </w:p>
        </w:tc>
        <w:tc>
          <w:tcPr>
            <w:tcW w:w="14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531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0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tcBorders>
              <w:righ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Aggregate average daily volume</w:t>
            </w:r>
          </w:p>
        </w:tc>
        <w:tc>
          <w:tcPr>
            <w:tcW w:w="70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w w:val="83"/>
              </w:rPr>
              <w:t>13,525</w:t>
            </w:r>
          </w:p>
        </w:tc>
        <w:tc>
          <w:tcPr>
            <w:tcW w:w="6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10,349</w:t>
            </w:r>
          </w:p>
        </w:tc>
        <w:tc>
          <w:tcPr>
            <w:tcW w:w="2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3"/>
              </w:rPr>
              <w:t>12,558</w:t>
            </w:r>
          </w:p>
        </w:tc>
        <w:tc>
          <w:tcPr>
            <w:tcW w:w="1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10,330</w:t>
            </w: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22"/>
        </w:trPr>
        <w:tc>
          <w:tcPr>
            <w:tcW w:w="6600" w:type="dxa"/>
            <w:vAlign w:val="bottom"/>
            <w:gridSpan w:val="3"/>
          </w:tcPr>
          <w:p>
            <w:pPr>
              <w:spacing w:after="0"/>
              <w:rPr>
                <w:sz w:val="20"/>
                <w:szCs w:val="20"/>
                <w:color w:val="auto"/>
              </w:rPr>
            </w:pPr>
            <w:r>
              <w:rPr>
                <w:rFonts w:ascii="Arial" w:cs="Arial" w:eastAsia="Arial" w:hAnsi="Arial"/>
                <w:sz w:val="18"/>
                <w:szCs w:val="18"/>
                <w:color w:val="auto"/>
              </w:rPr>
              <w:t>Electronic Volume as a Percentage of Total Volume</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84%</w:t>
            </w:r>
          </w:p>
        </w:tc>
        <w:tc>
          <w:tcPr>
            <w:tcW w:w="940" w:type="dxa"/>
            <w:vAlign w:val="bottom"/>
            <w:gridSpan w:val="4"/>
          </w:tcPr>
          <w:p>
            <w:pPr>
              <w:jc w:val="right"/>
              <w:ind w:right="55"/>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24"/>
                <w:szCs w:val="24"/>
                <w:color w:val="auto"/>
              </w:rPr>
            </w:pPr>
          </w:p>
        </w:tc>
        <w:tc>
          <w:tcPr>
            <w:tcW w:w="720" w:type="dxa"/>
            <w:vAlign w:val="bottom"/>
            <w:gridSpan w:val="4"/>
          </w:tcPr>
          <w:p>
            <w:pPr>
              <w:jc w:val="right"/>
              <w:ind w:right="60"/>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600" w:type="dxa"/>
            <w:vAlign w:val="bottom"/>
            <w:gridSpan w:val="3"/>
          </w:tcPr>
          <w:p>
            <w:pPr>
              <w:spacing w:after="0"/>
              <w:rPr>
                <w:sz w:val="20"/>
                <w:szCs w:val="20"/>
                <w:color w:val="auto"/>
              </w:rPr>
            </w:pPr>
            <w:r>
              <w:rPr>
                <w:rFonts w:ascii="Arial" w:cs="Arial" w:eastAsia="Arial" w:hAnsi="Arial"/>
                <w:sz w:val="18"/>
                <w:szCs w:val="18"/>
                <w:i w:val="1"/>
                <w:iCs w:val="1"/>
                <w:color w:val="auto"/>
              </w:rPr>
              <w:t>Interest Rate Products</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600" w:type="dxa"/>
            <w:vAlign w:val="bottom"/>
            <w:gridSpan w:val="3"/>
          </w:tcPr>
          <w:p>
            <w:pPr>
              <w:spacing w:after="0"/>
              <w:rPr>
                <w:sz w:val="20"/>
                <w:szCs w:val="20"/>
                <w:color w:val="auto"/>
              </w:rPr>
            </w:pPr>
            <w:r>
              <w:rPr>
                <w:rFonts w:ascii="Arial" w:cs="Arial" w:eastAsia="Arial" w:hAnsi="Arial"/>
                <w:sz w:val="18"/>
                <w:szCs w:val="18"/>
                <w:color w:val="auto"/>
                <w:w w:val="94"/>
              </w:rPr>
              <w:t>The following table summarizes average daily volume for our key interest rate products.</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6"/>
          </w:tcPr>
          <w:p>
            <w:pPr>
              <w:ind w:left="80"/>
              <w:spacing w:after="0"/>
              <w:rPr>
                <w:sz w:val="20"/>
                <w:szCs w:val="20"/>
                <w:color w:val="auto"/>
              </w:rPr>
            </w:pPr>
            <w:r>
              <w:rPr>
                <w:rFonts w:ascii="Arial" w:cs="Arial" w:eastAsia="Arial" w:hAnsi="Arial"/>
                <w:sz w:val="14"/>
                <w:szCs w:val="14"/>
                <w:b w:val="1"/>
                <w:bCs w:val="1"/>
                <w:color w:val="auto"/>
                <w:w w:val="98"/>
              </w:rPr>
              <w:t>Quarter Ended</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87"/>
              </w:rPr>
              <w:t>Six Months Ended</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6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5"/>
          </w:tcPr>
          <w:p>
            <w:pPr>
              <w:ind w:left="6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5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w w:val="93"/>
              </w:rPr>
              <w:t>Change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gridSpan w:val="6"/>
          </w:tcPr>
          <w:p>
            <w:pPr>
              <w:jc w:val="center"/>
              <w:ind w:right="540"/>
              <w:spacing w:after="0"/>
              <w:rPr>
                <w:sz w:val="20"/>
                <w:szCs w:val="20"/>
                <w:color w:val="auto"/>
              </w:rPr>
            </w:pPr>
            <w:r>
              <w:rPr>
                <w:rFonts w:ascii="Arial" w:cs="Arial" w:eastAsia="Arial" w:hAnsi="Arial"/>
                <w:sz w:val="14"/>
                <w:szCs w:val="14"/>
                <w:b w:val="1"/>
                <w:bCs w:val="1"/>
                <w:color w:val="auto"/>
                <w:w w:val="85"/>
              </w:rPr>
              <w:t>June 30,</w:t>
            </w: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142"/>
        </w:trPr>
        <w:tc>
          <w:tcPr>
            <w:tcW w:w="660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2009</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Borders>
              <w:top w:val="single" w:sz="8" w:color="auto"/>
            </w:tcBorders>
            <w:gridSpan w:val="3"/>
          </w:tcPr>
          <w:p>
            <w:pPr>
              <w:jc w:val="right"/>
              <w:ind w:right="32"/>
              <w:spacing w:after="0" w:line="142" w:lineRule="exact"/>
              <w:rPr>
                <w:sz w:val="20"/>
                <w:szCs w:val="20"/>
                <w:color w:val="auto"/>
              </w:rPr>
            </w:pPr>
            <w:r>
              <w:rPr>
                <w:rFonts w:ascii="Arial" w:cs="Arial" w:eastAsia="Arial" w:hAnsi="Arial"/>
                <w:sz w:val="14"/>
                <w:szCs w:val="14"/>
                <w:b w:val="1"/>
                <w:bCs w:val="1"/>
                <w:color w:val="auto"/>
              </w:rPr>
              <w:t>2010</w:t>
            </w:r>
          </w:p>
        </w:tc>
        <w:tc>
          <w:tcPr>
            <w:tcW w:w="720" w:type="dxa"/>
            <w:vAlign w:val="bottom"/>
            <w:tcBorders>
              <w:top w:val="single" w:sz="8" w:color="auto"/>
            </w:tcBorders>
            <w:gridSpan w:val="4"/>
          </w:tcPr>
          <w:p>
            <w:pPr>
              <w:jc w:val="right"/>
              <w:ind w:right="120"/>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w w:val="97"/>
              </w:rPr>
              <w:t>Eurodollar futures</w:t>
            </w:r>
          </w:p>
        </w:tc>
        <w:tc>
          <w:tcPr>
            <w:tcW w:w="5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2,296</w:t>
            </w:r>
          </w:p>
        </w:tc>
        <w:tc>
          <w:tcPr>
            <w:tcW w:w="260" w:type="dxa"/>
            <w:vAlign w:val="bottom"/>
            <w:tcBorders>
              <w:right w:val="single" w:sz="8" w:color="CCEEFF"/>
            </w:tcBorders>
            <w:shd w:val="clear" w:color="auto" w:fill="CCEEFF"/>
          </w:tcPr>
          <w:p>
            <w:pPr>
              <w:spacing w:after="0"/>
              <w:rPr>
                <w:sz w:val="18"/>
                <w:szCs w:val="18"/>
                <w:color w:val="auto"/>
              </w:rPr>
            </w:pPr>
          </w:p>
        </w:tc>
        <w:tc>
          <w:tcPr>
            <w:tcW w:w="3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75"/>
              </w:rPr>
              <w:t>1,832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6"/>
            <w:shd w:val="clear" w:color="auto" w:fill="CCEEFF"/>
          </w:tcPr>
          <w:p>
            <w:pPr>
              <w:ind w:left="280"/>
              <w:spacing w:after="0"/>
              <w:rPr>
                <w:sz w:val="20"/>
                <w:szCs w:val="20"/>
                <w:color w:val="auto"/>
              </w:rPr>
            </w:pPr>
            <w:r>
              <w:rPr>
                <w:rFonts w:ascii="Arial" w:cs="Arial" w:eastAsia="Arial" w:hAnsi="Arial"/>
                <w:sz w:val="18"/>
                <w:szCs w:val="18"/>
                <w:color w:val="auto"/>
              </w:rPr>
              <w:t>25%</w:t>
            </w: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92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1,705</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Eurodollar options</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877</w:t>
            </w:r>
          </w:p>
        </w:tc>
        <w:tc>
          <w:tcPr>
            <w:tcW w:w="26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710</w:t>
            </w:r>
          </w:p>
        </w:tc>
        <w:tc>
          <w:tcPr>
            <w:tcW w:w="40" w:type="dxa"/>
            <w:vAlign w:val="bottom"/>
          </w:tcPr>
          <w:p>
            <w:pPr>
              <w:spacing w:after="0"/>
              <w:rPr>
                <w:sz w:val="18"/>
                <w:szCs w:val="18"/>
                <w:color w:val="auto"/>
              </w:rPr>
            </w:pPr>
          </w:p>
        </w:tc>
        <w:tc>
          <w:tcPr>
            <w:tcW w:w="680" w:type="dxa"/>
            <w:vAlign w:val="bottom"/>
            <w:gridSpan w:val="5"/>
          </w:tcPr>
          <w:p>
            <w:pPr>
              <w:ind w:left="440"/>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778</w:t>
            </w:r>
          </w:p>
        </w:tc>
        <w:tc>
          <w:tcPr>
            <w:tcW w:w="920" w:type="dxa"/>
            <w:vAlign w:val="bottom"/>
            <w:gridSpan w:val="5"/>
          </w:tcPr>
          <w:p>
            <w:pPr>
              <w:jc w:val="right"/>
              <w:ind w:right="220"/>
              <w:spacing w:after="0"/>
              <w:rPr>
                <w:sz w:val="20"/>
                <w:szCs w:val="20"/>
                <w:color w:val="auto"/>
              </w:rPr>
            </w:pPr>
            <w:r>
              <w:rPr>
                <w:rFonts w:ascii="Arial" w:cs="Arial" w:eastAsia="Arial" w:hAnsi="Arial"/>
                <w:sz w:val="18"/>
                <w:szCs w:val="18"/>
                <w:color w:val="auto"/>
              </w:rPr>
              <w:t>661</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futures and options:</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ind w:left="420"/>
              <w:spacing w:after="0"/>
              <w:rPr>
                <w:sz w:val="20"/>
                <w:szCs w:val="20"/>
                <w:color w:val="auto"/>
              </w:rPr>
            </w:pPr>
            <w:r>
              <w:rPr>
                <w:rFonts w:ascii="Arial" w:cs="Arial" w:eastAsia="Arial" w:hAnsi="Arial"/>
                <w:sz w:val="18"/>
                <w:szCs w:val="18"/>
                <w:color w:val="auto"/>
              </w:rPr>
              <w:t>10-Year</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1,464</w:t>
            </w:r>
          </w:p>
        </w:tc>
        <w:tc>
          <w:tcPr>
            <w:tcW w:w="26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922</w:t>
            </w:r>
          </w:p>
        </w:tc>
        <w:tc>
          <w:tcPr>
            <w:tcW w:w="40" w:type="dxa"/>
            <w:vAlign w:val="bottom"/>
          </w:tcPr>
          <w:p>
            <w:pPr>
              <w:spacing w:after="0"/>
              <w:rPr>
                <w:sz w:val="18"/>
                <w:szCs w:val="18"/>
                <w:color w:val="auto"/>
              </w:rPr>
            </w:pPr>
          </w:p>
        </w:tc>
        <w:tc>
          <w:tcPr>
            <w:tcW w:w="680" w:type="dxa"/>
            <w:vAlign w:val="bottom"/>
            <w:gridSpan w:val="5"/>
          </w:tcPr>
          <w:p>
            <w:pPr>
              <w:ind w:left="440"/>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1,319</w:t>
            </w:r>
          </w:p>
        </w:tc>
        <w:tc>
          <w:tcPr>
            <w:tcW w:w="920" w:type="dxa"/>
            <w:vAlign w:val="bottom"/>
            <w:gridSpan w:val="5"/>
          </w:tcPr>
          <w:p>
            <w:pPr>
              <w:jc w:val="right"/>
              <w:ind w:right="220"/>
              <w:spacing w:after="0"/>
              <w:rPr>
                <w:sz w:val="20"/>
                <w:szCs w:val="20"/>
                <w:color w:val="auto"/>
              </w:rPr>
            </w:pPr>
            <w:r>
              <w:rPr>
                <w:rFonts w:ascii="Arial" w:cs="Arial" w:eastAsia="Arial" w:hAnsi="Arial"/>
                <w:sz w:val="18"/>
                <w:szCs w:val="18"/>
                <w:color w:val="auto"/>
              </w:rPr>
              <w:t>870</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5-Year</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260" w:type="dxa"/>
            <w:vAlign w:val="bottom"/>
            <w:tcBorders>
              <w:right w:val="single" w:sz="8" w:color="CCEEFF"/>
            </w:tcBorders>
            <w:shd w:val="clear" w:color="auto" w:fill="CCEEFF"/>
          </w:tcPr>
          <w:p>
            <w:pPr>
              <w:spacing w:after="0"/>
              <w:rPr>
                <w:sz w:val="18"/>
                <w:szCs w:val="18"/>
                <w:color w:val="auto"/>
              </w:rPr>
            </w:pPr>
          </w:p>
        </w:tc>
        <w:tc>
          <w:tcPr>
            <w:tcW w:w="3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40" w:type="dxa"/>
            <w:vAlign w:val="bottom"/>
            <w:shd w:val="clear" w:color="auto" w:fill="CCEEFF"/>
          </w:tcPr>
          <w:p>
            <w:pPr>
              <w:spacing w:after="0"/>
              <w:rPr>
                <w:sz w:val="18"/>
                <w:szCs w:val="18"/>
                <w:color w:val="auto"/>
              </w:rPr>
            </w:pPr>
          </w:p>
        </w:tc>
        <w:tc>
          <w:tcPr>
            <w:tcW w:w="680" w:type="dxa"/>
            <w:vAlign w:val="bottom"/>
            <w:gridSpan w:val="5"/>
            <w:shd w:val="clear" w:color="auto" w:fill="CCEEFF"/>
          </w:tcPr>
          <w:p>
            <w:pPr>
              <w:ind w:left="440"/>
              <w:spacing w:after="0"/>
              <w:rPr>
                <w:sz w:val="20"/>
                <w:szCs w:val="20"/>
                <w:color w:val="auto"/>
              </w:rPr>
            </w:pPr>
            <w:r>
              <w:rPr>
                <w:rFonts w:ascii="Arial" w:cs="Arial" w:eastAsia="Arial" w:hAnsi="Arial"/>
                <w:sz w:val="18"/>
                <w:szCs w:val="18"/>
                <w:color w:val="auto"/>
              </w:rPr>
              <w:t>44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92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378</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ind w:left="420"/>
              <w:spacing w:after="0"/>
              <w:rPr>
                <w:sz w:val="20"/>
                <w:szCs w:val="20"/>
                <w:color w:val="auto"/>
              </w:rPr>
            </w:pPr>
            <w:r>
              <w:rPr>
                <w:rFonts w:ascii="Arial" w:cs="Arial" w:eastAsia="Arial" w:hAnsi="Arial"/>
                <w:sz w:val="18"/>
                <w:szCs w:val="18"/>
                <w:color w:val="auto"/>
              </w:rPr>
              <w:t>30-Year</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406</w:t>
            </w:r>
          </w:p>
        </w:tc>
        <w:tc>
          <w:tcPr>
            <w:tcW w:w="26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278</w:t>
            </w:r>
          </w:p>
        </w:tc>
        <w:tc>
          <w:tcPr>
            <w:tcW w:w="40" w:type="dxa"/>
            <w:vAlign w:val="bottom"/>
          </w:tcPr>
          <w:p>
            <w:pPr>
              <w:spacing w:after="0"/>
              <w:rPr>
                <w:sz w:val="18"/>
                <w:szCs w:val="18"/>
                <w:color w:val="auto"/>
              </w:rPr>
            </w:pPr>
          </w:p>
        </w:tc>
        <w:tc>
          <w:tcPr>
            <w:tcW w:w="680" w:type="dxa"/>
            <w:vAlign w:val="bottom"/>
            <w:gridSpan w:val="5"/>
          </w:tcPr>
          <w:p>
            <w:pPr>
              <w:ind w:left="440"/>
              <w:spacing w:after="0"/>
              <w:rPr>
                <w:sz w:val="20"/>
                <w:szCs w:val="20"/>
                <w:color w:val="auto"/>
              </w:rPr>
            </w:pPr>
            <w:r>
              <w:rPr>
                <w:rFonts w:ascii="Arial" w:cs="Arial" w:eastAsia="Arial" w:hAnsi="Arial"/>
                <w:sz w:val="18"/>
                <w:szCs w:val="18"/>
                <w:color w:val="auto"/>
              </w:rPr>
              <w:t>46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377</w:t>
            </w:r>
          </w:p>
        </w:tc>
        <w:tc>
          <w:tcPr>
            <w:tcW w:w="920" w:type="dxa"/>
            <w:vAlign w:val="bottom"/>
            <w:gridSpan w:val="5"/>
          </w:tcPr>
          <w:p>
            <w:pPr>
              <w:jc w:val="right"/>
              <w:ind w:right="220"/>
              <w:spacing w:after="0"/>
              <w:rPr>
                <w:sz w:val="20"/>
                <w:szCs w:val="20"/>
                <w:color w:val="auto"/>
              </w:rPr>
            </w:pPr>
            <w:r>
              <w:rPr>
                <w:rFonts w:ascii="Arial" w:cs="Arial" w:eastAsia="Arial" w:hAnsi="Arial"/>
                <w:sz w:val="18"/>
                <w:szCs w:val="18"/>
                <w:color w:val="auto"/>
              </w:rPr>
              <w:t>281</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2-Year</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260" w:type="dxa"/>
            <w:vAlign w:val="bottom"/>
            <w:tcBorders>
              <w:right w:val="single" w:sz="8" w:color="CCEEFF"/>
            </w:tcBorders>
            <w:shd w:val="clear" w:color="auto" w:fill="CCEEFF"/>
          </w:tcPr>
          <w:p>
            <w:pPr>
              <w:spacing w:after="0"/>
              <w:rPr>
                <w:sz w:val="18"/>
                <w:szCs w:val="18"/>
                <w:color w:val="auto"/>
              </w:rPr>
            </w:pPr>
          </w:p>
        </w:tc>
        <w:tc>
          <w:tcPr>
            <w:tcW w:w="3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40" w:type="dxa"/>
            <w:vAlign w:val="bottom"/>
            <w:shd w:val="clear" w:color="auto" w:fill="CCEEFF"/>
          </w:tcPr>
          <w:p>
            <w:pPr>
              <w:spacing w:after="0"/>
              <w:rPr>
                <w:sz w:val="18"/>
                <w:szCs w:val="18"/>
                <w:color w:val="auto"/>
              </w:rPr>
            </w:pPr>
          </w:p>
        </w:tc>
        <w:tc>
          <w:tcPr>
            <w:tcW w:w="680" w:type="dxa"/>
            <w:vAlign w:val="bottom"/>
            <w:gridSpan w:val="5"/>
            <w:shd w:val="clear" w:color="auto" w:fill="CCEEFF"/>
          </w:tcPr>
          <w:p>
            <w:pPr>
              <w:ind w:left="440"/>
              <w:spacing w:after="0"/>
              <w:rPr>
                <w:sz w:val="20"/>
                <w:szCs w:val="20"/>
                <w:color w:val="auto"/>
              </w:rPr>
            </w:pPr>
            <w:r>
              <w:rPr>
                <w:rFonts w:ascii="Arial" w:cs="Arial" w:eastAsia="Arial" w:hAnsi="Arial"/>
                <w:sz w:val="18"/>
                <w:szCs w:val="18"/>
                <w:color w:val="auto"/>
              </w:rPr>
              <w:t>87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92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159</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363"/>
        </w:trPr>
        <w:tc>
          <w:tcPr>
            <w:tcW w:w="6600" w:type="dxa"/>
            <w:vAlign w:val="bottom"/>
            <w:gridSpan w:val="3"/>
          </w:tcPr>
          <w:p>
            <w:pPr>
              <w:ind w:left="562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The increase in interest rate product volume in the second quarter and first six months of 2010 compared with the same periods in 2009 was attributable to the overall improvement in the economic environment in 2010 following the credit crisis. The improving macroeconomic conditions led to changing expectations of U.S. Treasury rates as well as increased market participants’ use of these products, which contributed to an increase in volume.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Products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equity products.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Quarter Ended</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8"/>
              </w:rPr>
              <w:t>Six Months Ended</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1040" w:type="dxa"/>
            <w:vAlign w:val="bottom"/>
            <w:gridSpan w:val="3"/>
          </w:tcPr>
          <w:p>
            <w:pPr>
              <w:jc w:val="right"/>
              <w:ind w:right="199"/>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Change</w:t>
            </w:r>
          </w:p>
        </w:tc>
        <w:tc>
          <w:tcPr>
            <w:tcW w:w="14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5"/>
              </w:rPr>
              <w:t>June 30,</w:t>
            </w:r>
          </w:p>
        </w:tc>
        <w:tc>
          <w:tcPr>
            <w:tcW w:w="7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142"/>
        </w:trPr>
        <w:tc>
          <w:tcPr>
            <w:tcW w:w="7240" w:type="dxa"/>
            <w:vAlign w:val="bottom"/>
            <w:gridSpan w:val="3"/>
            <w:vMerge w:val="continue"/>
          </w:tcPr>
          <w:p>
            <w:pPr>
              <w:spacing w:after="0"/>
              <w:rPr>
                <w:sz w:val="12"/>
                <w:szCs w:val="12"/>
                <w:color w:val="auto"/>
              </w:rPr>
            </w:pPr>
          </w:p>
        </w:tc>
        <w:tc>
          <w:tcPr>
            <w:tcW w:w="420" w:type="dxa"/>
            <w:vAlign w:val="bottom"/>
            <w:tcBorders>
              <w:top w:val="single" w:sz="8" w:color="auto"/>
            </w:tcBorders>
          </w:tcPr>
          <w:p>
            <w:pPr>
              <w:jc w:val="right"/>
              <w:ind w:right="4"/>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500" w:type="dxa"/>
            <w:vAlign w:val="bottom"/>
            <w:tcBorders>
              <w:top w:val="single" w:sz="8" w:color="auto"/>
            </w:tcBorders>
          </w:tcPr>
          <w:p>
            <w:pPr>
              <w:jc w:val="right"/>
              <w:ind w:right="44"/>
              <w:spacing w:after="0" w:line="142" w:lineRule="exact"/>
              <w:rPr>
                <w:sz w:val="20"/>
                <w:szCs w:val="20"/>
                <w:color w:val="auto"/>
              </w:rPr>
            </w:pPr>
            <w:r>
              <w:rPr>
                <w:rFonts w:ascii="Arial" w:cs="Arial" w:eastAsia="Arial" w:hAnsi="Arial"/>
                <w:sz w:val="14"/>
                <w:szCs w:val="14"/>
                <w:b w:val="1"/>
                <w:bCs w:val="1"/>
                <w:color w:val="auto"/>
              </w:rPr>
              <w:t>2010</w:t>
            </w:r>
          </w:p>
        </w:tc>
        <w:tc>
          <w:tcPr>
            <w:tcW w:w="70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E-mini S&amp;P futures and options</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2,758</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2,363</w:t>
            </w:r>
          </w:p>
        </w:tc>
        <w:tc>
          <w:tcPr>
            <w:tcW w:w="104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17%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2,566</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E-mini NASDAQ futures and options</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356</w:t>
            </w:r>
          </w:p>
        </w:tc>
        <w:tc>
          <w:tcPr>
            <w:tcW w:w="420" w:type="dxa"/>
            <w:vAlign w:val="bottom"/>
          </w:tcPr>
          <w:p>
            <w:pPr>
              <w:jc w:val="right"/>
              <w:spacing w:after="0"/>
              <w:rPr>
                <w:sz w:val="20"/>
                <w:szCs w:val="20"/>
                <w:color w:val="auto"/>
              </w:rPr>
            </w:pPr>
            <w:r>
              <w:rPr>
                <w:rFonts w:ascii="Arial" w:cs="Arial" w:eastAsia="Arial" w:hAnsi="Arial"/>
                <w:sz w:val="18"/>
                <w:szCs w:val="18"/>
                <w:color w:val="auto"/>
              </w:rPr>
              <w:t>309</w:t>
            </w:r>
          </w:p>
        </w:tc>
        <w:tc>
          <w:tcPr>
            <w:tcW w:w="640" w:type="dxa"/>
            <w:vAlign w:val="bottom"/>
            <w:gridSpan w:val="2"/>
          </w:tcPr>
          <w:p>
            <w:pPr>
              <w:ind w:left="460"/>
              <w:spacing w:after="0"/>
              <w:rPr>
                <w:sz w:val="20"/>
                <w:szCs w:val="20"/>
                <w:color w:val="auto"/>
              </w:rPr>
            </w:pPr>
            <w:r>
              <w:rPr>
                <w:rFonts w:ascii="Arial" w:cs="Arial" w:eastAsia="Arial" w:hAnsi="Arial"/>
                <w:sz w:val="18"/>
                <w:szCs w:val="18"/>
                <w:color w:val="auto"/>
                <w:w w:val="79"/>
              </w:rPr>
              <w:t>15</w:t>
            </w:r>
          </w:p>
        </w:tc>
        <w:tc>
          <w:tcPr>
            <w:tcW w:w="4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338</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329</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decrease in equity product volume for the first six months of 2010 was due primarily to decreased volatility in the first quarter of 2010 when compared with the same period of 2009, which we believe is due to a generally improved economic outlook. Volatility within the equity markets increased during May 2010, which we believe was attributable to the sovereign debt crisis in Europe. This increase in volatility contributed to an increase in volume in the second quarter of 2010 when compared with the same period in 2009.</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Products</w:t>
      </w:r>
    </w:p>
    <w:p>
      <w:pPr>
        <w:spacing w:after="0" w:line="90" w:lineRule="exact"/>
        <w:rPr>
          <w:sz w:val="20"/>
          <w:szCs w:val="20"/>
          <w:color w:val="auto"/>
        </w:rPr>
      </w:pPr>
    </w:p>
    <w:p>
      <w:pPr>
        <w:ind w:right="460"/>
        <w:spacing w:after="0" w:line="306" w:lineRule="auto"/>
        <w:rPr>
          <w:sz w:val="20"/>
          <w:szCs w:val="20"/>
          <w:color w:val="auto"/>
        </w:rPr>
      </w:pPr>
      <w:r>
        <w:rPr>
          <w:rFonts w:ascii="Arial" w:cs="Arial" w:eastAsia="Arial" w:hAnsi="Arial"/>
          <w:sz w:val="16"/>
          <w:szCs w:val="16"/>
          <w:color w:val="auto"/>
        </w:rPr>
        <w:t>We believe that the increase in volume is due to a divergence between the interest rate policy in the United States and other global markets, as well as the sovereign debt crisis in Europe. The increase in volume was primarily attributable to the increase in euro products, which increased by 108% and 87% to an average of 0.4 million per day in the second quarter and first six months of 2010,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Products</w:t>
      </w:r>
    </w:p>
    <w:p>
      <w:pPr>
        <w:spacing w:after="0" w:line="90" w:lineRule="exact"/>
        <w:rPr>
          <w:sz w:val="20"/>
          <w:szCs w:val="20"/>
          <w:color w:val="auto"/>
        </w:rPr>
      </w:pPr>
    </w:p>
    <w:p>
      <w:pPr>
        <w:ind w:right="320"/>
        <w:spacing w:after="0" w:line="370" w:lineRule="auto"/>
        <w:rPr>
          <w:sz w:val="20"/>
          <w:szCs w:val="20"/>
          <w:color w:val="auto"/>
        </w:rPr>
      </w:pPr>
      <w:r>
        <w:rPr>
          <w:rFonts w:ascii="Arial" w:cs="Arial" w:eastAsia="Arial" w:hAnsi="Arial"/>
          <w:sz w:val="15"/>
          <w:szCs w:val="15"/>
          <w:color w:val="auto"/>
        </w:rPr>
        <w:t>We believe that the increase in average daily volume for commodities products in the second quarter of 2010 and the first six months of 2010 when compared with the same periods in 2009 was attributable to the broader use of commodities as an asset class as well as changes in global supply and demand.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 Products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energy products.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000" w:type="dxa"/>
            <w:vAlign w:val="bottom"/>
            <w:gridSpan w:val="3"/>
          </w:tcPr>
          <w:p>
            <w:pPr>
              <w:ind w:left="60"/>
              <w:spacing w:after="0"/>
              <w:rPr>
                <w:sz w:val="20"/>
                <w:szCs w:val="20"/>
                <w:color w:val="auto"/>
              </w:rPr>
            </w:pPr>
            <w:r>
              <w:rPr>
                <w:rFonts w:ascii="Arial" w:cs="Arial" w:eastAsia="Arial" w:hAnsi="Arial"/>
                <w:sz w:val="14"/>
                <w:szCs w:val="14"/>
                <w:b w:val="1"/>
                <w:bCs w:val="1"/>
                <w:color w:val="auto"/>
                <w:w w:val="94"/>
              </w:rPr>
              <w:t>Quarter Ended</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0"/>
              </w:rPr>
              <w:t>Six Months Ended</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1000" w:type="dxa"/>
            <w:vAlign w:val="bottom"/>
            <w:gridSpan w:val="3"/>
          </w:tcPr>
          <w:p>
            <w:pPr>
              <w:jc w:val="right"/>
              <w:ind w:right="179"/>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8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81"/>
              </w:rPr>
              <w:t>Change</w:t>
            </w:r>
          </w:p>
        </w:tc>
        <w:tc>
          <w:tcPr>
            <w:tcW w:w="138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June 30,</w:t>
            </w: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142"/>
        </w:trPr>
        <w:tc>
          <w:tcPr>
            <w:tcW w:w="7360" w:type="dxa"/>
            <w:vAlign w:val="bottom"/>
            <w:gridSpan w:val="3"/>
            <w:vMerge w:val="continue"/>
          </w:tcPr>
          <w:p>
            <w:pPr>
              <w:spacing w:after="0"/>
              <w:rPr>
                <w:sz w:val="12"/>
                <w:szCs w:val="12"/>
                <w:color w:val="auto"/>
              </w:rPr>
            </w:pPr>
          </w:p>
        </w:tc>
        <w:tc>
          <w:tcPr>
            <w:tcW w:w="38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6"/>
              </w:rPr>
              <w:t>2010</w:t>
            </w:r>
          </w:p>
        </w:tc>
        <w:tc>
          <w:tcPr>
            <w:tcW w:w="2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480" w:type="dxa"/>
            <w:vAlign w:val="bottom"/>
            <w:tcBorders>
              <w:top w:val="single" w:sz="8" w:color="auto"/>
            </w:tcBorders>
          </w:tcPr>
          <w:p>
            <w:pPr>
              <w:jc w:val="right"/>
              <w:ind w:right="24"/>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Crude oil futures and options</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983</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50%</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888</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Natural gas futures and options</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480</w:t>
            </w:r>
          </w:p>
        </w:tc>
        <w:tc>
          <w:tcPr>
            <w:tcW w:w="420" w:type="dxa"/>
            <w:vAlign w:val="bottom"/>
          </w:tcPr>
          <w:p>
            <w:pPr>
              <w:jc w:val="right"/>
              <w:spacing w:after="0"/>
              <w:rPr>
                <w:sz w:val="20"/>
                <w:szCs w:val="20"/>
                <w:color w:val="auto"/>
              </w:rPr>
            </w:pPr>
            <w:r>
              <w:rPr>
                <w:rFonts w:ascii="Arial" w:cs="Arial" w:eastAsia="Arial" w:hAnsi="Arial"/>
                <w:sz w:val="18"/>
                <w:szCs w:val="18"/>
                <w:color w:val="auto"/>
              </w:rPr>
              <w:t>438</w:t>
            </w:r>
          </w:p>
        </w:tc>
        <w:tc>
          <w:tcPr>
            <w:tcW w:w="1040" w:type="dxa"/>
            <w:vAlign w:val="bottom"/>
            <w:gridSpan w:val="3"/>
          </w:tcPr>
          <w:p>
            <w:pPr>
              <w:jc w:val="right"/>
              <w:ind w:right="400"/>
              <w:spacing w:after="0"/>
              <w:rPr>
                <w:sz w:val="20"/>
                <w:szCs w:val="20"/>
                <w:color w:val="auto"/>
              </w:rPr>
            </w:pPr>
            <w:r>
              <w:rPr>
                <w:rFonts w:ascii="Arial" w:cs="Arial" w:eastAsia="Arial" w:hAnsi="Arial"/>
                <w:sz w:val="18"/>
                <w:szCs w:val="18"/>
                <w:color w:val="auto"/>
              </w:rPr>
              <w:t>9</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482</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468</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right="100"/>
        <w:spacing w:after="0" w:line="335" w:lineRule="auto"/>
        <w:rPr>
          <w:sz w:val="20"/>
          <w:szCs w:val="20"/>
          <w:color w:val="auto"/>
        </w:rPr>
      </w:pPr>
      <w:r>
        <w:rPr>
          <w:rFonts w:ascii="Arial" w:cs="Arial" w:eastAsia="Arial" w:hAnsi="Arial"/>
          <w:sz w:val="15"/>
          <w:szCs w:val="15"/>
          <w:color w:val="auto"/>
        </w:rPr>
        <w:t>We believe the increase in average daily volume in the second quarter and first six months of 2010 when compared with the same periods in 2009 was primarily attributable to improving macroeconomic conditions leading to increased use of crude oil and natural gas futures contracts for hedging and speculating purposes. We believe that crude oil product volume has increased faster than natural gas product volume as a result of higher volatility within the crude oil market.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Metal Products</w:t>
      </w:r>
    </w:p>
    <w:p>
      <w:pPr>
        <w:spacing w:after="0" w:line="90"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We believe that the increase in metal product volume in 2010 was attributable to increased investment in precious metals as an asset class during periods of uncertainty in interest rates and foreign exchange.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Average Rate per Contract</w:t>
      </w:r>
    </w:p>
    <w:p>
      <w:pPr>
        <w:spacing w:after="0" w:line="90"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The average rate per contract decreased in the second quarter and first six months of 2010 when compared with the same periods in 2009 due to an increase in member trading volume, which increased faster than non-member trading in the second quarter and first six months of 2010.</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Revenue</w:t>
      </w:r>
    </w:p>
    <w:p>
      <w:pPr>
        <w:spacing w:after="0" w:line="9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bill a substantial portion of our clearing and transaction fees to our clearing firms. The majority of clearing and transaction fees received from clearing firms represent charges for trades executed and cleared on behalf of their customers. As of June 30, 2010, we had approximately 145 clearing firms. One firm represented 12% of our clearing and transaction fees revenue in the first six months of 2010. No other firm represented more than 10% of our clearing and transaction fees revenue in the first six months of 2010. Should a clearing firm withdraw, we believe that the customer portion of the firm’s trading activity would likely transfer to another clearing firm of the exchange. Therefore, we do not believe we are exposed to significant risk from the loss of revenue received from a particular clearing firm.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Sources of Revenue</w:t>
      </w:r>
    </w:p>
    <w:p>
      <w:pPr>
        <w:spacing w:after="0" w:line="9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Beginning March 19, 2010, market data and information services revenue includes market data and licensing revenue from CME Group Index Services LLC (Index Services). The increase in revenue was primarily attributable to Index Services.</w:t>
      </w:r>
    </w:p>
    <w:p>
      <w:pPr>
        <w:spacing w:after="0" w:line="132"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During the second quarter and first six months of 2010, the increase in market data and information services revenue was also attributable to an increase in the basic device monthly fee. The increase was offset by the decrease in basic device counts due primarily to cost-cutting initiatives at customer firms.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0"/>
              </w:rPr>
              <w:t>Quarter Ended</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8"/>
              </w:rPr>
              <w:t>Six Months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 except monthly fee per device)</w:t>
            </w:r>
          </w:p>
        </w:tc>
        <w:tc>
          <w:tcPr>
            <w:tcW w:w="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center"/>
              <w:ind w:left="404"/>
              <w:spacing w:after="0"/>
              <w:rPr>
                <w:sz w:val="20"/>
                <w:szCs w:val="20"/>
                <w:color w:val="auto"/>
              </w:rPr>
            </w:pPr>
            <w:r>
              <w:rPr>
                <w:rFonts w:ascii="Arial" w:cs="Arial" w:eastAsia="Arial" w:hAnsi="Arial"/>
                <w:sz w:val="14"/>
                <w:szCs w:val="14"/>
                <w:b w:val="1"/>
                <w:bCs w:val="1"/>
                <w:color w:val="auto"/>
                <w:w w:val="85"/>
              </w:rPr>
              <w:t>June 30,</w:t>
            </w:r>
          </w:p>
        </w:tc>
        <w:tc>
          <w:tcPr>
            <w:tcW w:w="5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81"/>
              </w:rPr>
              <w:t>Change</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center"/>
              <w:ind w:left="404"/>
              <w:spacing w:after="0"/>
              <w:rPr>
                <w:sz w:val="20"/>
                <w:szCs w:val="20"/>
                <w:color w:val="auto"/>
              </w:rPr>
            </w:pPr>
            <w:r>
              <w:rPr>
                <w:rFonts w:ascii="Arial" w:cs="Arial" w:eastAsia="Arial" w:hAnsi="Arial"/>
                <w:sz w:val="14"/>
                <w:szCs w:val="14"/>
                <w:b w:val="1"/>
                <w:bCs w:val="1"/>
                <w:color w:val="auto"/>
                <w:w w:val="85"/>
              </w:rPr>
              <w:t>June 30,</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142"/>
        </w:trPr>
        <w:tc>
          <w:tcPr>
            <w:tcW w:w="4560" w:type="dxa"/>
            <w:vAlign w:val="bottom"/>
            <w:gridSpan w:val="3"/>
            <w:vMerge w:val="continue"/>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24"/>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9"/>
              <w:spacing w:after="0" w:line="142" w:lineRule="exact"/>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44"/>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19"/>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6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estimated monthly basic device screen count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385,000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415,000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(30,000)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386,000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422,000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Basic device monthly fee per device</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55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6</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Estimated increase (decrease) in revenues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ind w:left="420"/>
              <w:spacing w:after="0"/>
              <w:rPr>
                <w:sz w:val="20"/>
                <w:szCs w:val="20"/>
                <w:color w:val="auto"/>
              </w:rPr>
            </w:pPr>
            <w:r>
              <w:rPr>
                <w:rFonts w:ascii="Arial" w:cs="Arial" w:eastAsia="Arial" w:hAnsi="Arial"/>
                <w:sz w:val="18"/>
                <w:szCs w:val="18"/>
                <w:color w:val="auto"/>
              </w:rPr>
              <w:t>Due to an increase in monthly fee per device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Due to a decrease in screen counts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60"/>
        <w:spacing w:after="0" w:line="323" w:lineRule="auto"/>
        <w:rPr>
          <w:sz w:val="20"/>
          <w:szCs w:val="20"/>
          <w:color w:val="auto"/>
        </w:rPr>
      </w:pPr>
      <w:r>
        <w:rPr>
          <w:rFonts w:ascii="Arial" w:cs="Arial" w:eastAsia="Arial" w:hAnsi="Arial"/>
          <w:sz w:val="15"/>
          <w:szCs w:val="15"/>
          <w:color w:val="auto"/>
        </w:rPr>
        <w:t>The two largest resellers of our market data represented approximately 47% of our market data and information services revenue in the first six months of 2010. Despite this concentration, we consider exposure to significant risk of revenue loss to be minimal. In the event that one of these vendors no longer subscribes to our market data, we believe the majority of that vendor’s customers would likely subscribe to our market data through another reseller. Additionally, several of our largest institutional customers that utilize services from our two largest resellers report usage and remit payment of quotation data fees directly to us.</w:t>
      </w:r>
    </w:p>
    <w:p>
      <w:pPr>
        <w:spacing w:after="0" w:line="9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Other revenues declined in the second quarter and first six months of 2010 when compared with the same periods in 2009 due to $1.1 million and $6.2 million decreases in trading revenues generated by GFX Corporation (GFX) in the second quarter and first six months of 2010, respectively, as a result of lower trading activity and smaller trading margins.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500" w:type="dxa"/>
            <w:vAlign w:val="bottom"/>
            <w:gridSpan w:val="6"/>
          </w:tcPr>
          <w:p>
            <w:pPr>
              <w:ind w:left="200"/>
              <w:spacing w:after="0"/>
              <w:rPr>
                <w:sz w:val="20"/>
                <w:szCs w:val="20"/>
                <w:color w:val="auto"/>
              </w:rPr>
            </w:pPr>
            <w:r>
              <w:rPr>
                <w:rFonts w:ascii="Arial" w:cs="Arial" w:eastAsia="Arial" w:hAnsi="Arial"/>
                <w:sz w:val="14"/>
                <w:szCs w:val="14"/>
                <w:b w:val="1"/>
                <w:bCs w:val="1"/>
                <w:color w:val="auto"/>
              </w:rPr>
              <w:t>Quarter Ended</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5"/>
              </w:rPr>
              <w:t>Six Months Ended</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2120" w:type="dxa"/>
            <w:vAlign w:val="bottom"/>
          </w:tcPr>
          <w:p>
            <w:pPr>
              <w:spacing w:after="0"/>
              <w:rPr>
                <w:sz w:val="14"/>
                <w:szCs w:val="14"/>
                <w:color w:val="auto"/>
              </w:rPr>
            </w:pPr>
          </w:p>
        </w:tc>
        <w:tc>
          <w:tcPr>
            <w:tcW w:w="9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1"/>
              </w:rPr>
              <w:t>Change</w:t>
            </w:r>
          </w:p>
        </w:tc>
        <w:tc>
          <w:tcPr>
            <w:tcW w:w="140" w:type="dxa"/>
            <w:vAlign w:val="bottom"/>
          </w:tcPr>
          <w:p>
            <w:pPr>
              <w:spacing w:after="0"/>
              <w:rPr>
                <w:sz w:val="14"/>
                <w:szCs w:val="14"/>
                <w:color w:val="auto"/>
              </w:rPr>
            </w:pPr>
          </w:p>
        </w:tc>
        <w:tc>
          <w:tcPr>
            <w:tcW w:w="15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June 30,</w:t>
            </w: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142"/>
        </w:trPr>
        <w:tc>
          <w:tcPr>
            <w:tcW w:w="4820" w:type="dxa"/>
            <w:vAlign w:val="bottom"/>
            <w:gridSpan w:val="3"/>
            <w:vMerge w:val="continue"/>
          </w:tcPr>
          <w:p>
            <w:pPr>
              <w:spacing w:after="0"/>
              <w:rPr>
                <w:sz w:val="12"/>
                <w:szCs w:val="12"/>
                <w:color w:val="auto"/>
              </w:rPr>
            </w:pPr>
          </w:p>
        </w:tc>
        <w:tc>
          <w:tcPr>
            <w:tcW w:w="2120" w:type="dxa"/>
            <w:vAlign w:val="bottom"/>
          </w:tcPr>
          <w:p>
            <w:pPr>
              <w:spacing w:after="0"/>
              <w:rPr>
                <w:sz w:val="12"/>
                <w:szCs w:val="12"/>
                <w:color w:val="auto"/>
              </w:rPr>
            </w:pPr>
          </w:p>
        </w:tc>
        <w:tc>
          <w:tcPr>
            <w:tcW w:w="500" w:type="dxa"/>
            <w:vAlign w:val="bottom"/>
            <w:tcBorders>
              <w:top w:val="single" w:sz="8" w:color="auto"/>
            </w:tcBorders>
          </w:tcPr>
          <w:p>
            <w:pPr>
              <w:jc w:val="right"/>
              <w:ind w:right="47"/>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2009</w:t>
            </w:r>
          </w:p>
        </w:tc>
        <w:tc>
          <w:tcPr>
            <w:tcW w:w="2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Borders>
              <w:top w:val="single" w:sz="8" w:color="auto"/>
            </w:tcBorders>
          </w:tcPr>
          <w:p>
            <w:pPr>
              <w:jc w:val="right"/>
              <w:ind w:right="47"/>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2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$103.1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88.0</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$201.9</w:t>
            </w: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$174.7</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Communications</w:t>
            </w:r>
          </w:p>
        </w:tc>
        <w:tc>
          <w:tcPr>
            <w:tcW w:w="2800" w:type="dxa"/>
            <w:vAlign w:val="bottom"/>
            <w:gridSpan w:val="3"/>
          </w:tcPr>
          <w:p>
            <w:pPr>
              <w:jc w:val="right"/>
              <w:ind w:right="18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11.6</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21.0</w:t>
            </w: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24.0</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Technology support services</w:t>
            </w:r>
          </w:p>
        </w:tc>
        <w:tc>
          <w:tcPr>
            <w:tcW w:w="2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24.9</w:t>
            </w: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23.4</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Professional fees and outside services</w:t>
            </w:r>
          </w:p>
        </w:tc>
        <w:tc>
          <w:tcPr>
            <w:tcW w:w="2800" w:type="dxa"/>
            <w:vAlign w:val="bottom"/>
            <w:gridSpan w:val="3"/>
          </w:tcPr>
          <w:p>
            <w:pPr>
              <w:jc w:val="right"/>
              <w:ind w:right="180"/>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22.4</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13</w:t>
            </w: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56.4</w:t>
            </w: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44.0</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purchased intangibles</w:t>
            </w:r>
          </w:p>
        </w:tc>
        <w:tc>
          <w:tcPr>
            <w:tcW w:w="2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30.5</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63.1</w:t>
            </w: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63.8</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800" w:type="dxa"/>
            <w:vAlign w:val="bottom"/>
            <w:gridSpan w:val="3"/>
          </w:tcPr>
          <w:p>
            <w:pPr>
              <w:jc w:val="right"/>
              <w:ind w:right="180"/>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30.1</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9</w:t>
            </w: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65.0</w:t>
            </w: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61.1</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Occupancy and building operations</w:t>
            </w:r>
          </w:p>
        </w:tc>
        <w:tc>
          <w:tcPr>
            <w:tcW w:w="2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w:t>
            </w: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40.7</w:t>
            </w: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38.2</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Licensing and other fee agreements</w:t>
            </w:r>
          </w:p>
        </w:tc>
        <w:tc>
          <w:tcPr>
            <w:tcW w:w="2800" w:type="dxa"/>
            <w:vAlign w:val="bottom"/>
            <w:gridSpan w:val="3"/>
          </w:tcPr>
          <w:p>
            <w:pPr>
              <w:jc w:val="right"/>
              <w:ind w:right="180"/>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21.7</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42.3</w:t>
            </w: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46.3</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w:t>
            </w:r>
          </w:p>
        </w:tc>
        <w:tc>
          <w:tcPr>
            <w:tcW w:w="2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(0.5)</w:t>
            </w: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4.6</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Other</w:t>
            </w:r>
          </w:p>
        </w:tc>
        <w:tc>
          <w:tcPr>
            <w:tcW w:w="2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13.6</w:t>
            </w:r>
          </w:p>
        </w:tc>
        <w:tc>
          <w:tcPr>
            <w:tcW w:w="20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199</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29.6</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2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298.8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249.0</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w:t>
            </w: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577.3</w:t>
            </w: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509.7</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Operating expenses increased by $49.8 million and $67.6 million in the second quarter and first six months of 2010, respectively, when compared with the same periods in 2009. The following table shows the estimated impact of key factors resulting in the increase (decrease) in operating expenses: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340" w:type="dxa"/>
            <w:vAlign w:val="bottom"/>
            <w:gridSpan w:val="4"/>
          </w:tcPr>
          <w:p>
            <w:pPr>
              <w:jc w:val="right"/>
              <w:ind w:right="1420"/>
              <w:spacing w:after="0"/>
              <w:rPr>
                <w:sz w:val="20"/>
                <w:szCs w:val="20"/>
                <w:color w:val="auto"/>
              </w:rPr>
            </w:pPr>
            <w:r>
              <w:rPr>
                <w:rFonts w:ascii="Arial" w:cs="Arial" w:eastAsia="Arial" w:hAnsi="Arial"/>
                <w:sz w:val="14"/>
                <w:szCs w:val="14"/>
                <w:b w:val="1"/>
                <w:bCs w:val="1"/>
                <w:color w:val="auto"/>
                <w:w w:val="92"/>
              </w:rPr>
              <w:t>Quarter Ended</w:t>
            </w:r>
          </w:p>
        </w:tc>
        <w:tc>
          <w:tcPr>
            <w:tcW w:w="100" w:type="dxa"/>
            <w:vAlign w:val="bottom"/>
          </w:tcPr>
          <w:p>
            <w:pPr>
              <w:spacing w:after="0"/>
              <w:rPr>
                <w:sz w:val="14"/>
                <w:szCs w:val="14"/>
                <w:color w:val="auto"/>
              </w:rPr>
            </w:pPr>
          </w:p>
        </w:tc>
        <w:tc>
          <w:tcPr>
            <w:tcW w:w="232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gridSpan w:val="3"/>
          </w:tcPr>
          <w:p>
            <w:pPr>
              <w:jc w:val="right"/>
              <w:ind w:right="1480"/>
              <w:spacing w:after="0"/>
              <w:rPr>
                <w:sz w:val="20"/>
                <w:szCs w:val="20"/>
                <w:color w:val="auto"/>
              </w:rPr>
            </w:pPr>
            <w:r>
              <w:rPr>
                <w:rFonts w:ascii="Arial" w:cs="Arial" w:eastAsia="Arial" w:hAnsi="Arial"/>
                <w:sz w:val="14"/>
                <w:szCs w:val="14"/>
                <w:b w:val="1"/>
                <w:bCs w:val="1"/>
                <w:color w:val="auto"/>
                <w:w w:val="83"/>
              </w:rPr>
              <w:t>June 30, 2010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60" w:type="dxa"/>
            <w:vAlign w:val="bottom"/>
            <w:gridSpan w:val="3"/>
          </w:tcPr>
          <w:p>
            <w:pPr>
              <w:jc w:val="right"/>
              <w:ind w:right="920"/>
              <w:spacing w:after="0"/>
              <w:rPr>
                <w:sz w:val="20"/>
                <w:szCs w:val="20"/>
                <w:color w:val="auto"/>
              </w:rPr>
            </w:pPr>
            <w:r>
              <w:rPr>
                <w:rFonts w:ascii="Arial" w:cs="Arial" w:eastAsia="Arial" w:hAnsi="Arial"/>
                <w:sz w:val="14"/>
                <w:szCs w:val="14"/>
                <w:b w:val="1"/>
                <w:bCs w:val="1"/>
                <w:color w:val="auto"/>
                <w:w w:val="90"/>
              </w:rPr>
              <w:t>June 30, 2010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4"/>
              </w:rPr>
              <w:t>Change as a</w:t>
            </w:r>
          </w:p>
        </w:tc>
        <w:tc>
          <w:tcPr>
            <w:tcW w:w="7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4"/>
              </w:rPr>
              <w:t>Change as a</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Amount of</w:t>
            </w:r>
          </w:p>
        </w:tc>
        <w:tc>
          <w:tcPr>
            <w:tcW w:w="620" w:type="dxa"/>
            <w:vAlign w:val="bottom"/>
          </w:tcPr>
          <w:p>
            <w:pPr>
              <w:spacing w:after="0"/>
              <w:rPr>
                <w:sz w:val="12"/>
                <w:szCs w:val="12"/>
                <w:color w:val="auto"/>
              </w:rPr>
            </w:pPr>
          </w:p>
        </w:tc>
        <w:tc>
          <w:tcPr>
            <w:tcW w:w="16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Amount of</w:t>
            </w: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61"/>
        </w:trPr>
        <w:tc>
          <w:tcPr>
            <w:tcW w:w="6040" w:type="dxa"/>
            <w:vAlign w:val="bottom"/>
            <w:gridSpan w:val="3"/>
          </w:tcPr>
          <w:p>
            <w:pPr>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4"/>
                <w:szCs w:val="14"/>
                <w:color w:val="auto"/>
              </w:rPr>
            </w:pPr>
          </w:p>
        </w:tc>
        <w:tc>
          <w:tcPr>
            <w:tcW w:w="60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w w:val="81"/>
              </w:rPr>
              <w:t>Change</w:t>
            </w:r>
          </w:p>
        </w:tc>
        <w:tc>
          <w:tcPr>
            <w:tcW w:w="620" w:type="dxa"/>
            <w:vAlign w:val="bottom"/>
          </w:tcPr>
          <w:p>
            <w:pPr>
              <w:spacing w:after="0"/>
              <w:rPr>
                <w:sz w:val="14"/>
                <w:szCs w:val="14"/>
                <w:color w:val="auto"/>
              </w:rPr>
            </w:pPr>
          </w:p>
        </w:tc>
        <w:tc>
          <w:tcPr>
            <w:tcW w:w="164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3"/>
              </w:rPr>
              <w:t>Total Expenses</w:t>
            </w:r>
          </w:p>
        </w:tc>
        <w:tc>
          <w:tcPr>
            <w:tcW w:w="100" w:type="dxa"/>
            <w:vAlign w:val="bottom"/>
          </w:tcPr>
          <w:p>
            <w:pPr>
              <w:spacing w:after="0"/>
              <w:rPr>
                <w:sz w:val="14"/>
                <w:szCs w:val="14"/>
                <w:color w:val="auto"/>
              </w:rPr>
            </w:pPr>
          </w:p>
        </w:tc>
        <w:tc>
          <w:tcPr>
            <w:tcW w:w="1260" w:type="dxa"/>
            <w:vAlign w:val="bottom"/>
            <w:gridSpan w:val="2"/>
          </w:tcPr>
          <w:p>
            <w:pPr>
              <w:jc w:val="right"/>
              <w:ind w:right="732"/>
              <w:spacing w:after="0"/>
              <w:rPr>
                <w:sz w:val="20"/>
                <w:szCs w:val="20"/>
                <w:color w:val="auto"/>
              </w:rPr>
            </w:pPr>
            <w:r>
              <w:rPr>
                <w:rFonts w:ascii="Arial" w:cs="Arial" w:eastAsia="Arial" w:hAnsi="Arial"/>
                <w:sz w:val="14"/>
                <w:szCs w:val="14"/>
                <w:b w:val="1"/>
                <w:bCs w:val="1"/>
                <w:color w:val="auto"/>
                <w:w w:val="85"/>
              </w:rPr>
              <w:t>Change</w:t>
            </w: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Total Expenses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goodwill and trade name impairment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8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7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Salaries, benefits and employer taxes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15.5</w:t>
            </w:r>
          </w:p>
        </w:tc>
        <w:tc>
          <w:tcPr>
            <w:tcW w:w="7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Bonus expense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7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Professional fees related to Index Services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4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632"/>
              <w:spacing w:after="0"/>
              <w:rPr>
                <w:sz w:val="20"/>
                <w:szCs w:val="20"/>
                <w:color w:val="auto"/>
              </w:rPr>
            </w:pPr>
            <w:r>
              <w:rPr>
                <w:rFonts w:ascii="Arial" w:cs="Arial" w:eastAsia="Arial" w:hAnsi="Arial"/>
                <w:sz w:val="18"/>
                <w:szCs w:val="18"/>
                <w:color w:val="auto"/>
              </w:rPr>
              <w:t>11.3</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Marketing and travel expense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7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w:t>
            </w:r>
          </w:p>
        </w:tc>
        <w:tc>
          <w:tcPr>
            <w:tcW w:w="7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purchased intangibles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(0.7)</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Restructuring expense</w:t>
            </w: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260" w:type="dxa"/>
            <w:vAlign w:val="bottom"/>
            <w:gridSpan w:val="3"/>
          </w:tcPr>
          <w:p>
            <w:pPr>
              <w:jc w:val="right"/>
              <w:ind w:right="7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260" w:type="dxa"/>
            <w:vAlign w:val="bottom"/>
            <w:gridSpan w:val="2"/>
          </w:tcPr>
          <w:p>
            <w:pPr>
              <w:jc w:val="right"/>
              <w:ind w:right="572"/>
              <w:spacing w:after="0"/>
              <w:rPr>
                <w:sz w:val="20"/>
                <w:szCs w:val="20"/>
                <w:color w:val="auto"/>
              </w:rPr>
            </w:pPr>
            <w:r>
              <w:rPr>
                <w:rFonts w:ascii="Arial" w:cs="Arial" w:eastAsia="Arial" w:hAnsi="Arial"/>
                <w:sz w:val="18"/>
                <w:szCs w:val="18"/>
                <w:color w:val="auto"/>
              </w:rPr>
              <w:t>(5.0)</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expenses, net</w:t>
            </w: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7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40" w:type="dxa"/>
            <w:vAlign w:val="bottom"/>
            <w:gridSpan w:val="3"/>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49.8</w:t>
            </w:r>
          </w:p>
        </w:tc>
        <w:tc>
          <w:tcPr>
            <w:tcW w:w="80" w:type="dxa"/>
            <w:vAlign w:val="bottom"/>
          </w:tcPr>
          <w:p>
            <w:pPr>
              <w:spacing w:after="0"/>
              <w:rPr>
                <w:sz w:val="19"/>
                <w:szCs w:val="19"/>
                <w:color w:val="auto"/>
              </w:rPr>
            </w:pPr>
          </w:p>
        </w:tc>
        <w:tc>
          <w:tcPr>
            <w:tcW w:w="2260" w:type="dxa"/>
            <w:vAlign w:val="bottom"/>
            <w:gridSpan w:val="3"/>
          </w:tcPr>
          <w:p>
            <w:pPr>
              <w:jc w:val="right"/>
              <w:ind w:right="64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67.</w:t>
            </w:r>
            <w:r>
              <w:rPr>
                <w:rFonts w:ascii="Arial" w:cs="Arial" w:eastAsia="Arial" w:hAnsi="Arial"/>
                <w:sz w:val="18"/>
                <w:szCs w:val="18"/>
                <w:u w:val="single" w:color="auto"/>
                <w:color w:val="auto"/>
              </w:rPr>
              <w:t>6</w:t>
            </w:r>
          </w:p>
        </w:tc>
        <w:tc>
          <w:tcPr>
            <w:tcW w:w="7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Impairment charges on goodwill and trade name related to our CMA operations led to an increase in other expenses of $20.5 million in the second quarter and first six months of 2010.</w:t>
      </w:r>
    </w:p>
    <w:p>
      <w:pPr>
        <w:spacing w:after="0" w:line="13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rise in salaries, benefits and employer taxes was attributable to salary increases and rising healthcare costs. An increase in average headcount primarily due to the acquisition of Index Services also contributed to an increase in expense.</w:t>
      </w:r>
    </w:p>
    <w:p>
      <w:pPr>
        <w:spacing w:after="0" w:line="13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increase in our bonus expense in the second quarter and first six months of 2010 was due to improved performance relative to our 2010 cash earnings target compared with 2009 relative to our 2009 cash earnings target.</w:t>
      </w:r>
    </w:p>
    <w:p>
      <w:pPr>
        <w:spacing w:after="0" w:line="13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Costs incurred for the formation of Index Services led to an increase in professional fee expenses of $11.3 million in the first six months of 2010 when compared with the same period in 2009.</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Marketing and travel expenses increased in the second quarter and first six months of 2010 due to global expansion and establishment of strategic partnerships.</w:t>
      </w:r>
    </w:p>
    <w:p>
      <w:pPr>
        <w:spacing w:after="0" w:line="19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Depreciation increased in the second quarter and first six months of 2010 due to commencement of depreciation on the assets related to the build-out of our new data center and other renovations.</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Amortization of purchased intangibles increased in the second quarter of 2010 due to the acquisition of intangible assets related to the formation of Index Services in March 2010.</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restructuring program related to the NYMEX Holdings merger was substantially complete by August 2009, which resulted in a decrease in expense in the second quarter and first six months of 2010 when compared with the same periods in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(Expense)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w w:val="96"/>
              </w:rPr>
              <w:t>Quarter Ended</w:t>
            </w: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2"/>
              </w:rPr>
              <w:t>Six Months Ended</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4"/>
                <w:szCs w:val="14"/>
                <w:color w:val="auto"/>
              </w:rPr>
            </w:pPr>
          </w:p>
        </w:tc>
        <w:tc>
          <w:tcPr>
            <w:tcW w:w="144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June 30,</w:t>
            </w:r>
          </w:p>
        </w:tc>
        <w:tc>
          <w:tcPr>
            <w:tcW w:w="9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81"/>
              </w:rPr>
              <w:t>Change</w:t>
            </w:r>
          </w:p>
        </w:tc>
        <w:tc>
          <w:tcPr>
            <w:tcW w:w="154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June 30,</w:t>
            </w: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142"/>
        </w:trPr>
        <w:tc>
          <w:tcPr>
            <w:tcW w:w="6800" w:type="dxa"/>
            <w:vAlign w:val="bottom"/>
            <w:gridSpan w:val="3"/>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ind w:right="18"/>
              <w:spacing w:after="0" w:line="142" w:lineRule="exact"/>
              <w:rPr>
                <w:sz w:val="20"/>
                <w:szCs w:val="20"/>
                <w:color w:val="auto"/>
              </w:rPr>
            </w:pPr>
            <w:r>
              <w:rPr>
                <w:rFonts w:ascii="Arial" w:cs="Arial" w:eastAsia="Arial" w:hAnsi="Arial"/>
                <w:sz w:val="14"/>
                <w:szCs w:val="14"/>
                <w:b w:val="1"/>
                <w:bCs w:val="1"/>
                <w:color w:val="auto"/>
                <w:w w:val="83"/>
              </w:rPr>
              <w:t>2010</w:t>
            </w:r>
          </w:p>
        </w:tc>
        <w:tc>
          <w:tcPr>
            <w:tcW w:w="3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460" w:type="dxa"/>
            <w:vAlign w:val="bottom"/>
            <w:tcBorders>
              <w:top w:val="single" w:sz="8" w:color="auto"/>
            </w:tcBorders>
          </w:tcPr>
          <w:p>
            <w:pPr>
              <w:jc w:val="right"/>
              <w:ind w:right="18"/>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3"/>
              </w:rPr>
              <w:t>2009</w:t>
            </w:r>
          </w:p>
        </w:tc>
        <w:tc>
          <w:tcPr>
            <w:tcW w:w="3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$ 10.1</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$ 15.5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11.9</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Gains (losses) on derivative investments</w:t>
            </w:r>
          </w:p>
        </w:tc>
        <w:tc>
          <w:tcPr>
            <w:tcW w:w="100" w:type="dxa"/>
            <w:vAlign w:val="bottom"/>
          </w:tcPr>
          <w:p>
            <w:pPr>
              <w:spacing w:after="0"/>
              <w:rPr>
                <w:sz w:val="18"/>
                <w:szCs w:val="18"/>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lending interest income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Securities lending interest and other costs</w:t>
            </w:r>
          </w:p>
        </w:tc>
        <w:tc>
          <w:tcPr>
            <w:tcW w:w="100" w:type="dxa"/>
            <w:vAlign w:val="bottom"/>
          </w:tcPr>
          <w:p>
            <w:pPr>
              <w:spacing w:after="0"/>
              <w:rPr>
                <w:sz w:val="18"/>
                <w:szCs w:val="18"/>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0.3</w:t>
            </w:r>
          </w:p>
        </w:tc>
        <w:tc>
          <w:tcPr>
            <w:tcW w:w="3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(100)</w:t>
            </w: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(0.1)</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other borrowing costs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(37.9)</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(32.6)</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(69.3)</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(71.1)</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Equity in losses of unconsolidated subsidiaries</w:t>
            </w:r>
          </w:p>
        </w:tc>
        <w:tc>
          <w:tcPr>
            <w:tcW w:w="1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(1.7)</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(13)</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(2.9)</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68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 Non-Operating</w:t>
            </w: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45</w:t>
            </w: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line="20" w:lineRule="exact"/>
              <w:rPr>
                <w:sz w:val="1"/>
                <w:szCs w:val="1"/>
                <w:color w:val="auto"/>
              </w:rPr>
            </w:pPr>
          </w:p>
        </w:tc>
      </w:tr>
      <w:tr>
        <w:trPr>
          <w:trHeight w:val="222"/>
        </w:trPr>
        <w:tc>
          <w:tcPr>
            <w:tcW w:w="680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(35.0)</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u w:val="single" w:color="auto"/>
                <w:color w:val="auto"/>
                <w:w w:val="80"/>
              </w:rPr>
              <w:t>$</w:t>
            </w:r>
            <w:r>
              <w:rPr>
                <w:rFonts w:ascii="Arial" w:cs="Arial" w:eastAsia="Arial" w:hAnsi="Arial"/>
                <w:sz w:val="18"/>
                <w:szCs w:val="18"/>
                <w:color w:val="auto"/>
                <w:w w:val="80"/>
              </w:rPr>
              <w:t xml:space="preserve"> (23.9)</w:t>
            </w:r>
          </w:p>
        </w:tc>
        <w:tc>
          <w:tcPr>
            <w:tcW w:w="44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u w:val="single" w:color="auto"/>
                <w:color w:val="auto"/>
                <w:w w:val="80"/>
              </w:rPr>
              <w:t>$</w:t>
            </w:r>
            <w:r>
              <w:rPr>
                <w:rFonts w:ascii="Arial" w:cs="Arial" w:eastAsia="Arial" w:hAnsi="Arial"/>
                <w:sz w:val="18"/>
                <w:szCs w:val="18"/>
                <w:color w:val="auto"/>
                <w:w w:val="80"/>
              </w:rPr>
              <w:t xml:space="preserve"> (50.8)</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(59.8)</w:t>
            </w:r>
          </w:p>
        </w:tc>
        <w:tc>
          <w:tcPr>
            <w:tcW w:w="6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171"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Investment income decreased during the second quarter of 2010 due primarily to a $5.0 million decrease in gains on marketable securities related to our non-qualified deferred compensation plans. Gains and losses from these securities are offset by an equal amount of compensation and benefits expense.</w:t>
      </w:r>
    </w:p>
    <w:p>
      <w:pPr>
        <w:spacing w:after="0" w:line="8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increase in investment income during the first six months of 2010 when compared with the same period in 2009 was primarily due to an increase in dividend income from our investments in BM&amp;FBOVESPA S.A. (BM&amp;FBOVESPA) and Bolsa Mexicana de Valores, S.A.B. de C.V. (BMV). Total dividend income was $15.9 million in the first six months of 2010 compared with $5.0 million for the same period in 2009. The increase was partially offset by a $3.1 million decrease in gains on marketable securities related to our non-qualified deferred compensation plans. In addition, interest income decreased by $3.4 million due to a decrease in average investment balances.</w:t>
      </w:r>
    </w:p>
    <w:p>
      <w:pPr>
        <w:spacing w:after="0" w:line="14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March 2010, we recognized a $6.0 million gain on derivative investments as a result of a settlement from the Lehman Brothers Holdings (Lehman Brothers) bankruptcy proceedings. The settlement relates to an unsecured claim tied to a derivative contract that we terminated in September 2008 when Lehman Brothers filed for bankruptcy.</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On March 18, 2010, we issued $612.5 million of 4.40% fixed rate notes due 2018, resulting in an increase in average effective yield and total cost of borrowing.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repaid the $300.0 million of floating rate notes that matured on August 6, 2010.</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200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Quarter Ended</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700" w:type="dxa"/>
            <w:vAlign w:val="bottom"/>
          </w:tcPr>
          <w:p>
            <w:pPr>
              <w:spacing w:after="0"/>
              <w:rPr>
                <w:sz w:val="14"/>
                <w:szCs w:val="14"/>
                <w:color w:val="auto"/>
              </w:rPr>
            </w:pPr>
          </w:p>
        </w:tc>
        <w:tc>
          <w:tcPr>
            <w:tcW w:w="200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June 30,</w:t>
            </w: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Change</w:t>
            </w:r>
          </w:p>
        </w:tc>
        <w:tc>
          <w:tcPr>
            <w:tcW w:w="28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Change</w:t>
            </w:r>
          </w:p>
        </w:tc>
        <w:tc>
          <w:tcPr>
            <w:tcW w:w="2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0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2010</w:t>
            </w:r>
          </w:p>
        </w:tc>
        <w:tc>
          <w:tcPr>
            <w:tcW w:w="38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40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borrowings outstanding (in millions)</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5"/>
              </w:rPr>
              <w:t>$2,874.2</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5"/>
              </w:rPr>
              <w:t>$3,053.9</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$(179.7)</w:t>
            </w:r>
          </w:p>
        </w:tc>
        <w:tc>
          <w:tcPr>
            <w:tcW w:w="11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$2,744.0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$ 3,111.4</w:t>
            </w:r>
          </w:p>
        </w:tc>
        <w:tc>
          <w:tcPr>
            <w:tcW w:w="2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$(367.4)</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Weighted average effective yield</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4.99%</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4.12%</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0.87%</w:t>
            </w: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4.83%</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3.94%</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Total cost of borrowing (1)</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5.25</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2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5.09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2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Total cost of borrowing includes interest, commitment fees, discount accretion and debt issuance costs.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effective tax rate was 41.8% in the first six months of 2010 compared with 42.0% in the same period of 2009. The effective tax rate was 43.5% for the second quarter of 2010 compared with 40.8% for the same period in 2009. The tax rate increased in the second quarter because we established a full valuation allowance for the tax benefit associated with CMA’s goodwill and trade name impairment in the second quarter of 2010. In the first quarter of 2010, we reduced the liability for uncertain tax positions by $6.4 million, resulting in a decrease in the effective tax rate for the first six months of 2010. Also, in the first six months of 2009, it was determined that a $8.0 million federal tax benefit did not meet the required more-likely-than-not standard. As a result, an $8.0 million liability for uncertain tax positions was established in the first six months of 2009, including a $6.3 million liability that was recorded in the first quarter of 2009.</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i w:val="1"/>
          <w:iCs w:val="1"/>
          <w:u w:val="single" w:color="auto"/>
          <w:color w:val="auto"/>
        </w:rPr>
        <w:t>Sources and Uses of Cash</w:t>
      </w:r>
      <w:r>
        <w:rPr>
          <w:rFonts w:ascii="Arial" w:cs="Arial" w:eastAsia="Arial" w:hAnsi="Arial"/>
          <w:sz w:val="18"/>
          <w:szCs w:val="18"/>
          <w:color w:val="auto"/>
        </w:rPr>
        <w:t>. Net cash provided by operating activities was $649.1 million for the first six months of 2010 compared with $438.4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in 2009. The increase in net cash provided by operating activities was due primarily to higher trading volumes and increased profitability. In the first six months of 2010, net cash provided by operating activities was $137.7 million higher than net income. This increase was primarily the result of depreciation and amortization expense of $65.0 million and amortization of purchased intangibles of $63.1 million. The increase was offset by an increase in accounts receivable of $65.0 million. Accounts receivable in any period result primarily from the clearing and transaction fees billed in the last month of the reporting period.</w:t>
      </w:r>
    </w:p>
    <w:p>
      <w:pPr>
        <w:spacing w:after="0" w:line="14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Cash used in investing activities was $7.7 million in the first six months of 2010 compared with cash provided by investing activities of $557.9 million in the first six months of 2009. The increase in cash used was largely attributable to the termination of the NYMEX securities lending program in 2009 as well as the decrease in proceeds from marketable securities, net of purchases, of $212.9 million.</w:t>
      </w:r>
    </w:p>
    <w:p>
      <w:pPr>
        <w:spacing w:after="0" w:line="14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Cash used in financing activities was $538.4 million in the first six months of 2010 compared with $845.5 million for the same period in 2009. The decrease was primarily attributable to a decrease in proceeds from commercial paper issuances, net of maturities, as well as the termination of the NYMEX securities lending program in 2009. The decrease was partially offset by the distribution to Dow Jones of $607.5 million related to Index Services as well as an increase in share repurchases of $269.2 million. The increase in share repurchases was attributable to our board of director’s authorization to repurchase up to 2.35 million shares of Class A common stock.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 Instruments</w:t>
      </w:r>
      <w:r>
        <w:rPr>
          <w:rFonts w:ascii="Arial" w:cs="Arial" w:eastAsia="Arial" w:hAnsi="Arial"/>
          <w:sz w:val="18"/>
          <w:szCs w:val="18"/>
          <w:color w:val="auto"/>
        </w:rPr>
        <w:t>. The following table summarizes our debt outstanding as of June 30, 2010:</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02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16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Par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Floating rate notes due August 2010, interest equal to 3-month LIBOR plus 0.65%</w:t>
            </w:r>
            <w:r>
              <w:rPr>
                <w:rFonts w:ascii="Arial" w:cs="Arial" w:eastAsia="Arial" w:hAnsi="Arial"/>
                <w:sz w:val="11"/>
                <w:szCs w:val="11"/>
                <w:color w:val="auto"/>
              </w:rPr>
              <w:t>(1)</w:t>
            </w: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 xml:space="preserve">Term loan due 2011, interest equal to 3-month LIBOR plus 1.00% </w:t>
            </w:r>
            <w:r>
              <w:rPr>
                <w:rFonts w:ascii="Arial" w:cs="Arial" w:eastAsia="Arial" w:hAnsi="Arial"/>
                <w:sz w:val="11"/>
                <w:szCs w:val="11"/>
                <w:color w:val="auto"/>
              </w:rPr>
              <w:t>(2)</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420.5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rate notes due August 2013, interest equal to 5.40%</w:t>
            </w: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Fixed rate notes due February 2014, interest equal to 5.75%</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Fixed rate notes due March 2018, interest equal to 4.40% </w:t>
            </w:r>
            <w:r>
              <w:rPr>
                <w:rFonts w:ascii="Arial" w:cs="Arial" w:eastAsia="Arial" w:hAnsi="Arial"/>
                <w:sz w:val="11"/>
                <w:szCs w:val="11"/>
                <w:color w:val="auto"/>
              </w:rPr>
              <w:t>(3)</w:t>
            </w: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612.5</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right="180" w:hanging="452"/>
        <w:spacing w:after="0" w:line="286"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September 2008, the company entered into an interest-rate swap agreement that modified the variable interest obligation associated with these notes so that the interest payable on the notes effectively became fixed at a rate of 3.92% beginning with the interest accrued after November 6, 2008.</w:t>
      </w:r>
    </w:p>
    <w:p>
      <w:pPr>
        <w:ind w:left="460" w:right="160" w:hanging="452"/>
        <w:spacing w:after="0" w:line="281"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September 2008, the company entered into an interest-rate swap agreement that modified the variable interest obligation associated with this facility so that the interest payable effectively became fixed at a rate of 4.72% beginning with the interest accrued after October 22, 2008.</w:t>
      </w:r>
    </w:p>
    <w:p>
      <w:pPr>
        <w:spacing w:after="0" w:line="1" w:lineRule="exact"/>
        <w:rPr>
          <w:rFonts w:ascii="Arial" w:cs="Arial" w:eastAsia="Arial" w:hAnsi="Arial"/>
          <w:sz w:val="16"/>
          <w:szCs w:val="16"/>
          <w:color w:val="auto"/>
        </w:rPr>
      </w:pPr>
    </w:p>
    <w:p>
      <w:pPr>
        <w:ind w:left="460" w:right="40" w:hanging="452"/>
        <w:spacing w:after="0" w:line="25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March 2010, Index Services completed an unregistered offering of fixed rate notes due 2018. Net proceeds from the offering were used to fund a distribution to Dow Jones in conjunction with our investment in Index Services. In February 2010, the company entered into a forward starting interest-rate swap agreement that modified the interest obligation associated with these notes so that the interest payable on the notes effectively became fixed at a rate of 4.46% beginning with the interest accrued after March 18, 2010.</w:t>
      </w:r>
    </w:p>
    <w:p>
      <w:pPr>
        <w:spacing w:after="0" w:line="144"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We maintain a $1.4 billion senior credit facility with various financial institutions, including the $420.5 million term loan and a $945.5 million revolving credit facility. As long as we are not in default under the senior credit facility, we have the option to increase the facility from time to time by an aggregate amount of up to $1.1 billion, to a total of $2.5 billion, with the consent of the agent and the lenders providing the additional funds. The revolving credit facility expires on August 21, 2011. Any commercial paper outstanding would be backed by this revolving credit facility.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floating rate notes due August 2010 matured on August 6, 2010. We repaid these notes when they matured.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 June 30, 2010, we have excess borrowing capacity for general corporate purposes of approximately $945.5 million.</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maintain a 364-day revolving line of credit with a consortium of banks to be used in certain situations by our clearing house. The line of credit provides for borrowings of up to $1.0 billion. This line of credit is collateralized by clearing firm security deposits held by us in the form of U.S. Treasury or agency securities, as well as security deposit funds in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Interest Earnings Facility and any performance bond deposits of a clearing firm that may default on its obligation. The line of credit can only be drawn on to the extent that it is collateralized. At June 30, 2010, security deposit collateral available was $2.3 billion. We have the option to request an increase in the line from $1.0 billion to $1.5 billion with the participating banks’ approval.</w:t>
      </w:r>
    </w:p>
    <w:p>
      <w:pPr>
        <w:spacing w:after="0" w:line="140"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The indentures governing our floating and fixed rate notes, our 364-day revolving line of credit for $1.0 billion and our senior credit facility for $1.4 billion due 2011 do not contain specific covenants that restrict the ability to pay dividends. These agreements, however, do contain other customary financial and operating covenants that place restrictions on the operations of the company, which could indirectly affect the ability to pay dividends.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Under our senior credit facility, we are required to maintain a consolidated net worth of at least $12.1 billion.</w:t>
      </w:r>
    </w:p>
    <w:p>
      <w:pPr>
        <w:spacing w:after="0" w:line="171"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In addition, our 364-day revolving line of credit contains a requirement that CME remain in compliance with a consolidated tangible net worth test, defined as CME consolidated shareholder’s equity less intangible assets (as defined in the agreement), of not less than $125.0 million. In the event that CME elects to increase the facility, the minimum consolidated tangible net worth test will increase ratably up to $187.5 million.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2010, we are in compliance with the various covenant requirements of all our debt facilities.</w:t>
      </w:r>
    </w:p>
    <w:p>
      <w:pPr>
        <w:spacing w:after="0" w:line="17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CME Group, as a holding company, has no operations of its own. Instead, it relies on dividends declared and paid to it by its subsidiaries in order to provide a portion of the funds which it uses to pay dividends to its shareholders.</w:t>
      </w:r>
    </w:p>
    <w:p>
      <w:pPr>
        <w:spacing w:after="0" w:line="132"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To satisfy our performance bond obligation with Singapore Exchange Limited, we may pledge CME-owned U.S. Treasury securities in lieu of, or in combination with, irrevocable letters of credit. At June 30, 2010, the letters of credit totaled $83.0 million. CME also guarantees a $5.0 million standby letter of credit for GFX. The beneficiary of this letter of credit is the clearing firm that is used by GFX to execute and maintain its futures position. The letter of credit would be utilized in the event that GFX defaults in meeting performance bond requirements to its clearing firm.</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credit ratings as of June 30, 2010:</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0"/>
              </w:rPr>
              <w:t>Short-Term</w:t>
            </w:r>
          </w:p>
        </w:tc>
        <w:tc>
          <w:tcPr>
            <w:tcW w:w="5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0"/>
              </w:rPr>
              <w:t>Long-Term</w:t>
            </w: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Rating Agency</w:t>
            </w:r>
          </w:p>
        </w:tc>
        <w:tc>
          <w:tcPr>
            <w:tcW w:w="574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Debt Rating</w:t>
            </w:r>
          </w:p>
        </w:tc>
        <w:tc>
          <w:tcPr>
            <w:tcW w:w="52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Debt Rating</w:t>
            </w:r>
          </w:p>
        </w:tc>
        <w:tc>
          <w:tcPr>
            <w:tcW w:w="520" w:type="dxa"/>
            <w:vAlign w:val="bottom"/>
          </w:tcPr>
          <w:p>
            <w:pPr>
              <w:spacing w:after="0"/>
              <w:rPr>
                <w:sz w:val="14"/>
                <w:szCs w:val="14"/>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Outlook</w:t>
            </w:r>
          </w:p>
        </w:tc>
      </w:tr>
      <w:tr>
        <w:trPr>
          <w:trHeight w:val="210"/>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Standard &amp; Poor’s</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A1+</w:t>
            </w: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AA</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86"/>
              </w:rPr>
              <w:t>Stable</w:t>
            </w:r>
          </w:p>
        </w:tc>
      </w:tr>
      <w:tr>
        <w:trPr>
          <w:trHeight w:val="222"/>
        </w:trPr>
        <w:tc>
          <w:tcPr>
            <w:tcW w:w="6660" w:type="dxa"/>
            <w:vAlign w:val="bottom"/>
            <w:gridSpan w:val="2"/>
          </w:tcPr>
          <w:p>
            <w:pPr>
              <w:spacing w:after="0"/>
              <w:rPr>
                <w:sz w:val="20"/>
                <w:szCs w:val="20"/>
                <w:color w:val="auto"/>
              </w:rPr>
            </w:pPr>
            <w:r>
              <w:rPr>
                <w:rFonts w:ascii="Arial" w:cs="Arial" w:eastAsia="Arial" w:hAnsi="Arial"/>
                <w:sz w:val="18"/>
                <w:szCs w:val="18"/>
                <w:color w:val="auto"/>
              </w:rPr>
              <w:t>Moody’s Investors Service</w:t>
            </w:r>
          </w:p>
        </w:tc>
        <w:tc>
          <w:tcPr>
            <w:tcW w:w="700" w:type="dxa"/>
            <w:vAlign w:val="bottom"/>
          </w:tcPr>
          <w:p>
            <w:pPr>
              <w:jc w:val="center"/>
              <w:spacing w:after="0"/>
              <w:rPr>
                <w:sz w:val="20"/>
                <w:szCs w:val="20"/>
                <w:color w:val="auto"/>
              </w:rPr>
            </w:pPr>
            <w:r>
              <w:rPr>
                <w:rFonts w:ascii="Arial" w:cs="Arial" w:eastAsia="Arial" w:hAnsi="Arial"/>
                <w:sz w:val="18"/>
                <w:szCs w:val="18"/>
                <w:color w:val="auto"/>
                <w:w w:val="81"/>
              </w:rPr>
              <w:t>P1</w:t>
            </w:r>
          </w:p>
        </w:tc>
        <w:tc>
          <w:tcPr>
            <w:tcW w:w="52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520" w:type="dxa"/>
            <w:vAlign w:val="bottom"/>
          </w:tcPr>
          <w:p>
            <w:pPr>
              <w:spacing w:after="0"/>
              <w:rPr>
                <w:sz w:val="19"/>
                <w:szCs w:val="19"/>
                <w:color w:val="auto"/>
              </w:rPr>
            </w:pPr>
          </w:p>
        </w:tc>
        <w:tc>
          <w:tcPr>
            <w:tcW w:w="480" w:type="dxa"/>
            <w:vAlign w:val="bottom"/>
          </w:tcPr>
          <w:p>
            <w:pPr>
              <w:ind w:left="20"/>
              <w:spacing w:after="0"/>
              <w:rPr>
                <w:sz w:val="20"/>
                <w:szCs w:val="20"/>
                <w:color w:val="auto"/>
              </w:rPr>
            </w:pPr>
            <w:r>
              <w:rPr>
                <w:rFonts w:ascii="Arial" w:cs="Arial" w:eastAsia="Arial" w:hAnsi="Arial"/>
                <w:sz w:val="18"/>
                <w:szCs w:val="18"/>
                <w:color w:val="auto"/>
                <w:w w:val="86"/>
              </w:rPr>
              <w:t>Stable</w:t>
            </w:r>
          </w:p>
        </w:tc>
      </w:tr>
    </w:tbl>
    <w:p>
      <w:pPr>
        <w:spacing w:after="0" w:line="147"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Given our ability to pay down debt levels and refinance existing debt facilities if necessary, we expect to maintain an investment grade rating. If our ratings are downgraded due to a change in control which results in a downgrade below investment grade, we are required to make an offer to repurchase our fixed and floating rate notes at a price equal to 101% of the principal amount, plus accrued and unpaid interest.</w:t>
      </w:r>
    </w:p>
    <w:p>
      <w:pPr>
        <w:spacing w:after="0" w:line="10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u w:val="single" w:color="auto"/>
          <w:color w:val="auto"/>
        </w:rPr>
        <w:t>Liquidity and Cash Management</w:t>
      </w:r>
      <w:r>
        <w:rPr>
          <w:rFonts w:ascii="Arial" w:cs="Arial" w:eastAsia="Arial" w:hAnsi="Arial"/>
          <w:sz w:val="18"/>
          <w:szCs w:val="18"/>
          <w:color w:val="auto"/>
        </w:rPr>
        <w:t>. Cash and cash equivalents totaled $363.6 million at June 30, 2010 and $260.6 million at December 31, 2009. The balance</w:t>
      </w:r>
      <w:r>
        <w:rPr>
          <w:rFonts w:ascii="Arial" w:cs="Arial" w:eastAsia="Arial" w:hAnsi="Arial"/>
          <w:sz w:val="18"/>
          <w:szCs w:val="18"/>
          <w:i w:val="1"/>
          <w:iCs w:val="1"/>
          <w:color w:val="auto"/>
        </w:rPr>
        <w:t xml:space="preserve"> </w:t>
      </w:r>
      <w:r>
        <w:rPr>
          <w:rFonts w:ascii="Arial" w:cs="Arial" w:eastAsia="Arial" w:hAnsi="Arial"/>
          <w:sz w:val="18"/>
          <w:szCs w:val="18"/>
          <w:color w:val="auto"/>
        </w:rPr>
        <w:t>retained in cash and cash equivalents is a function of anticipated or possible short-term cash needs, prevailing interest rates, our investment policy and alternative investment choices.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Net current deferred tax assets of $25.5 million and $23.8 million were included in other current assets at June 30, 2010 and December 31, 2009,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Total net current deferred tax assets included primarily unrealized losses and accrued expenses.</w:t>
      </w:r>
    </w:p>
    <w:p>
      <w:pPr>
        <w:spacing w:after="0" w:line="165"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Net long-term deferred tax liabilities were $7.8 billion and $7.6 billion at June 30, 2010 and December 31, 2009, respectively. Net deferred tax liabilities are primarily the result of purchase accounting for intangible assets in our mergers with CBOT Holdings and NYMEX Holdings.</w:t>
      </w:r>
    </w:p>
    <w:p>
      <w:pPr>
        <w:spacing w:after="0" w:line="8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have a long-term deferred tax asset of $145.9 million included within our domestic long-term deferred tax liability. This deferred tax asset is for an unrealized capital loss incurred in Brazil related to our investment in BM&amp;FBOVESPA. As of June 30, 2010, we do not believe that we currently meet the more-likely-than-not threshold that would allow us to fully realize the value of the unrealized capital loss. As a result, a partial valuation allowance of $64.5 million has been</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94" w:lineRule="auto"/>
        <w:rPr>
          <w:sz w:val="20"/>
          <w:szCs w:val="20"/>
          <w:color w:val="auto"/>
        </w:rPr>
      </w:pPr>
      <w:r>
        <w:rPr>
          <w:rFonts w:ascii="Arial" w:cs="Arial" w:eastAsia="Arial" w:hAnsi="Arial"/>
          <w:sz w:val="16"/>
          <w:szCs w:val="16"/>
          <w:color w:val="auto"/>
        </w:rPr>
        <w:t>provided for the amount of the unrealized capital loss that exceeds potential capital gains that could be used to offset the capital loss in future periods. We also have a long-term deferred tax asset related to Brazilian taxes of $125.3 million for an unrealized capital loss incurred in Brazil related to our investment in BM&amp;FBOVESPA. A full valuation allowance of $125.3 million has been provided because we do not believe that we currently meet the more-likely-than-not threshold that would allow us to realize the value of the unrealized capital loss in Brazil in the future. Valuation allowances of $66.0 million have also been provided for additional unrealized capital losses on various other investments.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Net long-term deferred tax assets also include a $24.8 million deferred tax asset for foreign net operating losses related to Swapstream. Our assessment at</w:t>
      </w:r>
    </w:p>
    <w:p>
      <w:pPr>
        <w:spacing w:after="0" w:line="38"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June 30, 2010 was that we did not currently meet the more-likely-than-not threshold that would allow us to realize the value of acquired and accumulated foreign net operating losses in the future. As a result, the $24.8 million deferred tax assets arising from these net operating losses has been fully reserved.</w:t>
      </w:r>
    </w:p>
    <w:p>
      <w:pPr>
        <w:spacing w:after="0" w:line="20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subject to various market risks, including those caused by changes in interest rates, credit, foreign currency exchange rates and equity prices. There have not been material changes in our exposure to market risk since December 31, 2009. Refer to Item 7A. of CME Group’s Annual Report on Form 10-K for the year ended December 31, 2009 for additional information.</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right="120" w:firstLine="8"/>
        <w:spacing w:after="0" w:line="298" w:lineRule="auto"/>
        <w:tabs>
          <w:tab w:leader="none" w:pos="239"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Disclosure Controls and Procedures. </w:t>
      </w:r>
      <w:r>
        <w:rPr>
          <w:rFonts w:ascii="Arial" w:cs="Arial" w:eastAsia="Arial" w:hAnsi="Arial"/>
          <w:sz w:val="16"/>
          <w:szCs w:val="16"/>
          <w:color w:val="auto"/>
        </w:rPr>
        <w:t>Our management, with the participation of our Chief Executive Officer and Chief Financial Officer, has evaluated the</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effectiveness of our disclosure controls and procedures (as such term is defined in Rules 13a-15(e) and 15d-15(e) under the Securities Exchange Act of 1934, as amended (the Exchange Act)) as of the end of the period covered by this report. Based on such evaluation, our Chief Executive Officer and Chief Financial Officer have concluded that, as of the end of such period, our disclosure controls and procedures are effective.</w:t>
      </w:r>
    </w:p>
    <w:p>
      <w:pPr>
        <w:spacing w:after="0" w:line="113" w:lineRule="exact"/>
        <w:rPr>
          <w:sz w:val="20"/>
          <w:szCs w:val="20"/>
          <w:color w:val="auto"/>
        </w:rPr>
      </w:pPr>
    </w:p>
    <w:p>
      <w:pPr>
        <w:ind w:firstLine="8"/>
        <w:spacing w:after="0" w:line="291" w:lineRule="auto"/>
        <w:tabs>
          <w:tab w:leader="none" w:pos="19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Changes in Internal Control Over Financial Reporting. </w:t>
      </w:r>
      <w:r>
        <w:rPr>
          <w:rFonts w:ascii="Arial" w:cs="Arial" w:eastAsia="Arial" w:hAnsi="Arial"/>
          <w:sz w:val="16"/>
          <w:szCs w:val="16"/>
          <w:color w:val="auto"/>
        </w:rPr>
        <w:t>As required by Rule 13a-15(d) under the Exchange Act, the company’s management, including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Chief Executive Officer and Chief Financial Officer, have evaluated the company’s internal control over financial reporting (as such term is defined in Rules 13a-15(f) and 15d-15(f) under the Exchange Act) to determine whether any changes occurred during the quarter covered by this quarterly report that have materially affected, or are reasonably likely to materially affect, the company’s internal control over financial reporting. There were no changes in the company’s internal control over financial reporting during the period covered by this quarterly report that have materially affected, or are reasonably likely to materially affect, internal control over financial reporting.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update to the legal proceedings disclosure included in the company’s Annual Report on Form 10-K, filed with the SEC on February 26, 2010.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EUREX Action</w:t>
      </w:r>
    </w:p>
    <w:p>
      <w:pPr>
        <w:spacing w:after="0" w:line="9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In October 2003, the U.S. Futures Exchange, L.L.C. (Eurex U.S.) and U.S. Exchange Holdings, Inc. filed suit against CBOT and CME in the United States District Court for the District of Columbia. The suit alleges that CBOT and CME violated the antitrust laws and tortiously interfered with the business relationship and contract between Eurex U.S. and The Clearing Corporation. Eurex U.S. and U.S. Exchange Holdings, Inc. are seeking treble damages. In December 2003, CBOT and CME filed separate motions to dismiss or, in the event the motion to dismiss is denied, to move the venue to the United States District Court for the Northern District of Illinois. In September 2004, the judge granted CBOT’s and CME’s motion to transfer venue to the Northern District of Illinois. In light of that decision, the judge did not rule on the motions to dismiss. In March 2005, Eurex U.S. filed a second amended complaint in the United States District Court for the Northern District of Illinois. In June 2005, CME and CBOT filed a motion to dismiss the complaint which was denied in August 2005. In April 2007, CME and CBOT filed two joint motions for summary judgment. In July 2010, the judge partially granted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company’s motion for summary judgment on the predatory pricing claims, finding no factual basis for such claims. We anticipate receiving a ruling on the remaining claims in the near future. Based on its investigation to date and advice from legal counsel, the company believes this suit is without merit and intends to defend itself vigorously against these charges.</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update to the Risk Factors disclosure included in the company’s Annual Report on Form 10-K, filed with the SEC on February 26, 2010.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impacted by the adoption and implementation of the Dodd-Frank Act.</w:t>
      </w:r>
    </w:p>
    <w:p>
      <w:pPr>
        <w:spacing w:after="0" w:line="90"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On July 21, 2010, the President signed into law the Dodd-Frank Act also known as the Restoring American Financial Stability Act of 2010. This new legislation is a comprehensive banking and financial services reform package that includes significant changes to the oversight of the derivatives markets, both over-the-counter and exchange traded. While we believe that the new regulations provide opportunities for our business which we intend to explore, the Act is subject to extensive rulemaking by the CFTC, the SEC, the Department of Treasury and other regulators. In light of the uncertainty of the final implementation of the Act, there is a risk that the final regulations could include provisions that could negatively impact our business. For example, the Act provides for certain restrictions on swap dealing and proprietary trading, enhancements to the margin requirements and guaranty fund contributions and for position limits. To the extent these provisions negatively impact the trading activity of our customers, our trading volumes and related revenues may be impacted.</w:t>
      </w:r>
    </w:p>
    <w:p>
      <w:pPr>
        <w:spacing w:after="0" w:line="11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accordance with the Act, the CFTC’s authority will be significantly expanded to include over-the-counter derivatives. To the extent rulemaking stemming from the Act includes a more rules-based approach versus the CFTC’s existing principles-based approach, our ability to efficiently operate our business could be impaired.</w:t>
      </w:r>
    </w:p>
    <w:p>
      <w:pPr>
        <w:spacing w:after="0" w:line="14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Act also provides for central clearing of “clearable” over-the-counter swaps and requires that swaps that are cleared to be traded on exchanges or swap execution facilities. While these new requirements create new opportunities for us to expand our over-the-counter business, a number of market participants and exchanges have developed, and likely will develop in the future, competing platforms and products. We cannot guarantee that we will be able to compete effectively or that our initiatives will be successful.</w:t>
      </w:r>
    </w:p>
    <w:p>
      <w:pPr>
        <w:spacing w:after="0" w:line="14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To the extent the regulatory environment following the implementation of the Act is less beneficial for us or our customers, our business, financial condition and operating results could be negatively affected.</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Unregistered Sales of Equity Securities</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On June 22, 2010, CME Group and BM&amp;FBOVESPA entered into a definitive Share Purchase and Investor Rights Agreement providing for, among other things, BM&amp;FBOVESPA’s increase in its ownership interest in CME Group to approximately 5% as previously announced in February 2010 as part of the expansion of their existing strategic partnership. Pursuant to the agreement, on July 16, 2010, CME Group issued to BM&amp;FBOVESPA 2,206,478 shares of its Class A common stock, par value $0.01 per share, at a purchase price per share of $275.12 in cash, or approximately $607 million in the aggregate. The Class A Common Stock was issued and sold in reliance on the exemption from the registration provisions of the Securities Act of 1933 set forth in Section 4(2) thereof.</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Issuer Purchases of Equity Securities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(d) 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1"/>
              </w:rPr>
              <w:t>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 Total Number of</w:t>
            </w:r>
          </w:p>
        </w:tc>
        <w:tc>
          <w:tcPr>
            <w:tcW w:w="760" w:type="dxa"/>
            <w:vAlign w:val="bottom"/>
          </w:tcPr>
          <w:p>
            <w:pPr>
              <w:spacing w:after="0"/>
              <w:rPr>
                <w:sz w:val="12"/>
                <w:szCs w:val="12"/>
                <w:color w:val="auto"/>
              </w:rPr>
            </w:pPr>
          </w:p>
        </w:tc>
        <w:tc>
          <w:tcPr>
            <w:tcW w:w="8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Class A</w:t>
            </w:r>
          </w:p>
        </w:tc>
        <w:tc>
          <w:tcPr>
            <w:tcW w:w="76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Purchased as</w:t>
            </w:r>
          </w:p>
        </w:tc>
        <w:tc>
          <w:tcPr>
            <w:tcW w:w="76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6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(a) Total Number of</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Part of Publicly</w:t>
            </w:r>
          </w:p>
        </w:tc>
        <w:tc>
          <w:tcPr>
            <w:tcW w:w="76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the Plans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6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Class A</w:t>
            </w:r>
          </w:p>
        </w:tc>
        <w:tc>
          <w:tcPr>
            <w:tcW w:w="360" w:type="dxa"/>
            <w:vAlign w:val="bottom"/>
          </w:tcPr>
          <w:p>
            <w:pPr>
              <w:spacing w:after="0"/>
              <w:rPr>
                <w:sz w:val="12"/>
                <w:szCs w:val="12"/>
                <w:color w:val="auto"/>
              </w:rPr>
            </w:pPr>
          </w:p>
        </w:tc>
        <w:tc>
          <w:tcPr>
            <w:tcW w:w="10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(b) Average Price</w:t>
            </w:r>
          </w:p>
        </w:tc>
        <w:tc>
          <w:tcPr>
            <w:tcW w:w="7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Announced</w:t>
            </w:r>
          </w:p>
        </w:tc>
        <w:tc>
          <w:tcPr>
            <w:tcW w:w="76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Programs(2)</w:t>
            </w:r>
          </w:p>
        </w:tc>
        <w:tc>
          <w:tcPr>
            <w:tcW w:w="0" w:type="dxa"/>
            <w:vAlign w:val="bottom"/>
          </w:tcPr>
          <w:p>
            <w:pPr>
              <w:spacing w:after="0"/>
              <w:rPr>
                <w:sz w:val="1"/>
                <w:szCs w:val="1"/>
                <w:color w:val="auto"/>
              </w:rPr>
            </w:pPr>
          </w:p>
        </w:tc>
      </w:tr>
      <w:tr>
        <w:trPr>
          <w:trHeight w:val="161"/>
        </w:trPr>
        <w:tc>
          <w:tcPr>
            <w:tcW w:w="406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16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Shares Purchased (1)</w:t>
            </w:r>
          </w:p>
        </w:tc>
        <w:tc>
          <w:tcPr>
            <w:tcW w:w="36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Paid Per Share</w:t>
            </w:r>
          </w:p>
        </w:tc>
        <w:tc>
          <w:tcPr>
            <w:tcW w:w="74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6"/>
              </w:rPr>
              <w:t>Plans or Programs</w:t>
            </w:r>
          </w:p>
        </w:tc>
        <w:tc>
          <w:tcPr>
            <w:tcW w:w="760" w:type="dxa"/>
            <w:vAlign w:val="bottom"/>
          </w:tcPr>
          <w:p>
            <w:pPr>
              <w:spacing w:after="0"/>
              <w:rPr>
                <w:sz w:val="14"/>
                <w:szCs w:val="14"/>
                <w:color w:val="auto"/>
              </w:rPr>
            </w:pP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(in millions)</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3660" w:type="dxa"/>
            <w:vAlign w:val="bottom"/>
          </w:tcPr>
          <w:p>
            <w:pPr>
              <w:spacing w:after="0"/>
              <w:rPr>
                <w:sz w:val="8"/>
                <w:szCs w:val="8"/>
                <w:color w:val="auto"/>
              </w:rPr>
            </w:pPr>
          </w:p>
        </w:tc>
        <w:tc>
          <w:tcPr>
            <w:tcW w:w="122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180" w:type="dxa"/>
            <w:vAlign w:val="bottom"/>
            <w:tcBorders>
              <w:top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 to April 30</w:t>
            </w: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41,297</w:t>
            </w: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309.25</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41,297</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060" w:type="dxa"/>
            <w:vAlign w:val="bottom"/>
            <w:gridSpan w:val="3"/>
          </w:tcPr>
          <w:p>
            <w:pPr>
              <w:spacing w:after="0"/>
              <w:rPr>
                <w:sz w:val="20"/>
                <w:szCs w:val="20"/>
                <w:color w:val="auto"/>
              </w:rPr>
            </w:pPr>
            <w:r>
              <w:rPr>
                <w:rFonts w:ascii="Arial" w:cs="Arial" w:eastAsia="Arial" w:hAnsi="Arial"/>
                <w:sz w:val="18"/>
                <w:szCs w:val="18"/>
                <w:color w:val="auto"/>
              </w:rPr>
              <w:t>May 1 to May 31</w:t>
            </w:r>
          </w:p>
        </w:tc>
        <w:tc>
          <w:tcPr>
            <w:tcW w:w="1600" w:type="dxa"/>
            <w:vAlign w:val="bottom"/>
            <w:gridSpan w:val="2"/>
          </w:tcPr>
          <w:p>
            <w:pPr>
              <w:jc w:val="right"/>
              <w:ind w:right="380"/>
              <w:spacing w:after="0"/>
              <w:rPr>
                <w:sz w:val="20"/>
                <w:szCs w:val="20"/>
                <w:color w:val="auto"/>
              </w:rPr>
            </w:pPr>
            <w:r>
              <w:rPr>
                <w:rFonts w:ascii="Arial" w:cs="Arial" w:eastAsia="Arial" w:hAnsi="Arial"/>
                <w:sz w:val="18"/>
                <w:szCs w:val="18"/>
                <w:color w:val="auto"/>
              </w:rPr>
              <w:t>5,135</w:t>
            </w:r>
          </w:p>
        </w:tc>
        <w:tc>
          <w:tcPr>
            <w:tcW w:w="6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308.66</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5,135</w:t>
            </w:r>
          </w:p>
        </w:tc>
        <w:tc>
          <w:tcPr>
            <w:tcW w:w="1580" w:type="dxa"/>
            <w:vAlign w:val="bottom"/>
            <w:gridSpan w:val="3"/>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80" w:type="dxa"/>
            <w:vAlign w:val="bottom"/>
          </w:tcPr>
          <w:p>
            <w:pPr>
              <w:spacing w:after="0"/>
              <w:rPr>
                <w:sz w:val="9"/>
                <w:szCs w:val="9"/>
                <w:color w:val="auto"/>
              </w:rPr>
            </w:pPr>
          </w:p>
        </w:tc>
        <w:tc>
          <w:tcPr>
            <w:tcW w:w="36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 to June 30</w:t>
            </w: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265</w:t>
            </w: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310.10</w:t>
            </w:r>
          </w:p>
        </w:tc>
        <w:tc>
          <w:tcPr>
            <w:tcW w:w="7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060" w:type="dxa"/>
            <w:vAlign w:val="bottom"/>
            <w:gridSpan w:val="3"/>
          </w:tcPr>
          <w:p>
            <w:pPr>
              <w:spacing w:after="0"/>
              <w:rPr>
                <w:sz w:val="20"/>
                <w:szCs w:val="20"/>
                <w:color w:val="auto"/>
              </w:rPr>
            </w:pPr>
            <w:r>
              <w:rPr>
                <w:rFonts w:ascii="Arial" w:cs="Arial" w:eastAsia="Arial" w:hAnsi="Arial"/>
                <w:sz w:val="18"/>
                <w:szCs w:val="18"/>
                <w:color w:val="auto"/>
              </w:rPr>
              <w:t>Total</w:t>
            </w:r>
          </w:p>
        </w:tc>
        <w:tc>
          <w:tcPr>
            <w:tcW w:w="1600" w:type="dxa"/>
            <w:vAlign w:val="bottom"/>
            <w:gridSpan w:val="2"/>
          </w:tcPr>
          <w:p>
            <w:pPr>
              <w:jc w:val="right"/>
              <w:ind w:right="380"/>
              <w:spacing w:after="0"/>
              <w:rPr>
                <w:sz w:val="20"/>
                <w:szCs w:val="20"/>
                <w:color w:val="auto"/>
              </w:rPr>
            </w:pPr>
            <w:r>
              <w:rPr>
                <w:rFonts w:ascii="Arial" w:cs="Arial" w:eastAsia="Arial" w:hAnsi="Arial"/>
                <w:sz w:val="18"/>
                <w:szCs w:val="18"/>
                <w:color w:val="auto"/>
              </w:rPr>
              <w:t>46,697</w:t>
            </w:r>
          </w:p>
        </w:tc>
        <w:tc>
          <w:tcPr>
            <w:tcW w:w="6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309.19</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46,432</w:t>
            </w:r>
          </w:p>
        </w:tc>
        <w:tc>
          <w:tcPr>
            <w:tcW w:w="1580" w:type="dxa"/>
            <w:vAlign w:val="bottom"/>
            <w:gridSpan w:val="3"/>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460" w:right="80" w:hanging="452"/>
        <w:spacing w:after="0" w:line="253"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Shares purchased consist of an aggregate of 265 shares of Class A common stock surrendered in the second quarter of 2010 to satisfy employees’ tax obligations upon the vesting of restricted stock and an aggregate of 46,432 shares of Class A common stock purchased under our publicly announced share repurchase program as described below.</w:t>
      </w:r>
    </w:p>
    <w:p>
      <w:pPr>
        <w:ind w:left="460" w:hanging="452"/>
        <w:spacing w:after="0" w:line="281"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Under the terms of the share buyback program announced on February 12, 2010, the company is authorized to purchase shares of Class A common stock up to 2.35 million shares. The authorization of the buyback was approved in connection with our agreement to issue additional Class A common shares to BM&amp;FBOVESPA to increase its aggregate share ownership in the company to 5% and serves to offset the dilution of the shares issued to</w:t>
      </w:r>
    </w:p>
    <w:p>
      <w:pPr>
        <w:spacing w:after="0" w:line="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BM&amp;FBOVESPA.</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160" w:type="dxa"/>
            <w:vAlign w:val="bottom"/>
          </w:tcPr>
          <w:p>
            <w:pPr>
              <w:ind w:left="180"/>
              <w:spacing w:after="0"/>
              <w:rPr>
                <w:sz w:val="20"/>
                <w:szCs w:val="20"/>
                <w:color w:val="auto"/>
              </w:rPr>
            </w:pPr>
            <w:r>
              <w:rPr>
                <w:rFonts w:ascii="Arial" w:cs="Arial" w:eastAsia="Arial" w:hAnsi="Arial"/>
                <w:sz w:val="18"/>
                <w:szCs w:val="18"/>
                <w:b w:val="1"/>
                <w:bCs w:val="1"/>
                <w:color w:val="auto"/>
              </w:rPr>
              <w:t>Exhibits</w:t>
            </w:r>
          </w:p>
        </w:tc>
        <w:tc>
          <w:tcPr>
            <w:tcW w:w="5720" w:type="dxa"/>
            <w:vAlign w:val="bottom"/>
          </w:tcPr>
          <w:p>
            <w:pPr>
              <w:spacing w:after="0"/>
              <w:rPr>
                <w:sz w:val="19"/>
                <w:szCs w:val="19"/>
                <w:color w:val="auto"/>
              </w:rPr>
            </w:pPr>
          </w:p>
        </w:tc>
      </w:tr>
      <w:tr>
        <w:trPr>
          <w:trHeight w:val="419"/>
        </w:trPr>
        <w:tc>
          <w:tcPr>
            <w:tcW w:w="860" w:type="dxa"/>
            <w:vAlign w:val="bottom"/>
          </w:tcPr>
          <w:p>
            <w:pPr>
              <w:ind w:left="100"/>
              <w:spacing w:after="0"/>
              <w:rPr>
                <w:sz w:val="20"/>
                <w:szCs w:val="20"/>
                <w:color w:val="auto"/>
              </w:rPr>
            </w:pPr>
            <w:r>
              <w:rPr>
                <w:rFonts w:ascii="Arial" w:cs="Arial" w:eastAsia="Arial" w:hAnsi="Arial"/>
                <w:sz w:val="18"/>
                <w:szCs w:val="18"/>
                <w:color w:val="auto"/>
              </w:rPr>
              <w:t>10.1*</w:t>
            </w:r>
          </w:p>
        </w:tc>
        <w:tc>
          <w:tcPr>
            <w:tcW w:w="6880" w:type="dxa"/>
            <w:vAlign w:val="bottom"/>
            <w:gridSpan w:val="2"/>
          </w:tcPr>
          <w:p>
            <w:pPr>
              <w:ind w:left="300"/>
              <w:spacing w:after="0"/>
              <w:rPr>
                <w:sz w:val="20"/>
                <w:szCs w:val="20"/>
                <w:color w:val="auto"/>
              </w:rPr>
            </w:pPr>
            <w:r>
              <w:rPr>
                <w:rFonts w:ascii="Arial" w:cs="Arial" w:eastAsia="Arial" w:hAnsi="Arial"/>
                <w:sz w:val="18"/>
                <w:szCs w:val="18"/>
                <w:color w:val="auto"/>
                <w:w w:val="88"/>
              </w:rPr>
              <w:t>First Amendment to the CME Group Inc. Employee Stock Purchase Plan, dated May 6, 2010.</w:t>
            </w:r>
          </w:p>
        </w:tc>
      </w:tr>
      <w:tr>
        <w:trPr>
          <w:trHeight w:val="324"/>
        </w:trPr>
        <w:tc>
          <w:tcPr>
            <w:tcW w:w="860" w:type="dxa"/>
            <w:vAlign w:val="bottom"/>
          </w:tcPr>
          <w:p>
            <w:pPr>
              <w:ind w:left="100"/>
              <w:spacing w:after="0"/>
              <w:rPr>
                <w:sz w:val="20"/>
                <w:szCs w:val="20"/>
                <w:color w:val="auto"/>
              </w:rPr>
            </w:pPr>
            <w:r>
              <w:rPr>
                <w:rFonts w:ascii="Arial" w:cs="Arial" w:eastAsia="Arial" w:hAnsi="Arial"/>
                <w:sz w:val="18"/>
                <w:szCs w:val="18"/>
                <w:color w:val="auto"/>
              </w:rPr>
              <w:t>31.1</w:t>
            </w:r>
          </w:p>
        </w:tc>
        <w:tc>
          <w:tcPr>
            <w:tcW w:w="1160" w:type="dxa"/>
            <w:vAlign w:val="bottom"/>
          </w:tcPr>
          <w:p>
            <w:pPr>
              <w:ind w:left="300"/>
              <w:spacing w:after="0"/>
              <w:rPr>
                <w:sz w:val="20"/>
                <w:szCs w:val="20"/>
                <w:color w:val="auto"/>
              </w:rPr>
            </w:pPr>
            <w:r>
              <w:rPr>
                <w:rFonts w:ascii="Arial" w:cs="Arial" w:eastAsia="Arial" w:hAnsi="Arial"/>
                <w:sz w:val="18"/>
                <w:szCs w:val="18"/>
                <w:color w:val="auto"/>
                <w:w w:val="88"/>
              </w:rPr>
              <w:t>Section 302</w:t>
            </w:r>
          </w:p>
        </w:tc>
        <w:tc>
          <w:tcPr>
            <w:tcW w:w="5720" w:type="dxa"/>
            <w:vAlign w:val="bottom"/>
          </w:tcPr>
          <w:p>
            <w:pPr>
              <w:ind w:left="20"/>
              <w:spacing w:after="0"/>
              <w:rPr>
                <w:sz w:val="20"/>
                <w:szCs w:val="20"/>
                <w:color w:val="auto"/>
              </w:rPr>
            </w:pPr>
            <w:r>
              <w:rPr>
                <w:rFonts w:ascii="Arial" w:cs="Arial" w:eastAsia="Arial" w:hAnsi="Arial"/>
                <w:sz w:val="18"/>
                <w:szCs w:val="18"/>
                <w:color w:val="auto"/>
              </w:rPr>
              <w:t>Certification—Craig S. Donohue</w:t>
            </w:r>
          </w:p>
        </w:tc>
      </w:tr>
      <w:tr>
        <w:trPr>
          <w:trHeight w:val="324"/>
        </w:trPr>
        <w:tc>
          <w:tcPr>
            <w:tcW w:w="860" w:type="dxa"/>
            <w:vAlign w:val="bottom"/>
          </w:tcPr>
          <w:p>
            <w:pPr>
              <w:ind w:left="100"/>
              <w:spacing w:after="0"/>
              <w:rPr>
                <w:sz w:val="20"/>
                <w:szCs w:val="20"/>
                <w:color w:val="auto"/>
              </w:rPr>
            </w:pPr>
            <w:r>
              <w:rPr>
                <w:rFonts w:ascii="Arial" w:cs="Arial" w:eastAsia="Arial" w:hAnsi="Arial"/>
                <w:sz w:val="18"/>
                <w:szCs w:val="18"/>
                <w:color w:val="auto"/>
              </w:rPr>
              <w:t>31.2</w:t>
            </w:r>
          </w:p>
        </w:tc>
        <w:tc>
          <w:tcPr>
            <w:tcW w:w="1160" w:type="dxa"/>
            <w:vAlign w:val="bottom"/>
          </w:tcPr>
          <w:p>
            <w:pPr>
              <w:ind w:left="300"/>
              <w:spacing w:after="0"/>
              <w:rPr>
                <w:sz w:val="20"/>
                <w:szCs w:val="20"/>
                <w:color w:val="auto"/>
              </w:rPr>
            </w:pPr>
            <w:r>
              <w:rPr>
                <w:rFonts w:ascii="Arial" w:cs="Arial" w:eastAsia="Arial" w:hAnsi="Arial"/>
                <w:sz w:val="18"/>
                <w:szCs w:val="18"/>
                <w:color w:val="auto"/>
                <w:w w:val="88"/>
              </w:rPr>
              <w:t>Section 302</w:t>
            </w:r>
          </w:p>
        </w:tc>
        <w:tc>
          <w:tcPr>
            <w:tcW w:w="5720" w:type="dxa"/>
            <w:vAlign w:val="bottom"/>
          </w:tcPr>
          <w:p>
            <w:pPr>
              <w:ind w:left="20"/>
              <w:spacing w:after="0"/>
              <w:rPr>
                <w:sz w:val="20"/>
                <w:szCs w:val="20"/>
                <w:color w:val="auto"/>
              </w:rPr>
            </w:pPr>
            <w:r>
              <w:rPr>
                <w:rFonts w:ascii="Arial" w:cs="Arial" w:eastAsia="Arial" w:hAnsi="Arial"/>
                <w:sz w:val="18"/>
                <w:szCs w:val="18"/>
                <w:color w:val="auto"/>
              </w:rPr>
              <w:t>Certification—James E. Parisi</w:t>
            </w:r>
          </w:p>
        </w:tc>
      </w:tr>
      <w:tr>
        <w:trPr>
          <w:trHeight w:val="324"/>
        </w:trPr>
        <w:tc>
          <w:tcPr>
            <w:tcW w:w="860" w:type="dxa"/>
            <w:vAlign w:val="bottom"/>
          </w:tcPr>
          <w:p>
            <w:pPr>
              <w:ind w:left="100"/>
              <w:spacing w:after="0"/>
              <w:rPr>
                <w:sz w:val="20"/>
                <w:szCs w:val="20"/>
                <w:color w:val="auto"/>
              </w:rPr>
            </w:pPr>
            <w:r>
              <w:rPr>
                <w:rFonts w:ascii="Arial" w:cs="Arial" w:eastAsia="Arial" w:hAnsi="Arial"/>
                <w:sz w:val="18"/>
                <w:szCs w:val="18"/>
                <w:color w:val="auto"/>
              </w:rPr>
              <w:t>32.1</w:t>
            </w:r>
          </w:p>
        </w:tc>
        <w:tc>
          <w:tcPr>
            <w:tcW w:w="1160" w:type="dxa"/>
            <w:vAlign w:val="bottom"/>
          </w:tcPr>
          <w:p>
            <w:pPr>
              <w:ind w:left="300"/>
              <w:spacing w:after="0"/>
              <w:rPr>
                <w:sz w:val="20"/>
                <w:szCs w:val="20"/>
                <w:color w:val="auto"/>
              </w:rPr>
            </w:pPr>
            <w:r>
              <w:rPr>
                <w:rFonts w:ascii="Arial" w:cs="Arial" w:eastAsia="Arial" w:hAnsi="Arial"/>
                <w:sz w:val="18"/>
                <w:szCs w:val="18"/>
                <w:color w:val="auto"/>
                <w:w w:val="88"/>
              </w:rPr>
              <w:t>Section 906</w:t>
            </w:r>
          </w:p>
        </w:tc>
        <w:tc>
          <w:tcPr>
            <w:tcW w:w="5720" w:type="dxa"/>
            <w:vAlign w:val="bottom"/>
          </w:tcPr>
          <w:p>
            <w:pPr>
              <w:ind w:left="20"/>
              <w:spacing w:after="0"/>
              <w:rPr>
                <w:sz w:val="20"/>
                <w:szCs w:val="20"/>
                <w:color w:val="auto"/>
              </w:rPr>
            </w:pPr>
            <w:r>
              <w:rPr>
                <w:rFonts w:ascii="Arial" w:cs="Arial" w:eastAsia="Arial" w:hAnsi="Arial"/>
                <w:sz w:val="18"/>
                <w:szCs w:val="18"/>
                <w:color w:val="auto"/>
              </w:rPr>
              <w:t>Certification</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6880" w:type="dxa"/>
            <w:vAlign w:val="bottom"/>
            <w:gridSpan w:val="2"/>
          </w:tcPr>
          <w:p>
            <w:pPr>
              <w:ind w:left="300"/>
              <w:spacing w:after="0"/>
              <w:rPr>
                <w:sz w:val="20"/>
                <w:szCs w:val="20"/>
                <w:color w:val="auto"/>
              </w:rPr>
            </w:pPr>
            <w:r>
              <w:rPr>
                <w:rFonts w:ascii="Arial" w:cs="Arial" w:eastAsia="Arial" w:hAnsi="Arial"/>
                <w:sz w:val="18"/>
                <w:szCs w:val="18"/>
                <w:color w:val="auto"/>
              </w:rPr>
              <w:t>XBRL Instance Document</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6880" w:type="dxa"/>
            <w:vAlign w:val="bottom"/>
            <w:gridSpan w:val="2"/>
          </w:tcPr>
          <w:p>
            <w:pPr>
              <w:ind w:left="30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6880" w:type="dxa"/>
            <w:vAlign w:val="bottom"/>
            <w:gridSpan w:val="2"/>
          </w:tcPr>
          <w:p>
            <w:pPr>
              <w:ind w:left="3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6880" w:type="dxa"/>
            <w:vAlign w:val="bottom"/>
            <w:gridSpan w:val="2"/>
          </w:tcPr>
          <w:p>
            <w:pPr>
              <w:ind w:left="300"/>
              <w:spacing w:after="0"/>
              <w:rPr>
                <w:sz w:val="20"/>
                <w:szCs w:val="20"/>
                <w:color w:val="auto"/>
              </w:rPr>
            </w:pPr>
            <w:r>
              <w:rPr>
                <w:rFonts w:ascii="Arial" w:cs="Arial" w:eastAsia="Arial" w:hAnsi="Arial"/>
                <w:sz w:val="18"/>
                <w:szCs w:val="18"/>
                <w:color w:val="auto"/>
              </w:rPr>
              <w:t>XBRL Taxonomy Extension Definition Linkbase</w:t>
            </w:r>
          </w:p>
        </w:tc>
      </w:tr>
      <w:tr>
        <w:trPr>
          <w:trHeight w:val="365"/>
        </w:trPr>
        <w:tc>
          <w:tcPr>
            <w:tcW w:w="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720" w:type="dxa"/>
            <w:vAlign w:val="bottom"/>
          </w:tcPr>
          <w:p>
            <w:pPr>
              <w:jc w:val="right"/>
              <w:ind w:right="1852"/>
              <w:spacing w:after="0"/>
              <w:rPr>
                <w:sz w:val="20"/>
                <w:szCs w:val="20"/>
                <w:color w:val="auto"/>
              </w:rPr>
            </w:pPr>
            <w:r>
              <w:rPr>
                <w:rFonts w:ascii="Arial" w:cs="Arial" w:eastAsia="Arial" w:hAnsi="Arial"/>
                <w:sz w:val="18"/>
                <w:szCs w:val="18"/>
                <w:color w:val="auto"/>
              </w:rPr>
              <w:t>31</w:t>
            </w:r>
          </w:p>
        </w:tc>
      </w:tr>
    </w:tbl>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462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4620" w:type="dxa"/>
            <w:vAlign w:val="bottom"/>
          </w:tcPr>
          <w:p>
            <w:pPr>
              <w:ind w:left="240"/>
              <w:spacing w:after="0"/>
              <w:rPr>
                <w:sz w:val="20"/>
                <w:szCs w:val="20"/>
                <w:color w:val="auto"/>
              </w:rPr>
            </w:pPr>
            <w:r>
              <w:rPr>
                <w:rFonts w:ascii="Arial" w:cs="Arial" w:eastAsia="Arial" w:hAnsi="Arial"/>
                <w:sz w:val="18"/>
                <w:szCs w:val="18"/>
                <w:color w:val="auto"/>
                <w:w w:val="88"/>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Compensatory plan.</w:t>
      </w:r>
    </w:p>
    <w:p>
      <w:pPr>
        <w:spacing w:after="0" w:line="15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219"/>
          </w:cols>
          <w:pgMar w:left="240" w:top="459" w:right="1440"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CME Group Inc.</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(Registrant)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560" w:type="dxa"/>
            <w:vAlign w:val="bottom"/>
          </w:tcPr>
          <w:p>
            <w:pPr>
              <w:spacing w:after="0"/>
              <w:rPr>
                <w:sz w:val="20"/>
                <w:szCs w:val="20"/>
                <w:color w:val="auto"/>
              </w:rPr>
            </w:pPr>
            <w:r>
              <w:rPr>
                <w:rFonts w:ascii="Arial" w:cs="Arial" w:eastAsia="Arial" w:hAnsi="Arial"/>
                <w:sz w:val="18"/>
                <w:szCs w:val="18"/>
                <w:color w:val="auto"/>
              </w:rPr>
              <w:t>Dated: August 6, 2010</w:t>
            </w:r>
          </w:p>
        </w:tc>
        <w:tc>
          <w:tcPr>
            <w:tcW w:w="2500" w:type="dxa"/>
            <w:vAlign w:val="bottom"/>
          </w:tcPr>
          <w:p>
            <w:pPr>
              <w:jc w:val="right"/>
              <w:ind w:right="212"/>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JAMES E. PARISI</w:t>
            </w:r>
          </w:p>
        </w:tc>
      </w:tr>
      <w:tr>
        <w:trPr>
          <w:trHeight w:val="169"/>
        </w:trPr>
        <w:tc>
          <w:tcPr>
            <w:tcW w:w="35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89"/>
              </w:rPr>
              <w:t>Chief Financial Officer &amp; Managing Director Finance and Corporate Development</w:t>
            </w:r>
          </w:p>
        </w:tc>
      </w:tr>
      <w:tr>
        <w:trPr>
          <w:trHeight w:val="350"/>
        </w:trPr>
        <w:tc>
          <w:tcPr>
            <w:tcW w:w="3560" w:type="dxa"/>
            <w:vAlign w:val="bottom"/>
          </w:tcPr>
          <w:p>
            <w:pPr>
              <w:spacing w:after="0"/>
              <w:rPr>
                <w:sz w:val="24"/>
                <w:szCs w:val="24"/>
                <w:color w:val="auto"/>
              </w:rPr>
            </w:pPr>
          </w:p>
        </w:tc>
        <w:tc>
          <w:tcPr>
            <w:tcW w:w="2500" w:type="dxa"/>
            <w:vAlign w:val="bottom"/>
          </w:tcPr>
          <w:p>
            <w:pPr>
              <w:jc w:val="right"/>
              <w:ind w:right="172"/>
              <w:spacing w:after="0"/>
              <w:rPr>
                <w:sz w:val="20"/>
                <w:szCs w:val="20"/>
                <w:color w:val="auto"/>
              </w:rPr>
            </w:pPr>
            <w:r>
              <w:rPr>
                <w:rFonts w:ascii="Arial" w:cs="Arial" w:eastAsia="Arial" w:hAnsi="Arial"/>
                <w:sz w:val="18"/>
                <w:szCs w:val="18"/>
                <w:color w:val="auto"/>
              </w:rPr>
              <w:t>33</w:t>
            </w:r>
          </w:p>
        </w:tc>
        <w:tc>
          <w:tcPr>
            <w:tcW w:w="53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THE CME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 STOCK PURCHASE PLAN</w:t>
      </w:r>
    </w:p>
    <w:p>
      <w:pPr>
        <w:spacing w:after="0" w:line="16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This First Amendment (this “First Amendment”) amends the CME Group Inc. Employee Stock Purchase Plan (formerly known as the Chicago Mercantile Exchange Holdings Inc. Employee Stock Purchase Plan and hereinafter, the “Plan”). All capitalized terms used but not defined herein shall have the meanings assigned to those terms under the Plan.</w:t>
      </w:r>
    </w:p>
    <w:p>
      <w:pPr>
        <w:spacing w:after="0" w:line="59"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Pursuant to Section 19 of the Plan, Section 6.a of the Plan is hereby restated in its entirety, as follows:</w:t>
      </w:r>
    </w:p>
    <w:p>
      <w:pPr>
        <w:spacing w:after="0" w:line="90" w:lineRule="exact"/>
        <w:rPr>
          <w:rFonts w:ascii="Arial" w:cs="Arial" w:eastAsia="Arial" w:hAnsi="Arial"/>
          <w:sz w:val="18"/>
          <w:szCs w:val="18"/>
          <w:color w:val="auto"/>
        </w:rPr>
      </w:pPr>
    </w:p>
    <w:p>
      <w:pPr>
        <w:ind w:left="460" w:right="40"/>
        <w:spacing w:after="0" w:line="289" w:lineRule="auto"/>
        <w:rPr>
          <w:rFonts w:ascii="Arial" w:cs="Arial" w:eastAsia="Arial" w:hAnsi="Arial"/>
          <w:sz w:val="18"/>
          <w:szCs w:val="18"/>
          <w:color w:val="auto"/>
        </w:rPr>
      </w:pPr>
      <w:r>
        <w:rPr>
          <w:rFonts w:ascii="Arial" w:cs="Arial" w:eastAsia="Arial" w:hAnsi="Arial"/>
          <w:sz w:val="16"/>
          <w:szCs w:val="16"/>
          <w:color w:val="auto"/>
        </w:rPr>
        <w:t>a. Subject to the provisions hereof, a Participant may, in accordance with rules and procedures adopted by the Committee, authorize a payroll deduction of any whole percentage from one percent to ten percent of such Participant’s annual base salary each pay period (the permissible range within such percentages to be determined by the Committee from time to time). A Participant may increase or decrease such payroll deduction (including a cessation of payroll deductions) at any time, by filing a new authorization form with his or her Employer. All payroll deductions made by a Participant shall be credited to such Participant’s bookkeeping account under the Plan. Notwithstanding anything to the contrary set forth herein, in no event shall the amount of a Participant’s payroll deductions used to purchase Shares hereunder for any Purchase Period exceed ten percent of the Participant’s annual base salary paid during the Purchase Period, measured based on the annual base salary at the rate in effect on January 1 of the year in which the Purchase period commences.</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terms of the Plan, as amended hereby, are confirmed in all respects and remain in full force and effect.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This First Amendment is effective as of May 6, 2010.</w:t>
      </w:r>
    </w:p>
    <w:p>
      <w:pPr>
        <w:sectPr>
          <w:pgSz w:w="11900" w:h="16838" w:orient="portrait"/>
          <w:cols w:equalWidth="0" w:num="1">
            <w:col w:w="11420"/>
          </w:cols>
          <w:pgMar w:left="240" w:top="125"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Craig S. Donohue, certify that:</w:t>
      </w:r>
    </w:p>
    <w:p>
      <w:pPr>
        <w:spacing w:after="0" w:line="171" w:lineRule="exact"/>
        <w:rPr>
          <w:sz w:val="20"/>
          <w:szCs w:val="20"/>
          <w:color w:val="auto"/>
        </w:rPr>
      </w:pPr>
    </w:p>
    <w:p>
      <w:pPr>
        <w:ind w:left="640" w:hanging="17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report on Form 10-Q of CME Group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sz w:val="20"/>
          <w:szCs w:val="20"/>
          <w:color w:val="auto"/>
        </w:rPr>
      </w:pPr>
    </w:p>
    <w:p>
      <w:pPr>
        <w:ind w:firstLine="464"/>
        <w:spacing w:after="0" w:line="259" w:lineRule="auto"/>
        <w:tabs>
          <w:tab w:leader="none" w:pos="637"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120" w:firstLine="464"/>
        <w:spacing w:after="0" w:line="259" w:lineRule="auto"/>
        <w:tabs>
          <w:tab w:leader="none" w:pos="647"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60" w:firstLine="464"/>
        <w:spacing w:after="0" w:line="268" w:lineRule="auto"/>
        <w:tabs>
          <w:tab w:leader="none" w:pos="637"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647"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85" w:lineRule="exact"/>
        <w:rPr>
          <w:sz w:val="20"/>
          <w:szCs w:val="20"/>
          <w:color w:val="auto"/>
        </w:rPr>
      </w:pPr>
    </w:p>
    <w:p>
      <w:pPr>
        <w:ind w:right="100" w:firstLine="464"/>
        <w:spacing w:after="0" w:line="268" w:lineRule="auto"/>
        <w:tabs>
          <w:tab w:leader="none" w:pos="637"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320" w:firstLine="464"/>
        <w:spacing w:after="0" w:line="268" w:lineRule="auto"/>
        <w:tabs>
          <w:tab w:leader="none" w:pos="647"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2010</w:t>
      </w:r>
    </w:p>
    <w:p>
      <w:pPr>
        <w:spacing w:after="0" w:line="212"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 Craig S. Donohue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Craig S. Donohue</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UExecutive Officer</w:t>
      </w:r>
    </w:p>
    <w:p>
      <w:pPr>
        <w:sectPr>
          <w:pgSz w:w="11900" w:h="16838" w:orient="portrait"/>
          <w:cols w:equalWidth="0" w:num="1">
            <w:col w:w="11420"/>
          </w:cols>
          <w:pgMar w:left="240" w:top="125"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James E. Parisi, certify that:</w:t>
      </w:r>
    </w:p>
    <w:p>
      <w:pPr>
        <w:spacing w:after="0" w:line="171" w:lineRule="exact"/>
        <w:rPr>
          <w:sz w:val="20"/>
          <w:szCs w:val="20"/>
          <w:color w:val="auto"/>
        </w:rPr>
      </w:pPr>
    </w:p>
    <w:p>
      <w:pPr>
        <w:ind w:left="640" w:hanging="17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report on Form 10-Q of CME Group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2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sz w:val="20"/>
          <w:szCs w:val="20"/>
          <w:color w:val="auto"/>
        </w:rPr>
      </w:pPr>
    </w:p>
    <w:p>
      <w:pPr>
        <w:ind w:firstLine="464"/>
        <w:spacing w:after="0" w:line="259" w:lineRule="auto"/>
        <w:tabs>
          <w:tab w:leader="none" w:pos="637"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120" w:firstLine="464"/>
        <w:spacing w:after="0" w:line="259" w:lineRule="auto"/>
        <w:tabs>
          <w:tab w:leader="none" w:pos="647"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60" w:firstLine="464"/>
        <w:spacing w:after="0" w:line="268" w:lineRule="auto"/>
        <w:tabs>
          <w:tab w:leader="none" w:pos="637" w:val="left"/>
        </w:tabs>
        <w:numPr>
          <w:ilvl w:val="0"/>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647"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85" w:lineRule="exact"/>
        <w:rPr>
          <w:sz w:val="20"/>
          <w:szCs w:val="20"/>
          <w:color w:val="auto"/>
        </w:rPr>
      </w:pPr>
    </w:p>
    <w:p>
      <w:pPr>
        <w:ind w:right="100" w:firstLine="464"/>
        <w:spacing w:after="0" w:line="268" w:lineRule="auto"/>
        <w:tabs>
          <w:tab w:leader="none" w:pos="637"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320" w:firstLine="464"/>
        <w:spacing w:after="0" w:line="268" w:lineRule="auto"/>
        <w:tabs>
          <w:tab w:leader="none" w:pos="647"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2010</w:t>
      </w:r>
    </w:p>
    <w:p>
      <w:pPr>
        <w:spacing w:after="0" w:line="212"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 James E. Parisi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James E. Parisi</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125"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In connection with the Quarterly Report on Form 10-Q of CME Group Inc. (the “Company”) for the quarter ended June 30, 2010 as filed with the Securities and Exchange Commission on the date hereof (the “Report”), Craig S. Donohue, as Chief Executive Officer of the Company, and James E. Parisi, as Chief Financial Officer of the Company, each hereby certifies, pursuant to 18 U.S.C. § 1350, as adopted pursuant to § 906 of the Sarbanes-Oxley Act of 2002, that, to the best of his knowledge:</w:t>
      </w:r>
    </w:p>
    <w:p>
      <w:pPr>
        <w:spacing w:after="0" w:line="62" w:lineRule="exact"/>
        <w:rPr>
          <w:sz w:val="20"/>
          <w:szCs w:val="20"/>
          <w:color w:val="auto"/>
        </w:rPr>
      </w:pPr>
    </w:p>
    <w:p>
      <w:pPr>
        <w:ind w:left="1160" w:hanging="257"/>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0" w:type="dxa"/>
            <w:vAlign w:val="bottom"/>
          </w:tcPr>
          <w:p>
            <w:pPr>
              <w:spacing w:after="0"/>
              <w:rPr>
                <w:sz w:val="19"/>
                <w:szCs w:val="19"/>
                <w:color w:val="auto"/>
              </w:rPr>
            </w:pP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Craig S. Donohue</w:t>
            </w:r>
          </w:p>
        </w:tc>
      </w:tr>
      <w:tr>
        <w:trPr>
          <w:trHeight w:val="217"/>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Craig S. Donohue</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378"/>
        </w:trPr>
        <w:tc>
          <w:tcPr>
            <w:tcW w:w="4580" w:type="dxa"/>
            <w:vAlign w:val="bottom"/>
            <w:gridSpan w:val="2"/>
          </w:tcPr>
          <w:p>
            <w:pPr>
              <w:spacing w:after="0"/>
              <w:rPr>
                <w:sz w:val="20"/>
                <w:szCs w:val="20"/>
                <w:color w:val="auto"/>
              </w:rPr>
            </w:pPr>
            <w:r>
              <w:rPr>
                <w:rFonts w:ascii="Arial" w:cs="Arial" w:eastAsia="Arial" w:hAnsi="Arial"/>
                <w:sz w:val="18"/>
                <w:szCs w:val="18"/>
                <w:color w:val="auto"/>
              </w:rPr>
              <w:t>Date: August 6, 2010</w:t>
            </w:r>
          </w:p>
        </w:tc>
      </w:tr>
      <w:tr>
        <w:trPr>
          <w:trHeight w:val="419"/>
        </w:trPr>
        <w:tc>
          <w:tcPr>
            <w:tcW w:w="660" w:type="dxa"/>
            <w:vAlign w:val="bottom"/>
          </w:tcPr>
          <w:p>
            <w:pPr>
              <w:spacing w:after="0"/>
              <w:rPr>
                <w:sz w:val="24"/>
                <w:szCs w:val="24"/>
                <w:color w:val="auto"/>
              </w:rPr>
            </w:pP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E. Parisi</w:t>
            </w:r>
          </w:p>
        </w:tc>
      </w:tr>
      <w:tr>
        <w:trPr>
          <w:trHeight w:val="217"/>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James E. Parisi</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2010</w:t>
      </w:r>
    </w:p>
    <w:p>
      <w:pPr>
        <w:spacing w:after="0" w:line="171"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This certification accompanies the Report pursuant to § 906 of the Sarbanes-Oxley Act of 2002 and shall not, except to the extent required by the Sarbanes-Oxley Act of 2002, be deemed filed by the Company for purposes of §18 of the Securities Exchange Act of 1934, as amended.</w:t>
      </w:r>
    </w:p>
    <w:p>
      <w:pPr>
        <w:spacing w:after="0" w:line="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 signed original of this written statement required by § 906 of the Sarbanes-Oxley Act of 2002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1)"/>
      <w:numFmt w:val="lowerLetter"/>
      <w:start w:val="1"/>
    </w:lvl>
  </w:abstractNum>
  <w:abstractNum w:abstractNumId="5">
    <w:nsid w:val="41A7C4C9"/>
    <w:multiLevelType w:val="hybridMultilevel"/>
    <w:lvl w:ilvl="0">
      <w:lvlJc w:val="left"/>
      <w:lvlText w:val="(%1)"/>
      <w:numFmt w:val="lowerLetter"/>
      <w:start w:val="5"/>
    </w:lvl>
  </w:abstractNum>
  <w:abstractNum w:abstractNumId="6">
    <w:nsid w:val="6B68079A"/>
    <w:multiLevelType w:val="hybridMultilevel"/>
    <w:lvl w:ilvl="0">
      <w:lvlJc w:val="left"/>
      <w:lvlText w:val="(%1)"/>
      <w:numFmt w:val="lowerLetter"/>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1)"/>
      <w:numFmt w:val="lowerLetter"/>
      <w:start w:val="1"/>
    </w:lvl>
  </w:abstractNum>
  <w:abstractNum w:abstractNumId="12">
    <w:nsid w:val="7C83E458"/>
    <w:multiLevelType w:val="hybridMultilevel"/>
    <w:lvl w:ilvl="0">
      <w:lvlJc w:val="left"/>
      <w:lvlText w:val="%1)"/>
      <w:numFmt w:val="lowerLetter"/>
      <w:start w:val="2"/>
    </w:lvl>
  </w:abstractNum>
  <w:abstractNum w:abstractNumId="13">
    <w:nsid w:val="257130A3"/>
    <w:multiLevelType w:val="hybridMultilevel"/>
    <w:lvl w:ilvl="0">
      <w:lvlJc w:val="left"/>
      <w:lvlText w:val="(%1)"/>
      <w:numFmt w:val="lowerLetter"/>
      <w:start w:val="3"/>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decimal"/>
      <w:start w:val="1"/>
    </w:lvl>
    <w:lvl w:ilvl="1">
      <w:lvlJc w:val="left"/>
      <w:lvlText w:val="%2"/>
      <w:numFmt w:val="lowerLetter"/>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lowerLetter"/>
      <w:start w:val="1"/>
    </w:lvl>
  </w:abstractNum>
  <w:abstractNum w:abstractNumId="18">
    <w:nsid w:val="721DA317"/>
    <w:multiLevelType w:val="hybridMultilevel"/>
    <w:lvl w:ilvl="0">
      <w:lvlJc w:val="left"/>
      <w:lvlText w:val="%1."/>
      <w:numFmt w:val="decimal"/>
      <w:start w:val="5"/>
    </w:lvl>
  </w:abstractNum>
  <w:abstractNum w:abstractNumId="19">
    <w:nsid w:val="2443A858"/>
    <w:multiLevelType w:val="hybridMultilevel"/>
    <w:lvl w:ilvl="0">
      <w:lvlJc w:val="left"/>
      <w:lvlText w:val="%1)"/>
      <w:numFmt w:val="lowerLetter"/>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lowerLetter"/>
      <w:start w:val="1"/>
    </w:lvl>
  </w:abstractNum>
  <w:abstractNum w:abstractNumId="22">
    <w:nsid w:val="75A2A8D4"/>
    <w:multiLevelType w:val="hybridMultilevel"/>
    <w:lvl w:ilvl="0">
      <w:lvlJc w:val="left"/>
      <w:lvlText w:val="%1."/>
      <w:numFmt w:val="decimal"/>
      <w:start w:val="5"/>
    </w:lvl>
  </w:abstractNum>
  <w:abstractNum w:abstractNumId="23">
    <w:nsid w:val="8EDBDAB"/>
    <w:multiLevelType w:val="hybridMultilevel"/>
    <w:lvl w:ilvl="0">
      <w:lvlJc w:val="left"/>
      <w:lvlText w:val="%1)"/>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2019-12-10T20:38:07Z</dcterms:created>
  <dcterms:modified xsi:type="dcterms:W3CDTF">2019-12-10T20:38:07Z</dcterms:modified>
</cp:coreProperties>
</file>