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-5715</wp:posOffset>
            </wp:positionV>
            <wp:extent cx="144780" cy="195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5580"/>
                    </a:xfrm>
                    <a:prstGeom prst="rect">
                      <a:avLst/>
                    </a:prstGeom>
                    <a:noFill/>
                  </pic:spPr>
                </pic:pic>
              </a:graphicData>
            </a:graphic>
          </wp:anchor>
        </w:drawing>
      </w:r>
    </w:p>
    <w:p>
      <w:pPr>
        <w:jc w:val="both"/>
        <w:ind w:left="360" w:right="36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211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211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20" w:space="340"/>
            <w:col w:w="8860"/>
          </w:cols>
          <w:pgMar w:left="240" w:top="225" w:right="139" w:bottom="56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Raia Joseph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880"/>
        <w:spacing w:after="0" w:line="317" w:lineRule="auto"/>
        <w:rPr>
          <w:sz w:val="20"/>
          <w:szCs w:val="20"/>
          <w:color w:val="auto"/>
        </w:rPr>
      </w:pPr>
      <w:r>
        <w:rPr>
          <w:rFonts w:ascii="Arial" w:cs="Arial" w:eastAsia="Arial" w:hAnsi="Arial"/>
          <w:sz w:val="17"/>
          <w:szCs w:val="17"/>
          <w:color w:val="0000FF"/>
        </w:rPr>
        <w:t>ONE NORTH END AVENUE WORLD FINANCIAL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194"/>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NYMEX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NMX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08/22/2008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6"/>
        <w:spacing w:after="0"/>
        <w:rPr>
          <w:sz w:val="20"/>
          <w:szCs w:val="20"/>
          <w:color w:val="auto"/>
        </w:rPr>
      </w:pPr>
      <w:r>
        <w:rPr>
          <w:rFonts w:ascii="Arial" w:cs="Arial" w:eastAsia="Arial" w:hAnsi="Arial"/>
          <w:sz w:val="17"/>
          <w:szCs w:val="17"/>
          <w:color w:val="0000FF"/>
        </w:rPr>
        <w:t>SVP - Marketing</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564"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29"/>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10282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jc w:val="center"/>
              <w:ind w:left="60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jc w:val="right"/>
              <w:ind w:right="9"/>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149"/>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5,700</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131"/>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5,700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0000FF"/>
                <w:w w:val="85"/>
              </w:rPr>
              <w:t>1,927</w:t>
            </w:r>
            <w:r>
              <w:rPr>
                <w:rFonts w:ascii="Arial" w:cs="Arial" w:eastAsia="Arial" w:hAnsi="Arial"/>
                <w:sz w:val="22"/>
                <w:szCs w:val="22"/>
                <w:color w:val="008000"/>
                <w:w w:val="85"/>
                <w:vertAlign w:val="superscript"/>
              </w:rPr>
              <w:t>(4)</w:t>
            </w:r>
          </w:p>
        </w:tc>
        <w:tc>
          <w:tcPr>
            <w:tcW w:w="58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81.15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3,773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8"/>
              <w:spacing w:after="0"/>
              <w:rPr>
                <w:sz w:val="20"/>
                <w:szCs w:val="20"/>
                <w:color w:val="auto"/>
              </w:rPr>
            </w:pPr>
            <w:r>
              <w:rPr>
                <w:rFonts w:ascii="Arial" w:cs="Arial" w:eastAsia="Arial" w:hAnsi="Arial"/>
                <w:sz w:val="17"/>
                <w:szCs w:val="17"/>
                <w:color w:val="0000FF"/>
                <w:w w:val="93"/>
              </w:rPr>
              <w:t>08/22/2008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110"/>
              <w:spacing w:after="0"/>
              <w:rPr>
                <w:sz w:val="20"/>
                <w:szCs w:val="20"/>
                <w:color w:val="auto"/>
              </w:rPr>
            </w:pPr>
            <w:r>
              <w:rPr>
                <w:rFonts w:ascii="Arial" w:cs="Arial" w:eastAsia="Arial" w:hAnsi="Arial"/>
                <w:sz w:val="17"/>
                <w:szCs w:val="17"/>
                <w:color w:val="0000FF"/>
                <w:w w:val="93"/>
              </w:rPr>
              <w:t>3,773</w:t>
            </w: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69"/>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center"/>
              <w:ind w:left="131"/>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4"/>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vMerge w:val="restart"/>
          </w:tcPr>
          <w:p>
            <w:pPr>
              <w:jc w:val="center"/>
              <w:ind w:left="10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20" w:type="dxa"/>
            <w:vAlign w:val="bottom"/>
            <w:vMerge w:val="restart"/>
          </w:tcPr>
          <w:p>
            <w:pPr>
              <w:jc w:val="center"/>
              <w:ind w:right="150"/>
              <w:spacing w:after="0"/>
              <w:rPr>
                <w:sz w:val="20"/>
                <w:szCs w:val="20"/>
                <w:color w:val="auto"/>
              </w:rPr>
            </w:pPr>
            <w:r>
              <w:rPr>
                <w:rFonts w:ascii="Arial" w:cs="Arial" w:eastAsia="Arial" w:hAnsi="Arial"/>
                <w:sz w:val="11"/>
                <w:szCs w:val="11"/>
                <w:color w:val="008000"/>
                <w:w w:val="88"/>
              </w:rPr>
              <w:t>(2)</w:t>
            </w: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5,700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restart"/>
          </w:tcPr>
          <w:p>
            <w:pPr>
              <w:jc w:val="center"/>
              <w:ind w:right="379"/>
              <w:spacing w:after="0" w:line="148" w:lineRule="exact"/>
              <w:rPr>
                <w:sz w:val="20"/>
                <w:szCs w:val="20"/>
                <w:color w:val="auto"/>
              </w:rPr>
            </w:pPr>
            <w:r>
              <w:rPr>
                <w:rFonts w:ascii="Arial" w:cs="Arial" w:eastAsia="Arial" w:hAnsi="Arial"/>
                <w:sz w:val="13"/>
                <w:szCs w:val="13"/>
                <w:color w:val="0000FF"/>
              </w:rPr>
              <w:t>M</w:t>
            </w:r>
          </w:p>
        </w:tc>
        <w:tc>
          <w:tcPr>
            <w:tcW w:w="940" w:type="dxa"/>
            <w:vAlign w:val="bottom"/>
            <w:vMerge w:val="restart"/>
          </w:tcPr>
          <w:p>
            <w:pPr>
              <w:jc w:val="center"/>
              <w:ind w:left="298"/>
              <w:spacing w:after="0" w:line="148" w:lineRule="exact"/>
              <w:rPr>
                <w:sz w:val="20"/>
                <w:szCs w:val="20"/>
                <w:color w:val="auto"/>
              </w:rPr>
            </w:pPr>
            <w:r>
              <w:rPr>
                <w:rFonts w:ascii="Arial" w:cs="Arial" w:eastAsia="Arial" w:hAnsi="Arial"/>
                <w:sz w:val="13"/>
                <w:szCs w:val="13"/>
                <w:color w:val="0000FF"/>
                <w:w w:val="92"/>
              </w:rPr>
              <w:t>5,700</w:t>
            </w:r>
          </w:p>
        </w:tc>
        <w:tc>
          <w:tcPr>
            <w:tcW w:w="8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38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jc w:val="right"/>
              <w:ind w:right="169"/>
              <w:spacing w:after="0"/>
              <w:rPr>
                <w:sz w:val="20"/>
                <w:szCs w:val="20"/>
                <w:color w:val="auto"/>
              </w:rPr>
            </w:pPr>
            <w:r>
              <w:rPr>
                <w:rFonts w:ascii="Arial" w:cs="Arial" w:eastAsia="Arial" w:hAnsi="Arial"/>
                <w:sz w:val="13"/>
                <w:szCs w:val="13"/>
                <w:color w:val="0000FF"/>
                <w:w w:val="98"/>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80"/>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59</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17"/>
                <w:szCs w:val="17"/>
                <w:color w:val="auto"/>
              </w:rPr>
            </w:pPr>
          </w:p>
        </w:tc>
        <w:tc>
          <w:tcPr>
            <w:tcW w:w="760" w:type="dxa"/>
            <w:vAlign w:val="bottom"/>
            <w:gridSpan w:val="2"/>
          </w:tcPr>
          <w:p>
            <w:pPr>
              <w:jc w:val="center"/>
              <w:ind w:right="259"/>
              <w:spacing w:after="0" w:line="199"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(6)</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45,000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(7)</w:t>
            </w:r>
          </w:p>
        </w:tc>
        <w:tc>
          <w:tcPr>
            <w:tcW w:w="780" w:type="dxa"/>
            <w:vAlign w:val="bottom"/>
            <w:gridSpan w:val="2"/>
          </w:tcPr>
          <w:p>
            <w:pPr>
              <w:jc w:val="center"/>
              <w:spacing w:after="0"/>
              <w:rPr>
                <w:sz w:val="20"/>
                <w:szCs w:val="20"/>
                <w:color w:val="auto"/>
              </w:rPr>
            </w:pPr>
            <w:r>
              <w:rPr>
                <w:rFonts w:ascii="Arial" w:cs="Arial" w:eastAsia="Arial" w:hAnsi="Arial"/>
                <w:sz w:val="13"/>
                <w:szCs w:val="13"/>
                <w:color w:val="0000FF"/>
                <w:w w:val="92"/>
              </w:rPr>
              <w:t>11/17/2014</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1"/>
              <w:spacing w:after="0"/>
              <w:rPr>
                <w:sz w:val="20"/>
                <w:szCs w:val="20"/>
                <w:color w:val="auto"/>
              </w:rPr>
            </w:pPr>
            <w:r>
              <w:rPr>
                <w:rFonts w:ascii="Arial" w:cs="Arial" w:eastAsia="Arial" w:hAnsi="Arial"/>
                <w:sz w:val="17"/>
                <w:szCs w:val="17"/>
                <w:color w:val="0000FF"/>
                <w:w w:val="92"/>
              </w:rPr>
              <w:t>45,000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169"/>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jc w:val="center"/>
              <w:ind w:left="100"/>
              <w:spacing w:after="0"/>
              <w:rPr>
                <w:sz w:val="20"/>
                <w:szCs w:val="20"/>
                <w:color w:val="auto"/>
              </w:rPr>
            </w:pPr>
            <w:r>
              <w:rPr>
                <w:rFonts w:ascii="Arial" w:cs="Arial" w:eastAsia="Arial" w:hAnsi="Arial"/>
                <w:sz w:val="12"/>
                <w:szCs w:val="12"/>
                <w:color w:val="auto"/>
                <w:w w:val="90"/>
              </w:rPr>
              <w:t>$</w:t>
            </w:r>
            <w:r>
              <w:rPr>
                <w:rFonts w:ascii="Arial" w:cs="Arial" w:eastAsia="Arial" w:hAnsi="Arial"/>
                <w:sz w:val="13"/>
                <w:szCs w:val="13"/>
                <w:color w:val="0000FF"/>
                <w:w w:val="90"/>
              </w:rPr>
              <w:t>118.97</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08/22/2008</w:t>
            </w:r>
          </w:p>
        </w:tc>
        <w:tc>
          <w:tcPr>
            <w:tcW w:w="1180" w:type="dxa"/>
            <w:vAlign w:val="bottom"/>
          </w:tcPr>
          <w:p>
            <w:pPr>
              <w:spacing w:after="0"/>
              <w:rPr>
                <w:sz w:val="17"/>
                <w:szCs w:val="17"/>
                <w:color w:val="auto"/>
              </w:rPr>
            </w:pPr>
          </w:p>
        </w:tc>
        <w:tc>
          <w:tcPr>
            <w:tcW w:w="760" w:type="dxa"/>
            <w:vAlign w:val="bottom"/>
            <w:gridSpan w:val="2"/>
          </w:tcPr>
          <w:p>
            <w:pPr>
              <w:jc w:val="center"/>
              <w:ind w:right="259"/>
              <w:spacing w:after="0" w:line="199" w:lineRule="exact"/>
              <w:rPr>
                <w:sz w:val="20"/>
                <w:szCs w:val="20"/>
                <w:color w:val="auto"/>
              </w:rPr>
            </w:pPr>
            <w:r>
              <w:rPr>
                <w:rFonts w:ascii="Arial" w:cs="Arial" w:eastAsia="Arial" w:hAnsi="Arial"/>
                <w:sz w:val="23"/>
                <w:szCs w:val="23"/>
                <w:color w:val="0000FF"/>
                <w:w w:val="95"/>
                <w:vertAlign w:val="subscript"/>
              </w:rPr>
              <w:t>M</w:t>
            </w:r>
            <w:r>
              <w:rPr>
                <w:rFonts w:ascii="Arial" w:cs="Arial" w:eastAsia="Arial" w:hAnsi="Arial"/>
                <w:sz w:val="10"/>
                <w:szCs w:val="10"/>
                <w:color w:val="008000"/>
                <w:w w:val="95"/>
              </w:rPr>
              <w:t>(8)</w:t>
            </w:r>
          </w:p>
        </w:tc>
        <w:tc>
          <w:tcPr>
            <w:tcW w:w="940" w:type="dxa"/>
            <w:vAlign w:val="bottom"/>
          </w:tcPr>
          <w:p>
            <w:pPr>
              <w:jc w:val="center"/>
              <w:ind w:left="298"/>
              <w:spacing w:after="0"/>
              <w:rPr>
                <w:sz w:val="20"/>
                <w:szCs w:val="20"/>
                <w:color w:val="auto"/>
              </w:rPr>
            </w:pPr>
            <w:r>
              <w:rPr>
                <w:rFonts w:ascii="Arial" w:cs="Arial" w:eastAsia="Arial" w:hAnsi="Arial"/>
                <w:sz w:val="13"/>
                <w:szCs w:val="13"/>
                <w:color w:val="0000FF"/>
                <w:w w:val="95"/>
              </w:rPr>
              <w:t>13,500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(9)</w:t>
            </w:r>
          </w:p>
        </w:tc>
        <w:tc>
          <w:tcPr>
            <w:tcW w:w="780" w:type="dxa"/>
            <w:vAlign w:val="bottom"/>
            <w:gridSpan w:val="2"/>
          </w:tcPr>
          <w:p>
            <w:pPr>
              <w:jc w:val="center"/>
              <w:spacing w:after="0"/>
              <w:rPr>
                <w:sz w:val="20"/>
                <w:szCs w:val="20"/>
                <w:color w:val="auto"/>
              </w:rPr>
            </w:pPr>
            <w:r>
              <w:rPr>
                <w:rFonts w:ascii="Arial" w:cs="Arial" w:eastAsia="Arial" w:hAnsi="Arial"/>
                <w:sz w:val="13"/>
                <w:szCs w:val="13"/>
                <w:color w:val="0000FF"/>
                <w:w w:val="92"/>
              </w:rPr>
              <w:t>01/09/2016</w:t>
            </w:r>
          </w:p>
        </w:tc>
        <w:tc>
          <w:tcPr>
            <w:tcW w:w="66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11"/>
              <w:spacing w:after="0"/>
              <w:rPr>
                <w:sz w:val="20"/>
                <w:szCs w:val="20"/>
                <w:color w:val="auto"/>
              </w:rPr>
            </w:pPr>
            <w:r>
              <w:rPr>
                <w:rFonts w:ascii="Arial" w:cs="Arial" w:eastAsia="Arial" w:hAnsi="Arial"/>
                <w:sz w:val="17"/>
                <w:szCs w:val="17"/>
                <w:color w:val="0000FF"/>
                <w:w w:val="92"/>
              </w:rPr>
              <w:t>13,500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69"/>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NYMEX Holdings, Inc. common stock.</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accelerated vesting of the restricted stock units is due to the consummation of the transaction between CME Group Inc., CMEG NY Inc., NYMEX Holdings, Inc. and New York Mercantile Exchange, Inc.</w:t>
      </w:r>
    </w:p>
    <w:p>
      <w:pPr>
        <w:spacing w:after="0" w:line="63" w:lineRule="exact"/>
        <w:rPr>
          <w:rFonts w:ascii="Arial" w:cs="Arial" w:eastAsia="Arial" w:hAnsi="Arial"/>
          <w:sz w:val="12"/>
          <w:szCs w:val="12"/>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Mr. Raia surrendered shares to the Company in order to fulfill tax withholding obligations upon the vesting of restricted stock on August 22, 2008.</w:t>
      </w:r>
    </w:p>
    <w:p>
      <w:pPr>
        <w:spacing w:after="0" w:line="51"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Disposed of pursuant to merger agreement by and among CME Group Inc., CMEG NY Inc., NYMEX Holdings, Inc. and New York Mercantile Exchange, Inc. at an exchange ratio of 0.2378 shares of CME Group Inc. Class A common stock for each share of NYMEX Holdings, Inc.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options to purchase 10,701 shares of CME Group Class A common stock at an exercise price of $248.11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four equal annual installments beginning on November 17, 2007, subject to additional terms contained in the grant and, if applicable, other contracts.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Converted into options to purchase 3,210 shares of CME Group Class A common stock at an exercise price of $500.30 per share.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option vests in four equal annual installments beginning on January 9, 2009, subject to additional terms contained in the grant and, if applicable, other contracts.</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/s/Joseph Raia</w:t>
            </w:r>
          </w:p>
        </w:tc>
        <w:tc>
          <w:tcPr>
            <w:tcW w:w="780" w:type="dxa"/>
            <w:vAlign w:val="bottom"/>
          </w:tcPr>
          <w:p>
            <w:pPr>
              <w:spacing w:after="0"/>
              <w:rPr>
                <w:sz w:val="20"/>
                <w:szCs w:val="20"/>
                <w:color w:val="auto"/>
              </w:rPr>
            </w:pPr>
            <w:r>
              <w:rPr>
                <w:rFonts w:ascii="Arial" w:cs="Arial" w:eastAsia="Arial" w:hAnsi="Arial"/>
                <w:sz w:val="17"/>
                <w:szCs w:val="17"/>
                <w:color w:val="0000FF"/>
                <w:w w:val="89"/>
              </w:rPr>
              <w:t>08/27/2008</w:t>
            </w:r>
          </w:p>
        </w:tc>
      </w:tr>
      <w:tr>
        <w:trPr>
          <w:trHeight w:val="20"/>
        </w:trPr>
        <w:tc>
          <w:tcPr>
            <w:tcW w:w="10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56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3853" TargetMode="External"/><Relationship Id="rId13" Type="http://schemas.openxmlformats.org/officeDocument/2006/relationships/hyperlink" Target="http://www.sec.gov/cgi-bin/browse-edgar?action=getcompany&amp;CIK=00011050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2019-12-17T13:13:02Z</dcterms:created>
  <dcterms:modified xsi:type="dcterms:W3CDTF">2019-12-17T13:13:02Z</dcterms:modified>
</cp:coreProperties>
</file>