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74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September 30, 2016</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10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October 12, 2016 was as follows: 339,347,113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September 30, 2016 and December 31, 2015</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and Nine Months Ended September 30, 2016 and 2015</w:t>
              </w:r>
            </w:hyperlink>
          </w:p>
        </w:tc>
        <w:tc>
          <w:tcPr>
            <w:tcW w:w="2800" w:type="dxa"/>
            <w:vAlign w:val="bottom"/>
            <w:gridSpan w:val="2"/>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Comprehensive Income for the Quarters and Nine Months Ended September 30, 2016 and 2015</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8020" w:type="dxa"/>
            <w:vAlign w:val="bottom"/>
            <w:tcBorders>
              <w:top w:val="single" w:sz="8" w:color="0000EE"/>
            </w:tcBorders>
            <w:gridSpan w:val="18"/>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Nine Months Ended September 30, 2016 and 2015</w:t>
              </w:r>
            </w:hyperlink>
          </w:p>
        </w:tc>
        <w:tc>
          <w:tcPr>
            <w:tcW w:w="17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6"/>
                <w:szCs w:val="16"/>
                <w:color w:val="0000EE"/>
                <w:w w:val="90"/>
              </w:rPr>
            </w:pPr>
            <w:hyperlink w:anchor="page10">
              <w:r>
                <w:rPr>
                  <w:rFonts w:ascii="Arial" w:cs="Arial" w:eastAsia="Arial" w:hAnsi="Arial"/>
                  <w:sz w:val="16"/>
                  <w:szCs w:val="16"/>
                  <w:color w:val="0000EE"/>
                  <w:w w:val="90"/>
                </w:rPr>
                <w:t>Consolidated Statements of Cash Flows for the Nine Months Ended September 30, 2016 and 2015</w:t>
              </w:r>
            </w:hyperlink>
          </w:p>
        </w:tc>
        <w:tc>
          <w:tcPr>
            <w:tcW w:w="3400" w:type="dxa"/>
            <w:vAlign w:val="bottom"/>
            <w:gridSpan w:val="3"/>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Notes to Unaudited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8">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3"/>
          </w:tcPr>
          <w:p>
            <w:pPr>
              <w:spacing w:after="0"/>
              <w:rPr>
                <w:sz w:val="24"/>
                <w:szCs w:val="24"/>
                <w:color w:val="auto"/>
              </w:rPr>
            </w:pPr>
          </w:p>
        </w:tc>
        <w:tc>
          <w:tcPr>
            <w:tcW w:w="364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8">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9">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9">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1">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3"/>
          </w:tcPr>
          <w:p>
            <w:pPr>
              <w:ind w:left="47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2016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4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$3.6 and $1.9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$29.5 and $32.0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228.6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33,776.0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37,904.5</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$577.4 and $788.6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2,537.9</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$64.4 and $70.5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1,681.0</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63,251.3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67,359.4</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31,604.9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35,553.0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36,824.5</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2,229.3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7,358.3</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395.5</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46,807.6</w:t>
            </w:r>
          </w:p>
        </w:tc>
      </w:tr>
      <w:tr>
        <w:trPr>
          <w:trHeight w:val="223"/>
        </w:trPr>
        <w:tc>
          <w:tcPr>
            <w:tcW w:w="12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Preferred stock, $0.01 par value, 10,000 shares authorized at September 30, 2016 and December 31,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2015; none issued</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Class A common stock, $0.01 par value, 1,000,000 shares authorized at September 30, 2016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December 31, 2015; 337,978 and 336,938 shares issued and outstanding as of September 30, 2016 and</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September 30,</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2016 and December 31, 2015</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17,721.6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3,458.6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2,907.6</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21,264.9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20,551.8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67,359.4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2,267.9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2,105.0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2,513.0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419.2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81.8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1,662.5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1,518.8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1,488.3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533.0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955.3</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336,323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336,015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339,143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338,139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338,834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337,804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5"/>
              </w:rPr>
              <w:t>Amortization of net actuarial (gains) losses included in compensation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benefits expense</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Ineffectiveness on cash flow hedges included in (gains) losses 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4"/>
              </w:rPr>
              <w:t>Amortization of effective portion of net (gains) losses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1,264.4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854.5</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336,938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1,160.7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1,160.7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$1.80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434</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337,978</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17,783.4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3,458.6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21,264.9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$1.50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Tax effect and gain related to purchase of non-controlling</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Board of 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Shares issued under Employee Stock Purchase 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336,736</w:t>
            </w:r>
          </w:p>
        </w:tc>
        <w:tc>
          <w:tcPr>
            <w:tcW w:w="140" w:type="dxa"/>
            <w:vAlign w:val="bottom"/>
          </w:tcPr>
          <w:p>
            <w:pPr>
              <w:spacing w:after="0"/>
              <w:rPr>
                <w:sz w:val="20"/>
                <w:szCs w:val="20"/>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17,699.6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3,771.8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21,376.8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prepayment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1,141.2</w:t>
            </w:r>
          </w:p>
        </w:tc>
      </w:tr>
      <w:tr>
        <w:trPr>
          <w:trHeight w:val="156"/>
        </w:trPr>
        <w:tc>
          <w:tcPr>
            <w:tcW w:w="85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business venture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169"/>
        </w:trPr>
        <w:tc>
          <w:tcPr>
            <w:tcW w:w="85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743.7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 of contingent consideration</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6"/>
        </w:trPr>
        <w:tc>
          <w:tcPr>
            <w:tcW w:w="8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1,434.3</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43"/>
        </w:trPr>
        <w:tc>
          <w:tcPr>
            <w:tcW w:w="8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proceeds from sale of BM&amp;FBOVESPA shares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25"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2016 and December 31, 2015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2015, filed with the Securities and Exchange Commission (SEC) on February 26,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September 30, 2016,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as well as U.S. Treasury securities and U.S. government agency securities with maturity dates of 90 days or less. U.S. Treasury securities and U.S. government agency securities are purchased by CME, at its discretion, using cash collateral. The benefits, including interest earned, and risks of ownership accrue to CME. Interest earned is included in investment income on the consolidated statements of income. These securities are classified as available-for-sale. At September 30, 2016, the amortized cost and fair value of the U.S. Treasury securities were $4,198.9 million and $4,199.5 million, respectively. At September 30, 2016, the amortized cost and fair value of the U.S. government securities were both $3,682.6 million. The U.S. Treasury securities and U.S. government agency securities will mature in the fourth quarter of 2016. Performance bonds and guaranty fund contribution assets also include overnight reverse repurchase agreements that were purchased by CME, at its discretion, using cash collateral. The fair value of the overnight securities under the reverse repurchase agreements was $1,052.7 million at September 30, 2016.</w:t>
      </w:r>
    </w:p>
    <w:p>
      <w:pPr>
        <w:spacing w:after="0" w:line="7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CME has been designated as a systemically important financial market utility by the Financial Stability Oversight Council and is authorized to establish and maintain a cash account at the Federal Reserve Bank of Chicago. CME has received approval to establish this account at the Federal Reserve Bank of Chicago for clearing members' proprietary cash balances and is currently operationalizing the account, including testing.</w:t>
      </w:r>
    </w:p>
    <w:p>
      <w:pPr>
        <w:spacing w:after="0" w:line="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Clearing House Contract Settlement. </w:t>
      </w:r>
      <w:r>
        <w:rPr>
          <w:rFonts w:ascii="Arial" w:cs="Arial" w:eastAsia="Arial" w:hAnsi="Arial"/>
          <w:sz w:val="17"/>
          <w:szCs w:val="17"/>
          <w:color w:val="auto"/>
        </w:rPr>
        <w:t>CME Clearing and CMECE mark-to-market open positions for all futures and options contracts twice a day (once a day</w:t>
      </w:r>
      <w:r>
        <w:rPr>
          <w:rFonts w:ascii="Arial" w:cs="Arial" w:eastAsia="Arial" w:hAnsi="Arial"/>
          <w:sz w:val="17"/>
          <w:szCs w:val="17"/>
          <w:i w:val="1"/>
          <w:iCs w:val="1"/>
          <w:color w:val="auto"/>
        </w:rPr>
        <w:t xml:space="preserve"> </w:t>
      </w:r>
      <w:r>
        <w:rPr>
          <w:rFonts w:ascii="Arial" w:cs="Arial" w:eastAsia="Arial" w:hAnsi="Arial"/>
          <w:sz w:val="17"/>
          <w:szCs w:val="17"/>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nine months of 2016, CME Clearing and CMECE transferred an average of approximately $3.3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September 30, 2016.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w:t>
      </w:r>
    </w:p>
    <w:p>
      <w:pPr>
        <w:spacing w:after="0" w:line="22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In March 2016, the company sold its datacenter in the Chicago area for $130.0 million. At the time of the sale, the company leased back a portion of the property. The sale-leaseback transaction was recognized under the financing method and not as a sale-leaseback arrangement under generally accepted accounting principles due to the company's participation in future revenues and development work, which constitutes continuing involvement in the datacenter. Under the financing method, the assets remain on the consolidated balance sheet throughout the term of the lease and the proceeds of $130.0 million from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4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net cost basis of the property and equipment legally sold was $153.1 million at the date of the sale. At March 31, 2016, the company wrote down the property and equipment to a fair value of $130.0 million based on qualitative indications of impairment and a quantitative analysis based on undiscounted cash flows. The company recognized a net loss on the transaction of $27.1 million through other expenses, which includes the write down to fair value and certain other transaction-related costs. The company recognized a total net loss and expenses of $28.6 million, which also includes $1.5 million of legal and other fees incurred. The property and equipment legally sold will continue to be recognized on the consolidated balance sheets and will continue to be depreciated on the consolidated statements of income over the term of the lease.</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lease has an initial lease term ending in March 2031 and contains two consecutive renewal options for five years. Future minimum lease payments under this non-cancellable lease will be payable as follows as of September 30, 2016 (in millions):</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9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2016</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180.5</w:t>
            </w:r>
          </w:p>
        </w:tc>
      </w:tr>
      <w:tr>
        <w:trPr>
          <w:trHeight w:val="27"/>
        </w:trPr>
        <w:tc>
          <w:tcPr>
            <w:tcW w:w="9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2016 and December 31, 2015:</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(825.5)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2,013.3</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2,015.9</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Total amortization expense for intangible assets was $24.0 million and $24.9 million for the quarters ended September 30, 2016 and 2015, respectively. Total amortization expense for intangible assets was $72.0 million and $74.8 million for the nine months ended September 30, 2016 and 2015, respectively. As of September 30, 2016, the future estimated amortization expense related to amortizable intangible assets is expected to be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2016</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95.5</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1,517.6</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September 2016, the company sold approximately 4.0 million shares of BM&amp;FBOVESPA S.A. (BM&amp;FBOVESPA) and recognized a net gain of $6.4 million within investment income on the consolidated statements of income. As of September 30, 2016, the company owned an approximate 4% interest in BM&amp;FBOVESPA. At September 30, 2016, the fair value and cost basis of the remaining investment in BM&amp;FBOVESPA was $351.1 million and $243.9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first quarter of 2016, the company adopted the Financial Accounting Standards Board's (FASB) standards update on changes to the presentation of debt issuance costs. The update requires debt issuance costs related to a recognized debt liability to be presented as a deduction from the carrying value of the debt liability. Previously, debt issuance costs were recognized as deferred charges within other assets in the consolidated balance sheets. The standards update was applied on a retrospective basis, adjusting all prior periods presented, as if the new accounting methodology was in effect during those periods. At December 31, 2015, $12.1 million of debt issuance costs were reclassified in the consolidated balance sheet from other assets to long-term debt compared with what was previously reported. At September 30, 2016, $11.4 million of debt issuance costs were deducted from long-term debt. The change in accounting policy has been reflected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2016 and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744.4</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743.4</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2,230.7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2,229.3</w:t>
            </w:r>
          </w:p>
        </w:tc>
      </w:tr>
      <w:tr>
        <w:trPr>
          <w:trHeight w:val="27"/>
        </w:trPr>
        <w:tc>
          <w:tcPr>
            <w:tcW w:w="8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the first quarter of 2016, the company adopted the FASB's standards update that simplifies the classification of deferred tax assets and liabilities. The update eliminates the current requirement to present deferred tax assets and liabilities as current and non-current in a classified balance sheet. Instead, all deferred tax assets, along with valuation allowances, and deferred tax liabilities are required to be classified as non-current. Companies are still required to offset deferred tax assets and liabilities for each taxpaying component within a tax jurisdiction. Beginning in the first quarter of 2016, the company adopted this standards update on a prospective basis and classified all deferred tax assets and liabilities as non-current. Prior period deferred tax assets and liabilities were not retrospectively adjusted.</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net current deferred tax asset of $27.9 million was included in other current assets at December 31, 2015. During the first quarter of 2016, net current deferred tax assets of $27.9 million were reclassified to net long-term liabilities. Total net current deferred tax assets are primarily attributable to stock-based compensation and accrued expenses.</w:t>
      </w:r>
    </w:p>
    <w:p>
      <w:pPr>
        <w:spacing w:after="0" w:line="181"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Net long-term deferred tax liabilities were $7.3 billion and $7.4 billion at September 30, 2016 and December 31, 2015. Net deferred tax liabilities are principally the result of purchase accounting for intangible assets in our various mergers, including CBOT Holdings, Inc. and NYMEX Holdings, Inc.</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Valuation allowances of $15.3 million and $122.3 million have been provided on deferred tax assets at September 30, 2016 and December 31, 2015, respectively. At September 30, 2016 and December 31, 2015, valuation allowances were related to certain domestic net operating losses, foreign net operating losses as well as built in capital losses for which we do not believe that we currently meet the more-likely-than-not-threshold for recognition. At September 30, 2016, the company released $106.3 million of valuation allowance on deferred tax assets relating to built-in losses on its investment in BM&amp;FBOVESPA due to the implementation of a tax strategy to realize additional ordinary income tax losses on recent share sales and the remaining investment in BM&amp;FBOVESPA.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2015, the company had accrued $3.5 million for legal and regulatory matters that were probable and estimable. No accrual was required for legal and regulatory matters that were probable and estimable as of September 30, 2016.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2017.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September 30, 2016, CME was contingently liable to SGX on letters of credit totaling $760.0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September 30, 2016.</w:t>
      </w:r>
    </w:p>
    <w:p>
      <w:pPr>
        <w:spacing w:after="0" w:line="16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September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4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September 30, 2015</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Level 1 assets generally include U.S. Treasury securities, U.S. government agency securities,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4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Financial assets recorded in the consolidated balance sheet as of September 30, 2016 were classified in their entirety based on the lowest level of input that was significant to each asset's fair value measurement. There were no liabilities that were measured at fair value as of September 30, 2016.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w:t>
            </w:r>
          </w:p>
        </w:tc>
      </w:tr>
      <w:tr>
        <w:trPr>
          <w:trHeight w:val="449"/>
        </w:trPr>
        <w:tc>
          <w:tcPr>
            <w:tcW w:w="5160" w:type="dxa"/>
            <w:vAlign w:val="bottom"/>
          </w:tcPr>
          <w:p>
            <w:pPr>
              <w:ind w:left="180"/>
              <w:spacing w:after="0"/>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4,199.5</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agencies securities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3,682.6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3,682.6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8,334.8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8,335.1</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right="30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September 30, 2016 include U.S. Treasury securities and U.S. government agency securities purchased with cash collateral.</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nine months of 2016. There were no level 3 assets valued at fair value on a recurring basis during the first nine months of 2016. The following is a reconciliation of level 3 liabilities valued at fair value on a recurring basis during the first nine months of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2015</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September 30, 2016</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first quarter of 2016, the company sold a datacenter and leased back a portion of the property. Under generally accepted accounting principles, the transaction has been recognized under the financing method instead of recognized as a sale-leaseback arrangement. As a result, the property and equipment legally sold will continue to be recognized on the consolidated balance sheets and was written down to a fair value of $130.0 million at March 31, 2016. In the second and third quarters of 2016, the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company also recorded impairment charges totaling $5.5 million on one of its strategic investments. The fair value of the investment was estimated to be zero at September 30, 2016. Both assessments were based on qualitative indications of impairment and a quantitative analysis of undiscounted cash flows. The fair values of the datacenter and strategic investment are considered level 3 and nonrecurring. There were no other level 3 assets or liabilities valued at fair value on a nonrecurring basis during the first nine months of 2016.</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September 30, 2016,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798.8</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789.8</w:t>
            </w:r>
          </w:p>
        </w:tc>
      </w:tr>
      <w:tr>
        <w:trPr>
          <w:trHeight w:val="27"/>
        </w:trPr>
        <w:tc>
          <w:tcPr>
            <w:tcW w:w="7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971.5</w:t>
            </w:r>
          </w:p>
        </w:tc>
      </w:tr>
      <w:tr>
        <w:trPr>
          <w:trHeight w:val="27"/>
        </w:trPr>
        <w:tc>
          <w:tcPr>
            <w:tcW w:w="7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ind w:left="50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841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337,592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336,323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337,299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336,015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339,143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338,139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338,834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337,804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the following:</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October 2016, the company sold approximately 24.0 million shares of BM&amp;FBOVESPA and recognized a net gain of approximately $42.0 million within investment income on the consolidated statements of income during the fourth quarter. Following the sale, the company owned an approximate 2% interest in BM&amp;FBOVESPA.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2015.</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1280" w:type="dxa"/>
            <w:vAlign w:val="bottom"/>
          </w:tcPr>
          <w:p>
            <w:pPr>
              <w:spacing w:after="0"/>
              <w:rPr>
                <w:sz w:val="14"/>
                <w:szCs w:val="14"/>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841.7</w:t>
            </w:r>
          </w:p>
        </w:tc>
        <w:tc>
          <w:tcPr>
            <w:tcW w:w="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850.3</w:t>
            </w:r>
          </w:p>
        </w:tc>
        <w:tc>
          <w:tcPr>
            <w:tcW w:w="14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2,682.3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2,513.0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333.9</w:t>
            </w:r>
          </w:p>
        </w:tc>
        <w:tc>
          <w:tcPr>
            <w:tcW w:w="1460" w:type="dxa"/>
            <w:vAlign w:val="bottom"/>
            <w:gridSpan w:val="2"/>
          </w:tcPr>
          <w:p>
            <w:pPr>
              <w:jc w:val="right"/>
              <w:ind w:right="222"/>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1,019.8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994.2</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23.5</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40" w:type="dxa"/>
            <w:vAlign w:val="bottom"/>
          </w:tcPr>
          <w:p>
            <w:pPr>
              <w:jc w:val="right"/>
              <w:ind w:right="282"/>
              <w:spacing w:after="0"/>
              <w:rPr>
                <w:sz w:val="20"/>
                <w:szCs w:val="20"/>
                <w:color w:val="auto"/>
              </w:rPr>
            </w:pPr>
            <w:r>
              <w:rPr>
                <w:rFonts w:ascii="Arial" w:cs="Arial" w:eastAsia="Arial" w:hAnsi="Arial"/>
                <w:sz w:val="18"/>
                <w:szCs w:val="18"/>
                <w:color w:val="auto"/>
              </w:rPr>
              <w:t>n.m.</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472.8</w:t>
            </w: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359.9</w:t>
            </w:r>
          </w:p>
        </w:tc>
        <w:tc>
          <w:tcPr>
            <w:tcW w:w="1460" w:type="dxa"/>
            <w:vAlign w:val="bottom"/>
            <w:gridSpan w:val="2"/>
          </w:tcPr>
          <w:p>
            <w:pPr>
              <w:jc w:val="right"/>
              <w:ind w:right="282"/>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1,160.7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955.3</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w:t>
            </w:r>
          </w:p>
        </w:tc>
        <w:tc>
          <w:tcPr>
            <w:tcW w:w="1460" w:type="dxa"/>
            <w:vAlign w:val="bottom"/>
            <w:tcBorders>
              <w:bottom w:val="single" w:sz="8" w:color="CCEEFF"/>
            </w:tcBorders>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1,205.6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93"/>
              </w:rPr>
              <w:t>1,141.2</w:t>
            </w:r>
          </w:p>
        </w:tc>
        <w:tc>
          <w:tcPr>
            <w:tcW w:w="8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51"/>
        </w:trPr>
        <w:tc>
          <w:tcPr>
            <w:tcW w:w="3740" w:type="dxa"/>
            <w:vAlign w:val="bottom"/>
          </w:tcPr>
          <w:p>
            <w:pPr>
              <w:spacing w:after="0"/>
              <w:rPr>
                <w:sz w:val="20"/>
                <w:szCs w:val="20"/>
                <w:color w:val="auto"/>
              </w:rPr>
            </w:pPr>
            <w:r>
              <w:rPr>
                <w:rFonts w:ascii="Arial" w:cs="Arial" w:eastAsia="Arial" w:hAnsi="Arial"/>
                <w:sz w:val="18"/>
                <w:szCs w:val="18"/>
                <w:color w:val="auto"/>
              </w:rPr>
              <w:t>n.m. not meaningful</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Quarter Ended</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280" w:type="dxa"/>
            <w:vAlign w:val="bottom"/>
          </w:tcPr>
          <w:p>
            <w:pPr>
              <w:spacing w:after="0"/>
              <w:rPr>
                <w:sz w:val="24"/>
                <w:szCs w:val="24"/>
                <w:color w:val="auto"/>
              </w:rPr>
            </w:pPr>
          </w:p>
        </w:tc>
      </w:tr>
      <w:tr>
        <w:trPr>
          <w:trHeight w:val="192"/>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704.2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2,267.9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6"/>
              </w:rPr>
              <w:t>2,105.0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99.5</w:t>
            </w:r>
          </w:p>
        </w:tc>
        <w:tc>
          <w:tcPr>
            <w:tcW w:w="1460" w:type="dxa"/>
            <w:vAlign w:val="bottom"/>
            <w:gridSpan w:val="2"/>
          </w:tcPr>
          <w:p>
            <w:pPr>
              <w:jc w:val="right"/>
              <w:ind w:right="24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300.3</w:t>
            </w:r>
          </w:p>
        </w:tc>
        <w:tc>
          <w:tcPr>
            <w:tcW w:w="80" w:type="dxa"/>
            <w:vAlign w:val="bottom"/>
          </w:tcPr>
          <w:p>
            <w:pPr>
              <w:spacing w:after="0"/>
              <w:rPr>
                <w:sz w:val="21"/>
                <w:szCs w:val="21"/>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60" w:type="dxa"/>
            <w:vAlign w:val="bottom"/>
            <w:tcBorders>
              <w:bottom w:val="single" w:sz="8" w:color="CCEEFF"/>
            </w:tcBorders>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1460" w:type="dxa"/>
            <w:vAlign w:val="bottom"/>
            <w:gridSpan w:val="2"/>
          </w:tcPr>
          <w:p>
            <w:pPr>
              <w:jc w:val="right"/>
              <w:ind w:right="182"/>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(7)</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841.7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w:t>
            </w:r>
          </w:p>
        </w:tc>
        <w:tc>
          <w:tcPr>
            <w:tcW w:w="146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2,682.3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6"/>
              </w:rPr>
              <w:t>2,513.0</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 The interest rate swaps and credit default swaps are discussed in a later section.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916.4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920.6</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2,915.2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2,689.1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687.2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698.7</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2,222.9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96"/>
              </w:rPr>
              <w:t>2,051.2</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0.750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0.759</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0.763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0.763</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estimate the following increases (decreases) in clearing and transaction fees based on changes in total contract volumes and changes in average rate per contract for futures and options during the third quarter and first nine months of 2016 when compared with the same periods in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(decreases) due to changes in total contract volume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Decreases due to changes in average rate per contract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Increases (decreases) in clearing and transaction fees</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72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20" w:type="dxa"/>
            <w:vAlign w:val="bottom"/>
          </w:tcPr>
          <w:p>
            <w:pPr>
              <w:spacing w:after="0"/>
              <w:rPr>
                <w:sz w:val="13"/>
                <w:szCs w:val="13"/>
                <w:color w:val="auto"/>
              </w:rPr>
            </w:pPr>
          </w:p>
        </w:tc>
      </w:tr>
      <w:tr>
        <w:trPr>
          <w:trHeight w:val="192"/>
        </w:trPr>
        <w:tc>
          <w:tcPr>
            <w:tcW w:w="374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2015</w:t>
            </w:r>
          </w:p>
        </w:tc>
        <w:tc>
          <w:tcPr>
            <w:tcW w:w="13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6,658</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2 %</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6,930</w:t>
            </w:r>
          </w:p>
        </w:tc>
        <w:tc>
          <w:tcPr>
            <w:tcW w:w="12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3,287</w:t>
            </w:r>
          </w:p>
        </w:tc>
        <w:tc>
          <w:tcPr>
            <w:tcW w:w="1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2,808</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855</w:t>
            </w:r>
          </w:p>
        </w:tc>
        <w:tc>
          <w:tcPr>
            <w:tcW w:w="134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903</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1,266</w:t>
            </w:r>
          </w:p>
        </w:tc>
        <w:tc>
          <w:tcPr>
            <w:tcW w:w="1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1,287</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Energy</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1,965</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17</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1,949</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351</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14,319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8"/>
              </w:rPr>
              <w:t>14,384</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15,424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14,228</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w w:val="98"/>
              </w:rPr>
              <w:t>12,620</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13,562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12,444</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3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1,111</w:t>
            </w:r>
          </w:p>
        </w:tc>
        <w:tc>
          <w:tcPr>
            <w:tcW w:w="1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(12)</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1,168</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653</w:t>
            </w: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616</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3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14,319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8"/>
              </w:rPr>
              <w:t>14,384</w:t>
            </w:r>
          </w:p>
        </w:tc>
        <w:tc>
          <w:tcPr>
            <w:tcW w:w="13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15,424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14,228</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Volume</w:t>
            </w: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20"/>
                <w:szCs w:val="20"/>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Overall contract volumes remained high in the first half of 2016 but tapered slightly in the third quarter of 2016 as overall market volatility declined slightly compared with previous quarters. We believe global market concerns, considerable uncertainty regarding the Federal Reserve's interest rate policy and the anticipation of the United Kingdom European Union membership referendum contributed to considerable volatility throughout early 2016, which generated overall volume growth in the first nine months of 2016. However, market volatility tapered slightly in the third quarter of 2016 from higher levels in early 2016 as uncertainty and global market concerns subsided.</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Crude oil volumes continued to grow throughout the first nine months of 2016 as crude oil market volatility remained high throughout the year. The crude oil markets continued to show considerable uncertainty regarding the direction of future oil prices as global supplies continue to remain high.</w:t>
      </w:r>
    </w:p>
    <w:p>
      <w:pPr>
        <w:sectPr>
          <w:pgSz w:w="11900" w:h="16838" w:orient="portrait"/>
          <w:cols w:equalWidth="0" w:num="1">
            <w:col w:w="11420"/>
          </w:cols>
          <w:pgMar w:left="240" w:top="125"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2015</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1,665</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1,544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8 %</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1,773</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1,640</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620</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647</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1,052</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1,200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30</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1,539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1,548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1,664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1,701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808</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862</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326</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342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316</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324</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third quarter and first nine months of 2016 when compared with the same periods in 2015, overall interest rate contract volumes increased slightly due to growth in short-term interest rate contracts, including the Eurodollar Front 8 futures and Eurodollar options. We believe this resulted from volatility from the continued uncertainty around changes to the Federal Reserve's interest rate policy in the near-term. Longer-term interest rate contract volumes, including the Back 32 futures and the U.S. Treasury products, declined as participants became more focused on short-term interest rate uncertainty. In addition, electronic Eurodollar options volumes increased in the third quarter and first nine months of 2016 due to our continued investment in system enhancements and client education.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2015</w:t>
            </w: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2015</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2,347</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2,593</w:t>
            </w:r>
          </w:p>
        </w:tc>
        <w:tc>
          <w:tcPr>
            <w:tcW w:w="15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w:t>
            </w:r>
          </w:p>
        </w:tc>
        <w:tc>
          <w:tcPr>
            <w:tcW w:w="164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rPr>
              <w:t>2,492</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236</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315</w:t>
            </w:r>
          </w:p>
        </w:tc>
        <w:tc>
          <w:tcPr>
            <w:tcW w:w="1500" w:type="dxa"/>
            <w:vAlign w:val="bottom"/>
          </w:tcPr>
          <w:p>
            <w:pPr>
              <w:jc w:val="right"/>
              <w:ind w:right="216"/>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561"/>
              <w:spacing w:after="0"/>
              <w:rPr>
                <w:sz w:val="20"/>
                <w:szCs w:val="20"/>
                <w:color w:val="auto"/>
              </w:rPr>
            </w:pPr>
            <w:r>
              <w:rPr>
                <w:rFonts w:ascii="Arial" w:cs="Arial" w:eastAsia="Arial" w:hAnsi="Arial"/>
                <w:sz w:val="18"/>
                <w:szCs w:val="18"/>
                <w:color w:val="auto"/>
              </w:rPr>
              <w:t>281</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274</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Overall equity contract volume decreased in the third quarter of 2016 when compared with the same period in 2015 due to overall lower market volatility, as measured by the CBOE Volatility Index. Equity price volatility declined in the third quarter compared with previous quarters as interest rate uncertainty and global market concerns subsided. In the third quarter of 2015, we believe the deceleration of the Chinese economy resulted in periods of high volatility within equity markets, which also contributed to a decrease in volume in the third quarter of 2016 when compared with the same period in 2015. Contract volume increased in the first nine months of 2016 when compared with the same period of 2015 due to periods of higher market volatility throughout early 2016, which we believe were due to continued concern surrounding the Federal Reserve's interest rate policy, uncertainty surrounding the United Kingdom European Union membership referendum and declining global crude oil prices.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184</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225</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140</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159</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114</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122</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103</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460" w:type="dxa"/>
            <w:vAlign w:val="bottom"/>
          </w:tcPr>
          <w:p>
            <w:pPr>
              <w:jc w:val="right"/>
              <w:ind w:right="253"/>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109</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6</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third quarter and first nine months of 2016 when compared with the same periods in 2015, overall foreign exchange contract volumes decreased largely due to declines in Euro contract volumes resulting from low volatility. We believe the lower volatility throughout 2016 resulted from a lack of global macroeconomic drivers affecting the Euro. Euro contract volumes were high throughout 2015 due to volatility caused by quantitative easing programs initiated by central banks throughout Europe in early 2015. Japanese yen contract volume decreased in the third quarter of 2016 due to uncertainty within the Japanese markets, which led market participants to seek safe haven currency alternatives.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4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4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374</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452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ind w:left="740"/>
              <w:spacing w:after="0"/>
              <w:rPr>
                <w:sz w:val="20"/>
                <w:szCs w:val="20"/>
                <w:color w:val="auto"/>
              </w:rPr>
            </w:pPr>
            <w:r>
              <w:rPr>
                <w:rFonts w:ascii="Arial" w:cs="Arial" w:eastAsia="Arial" w:hAnsi="Arial"/>
                <w:sz w:val="18"/>
                <w:szCs w:val="18"/>
                <w:color w:val="auto"/>
              </w:rPr>
              <w:t>253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(5)</w:t>
            </w:r>
          </w:p>
        </w:tc>
        <w:tc>
          <w:tcPr>
            <w:tcW w:w="1640" w:type="dxa"/>
            <w:vAlign w:val="bottom"/>
          </w:tcPr>
          <w:p>
            <w:pPr>
              <w:ind w:left="740"/>
              <w:spacing w:after="0"/>
              <w:rPr>
                <w:sz w:val="20"/>
                <w:szCs w:val="20"/>
                <w:color w:val="auto"/>
              </w:rPr>
            </w:pPr>
            <w:r>
              <w:rPr>
                <w:rFonts w:ascii="Arial" w:cs="Arial" w:eastAsia="Arial" w:hAnsi="Arial"/>
                <w:sz w:val="18"/>
                <w:szCs w:val="18"/>
                <w:color w:val="auto"/>
              </w:rPr>
              <w:t>333</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18</w:t>
            </w:r>
          </w:p>
        </w:tc>
      </w:tr>
      <w:tr>
        <w:trPr>
          <w:trHeight w:val="27"/>
        </w:trPr>
        <w:tc>
          <w:tcPr>
            <w:tcW w:w="3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173</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196</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7"/>
        </w:trPr>
        <w:tc>
          <w:tcPr>
            <w:tcW w:w="39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third quarter of 2016 when compared with the same period in 2015, overall agricultural commodity contract volume decreased due to lower price volatility, which we believe resulted from improved weather conditions. Contract volume increased in the first nine months of 2016 when compared with the same period in 2015 due to higher price volatility in the first half of 2016, which we believe was caused by greater uncertainty related to weather conditions and crop production for the 2016 growing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2015</w:t>
            </w: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1,248</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25 %</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1,290</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509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414</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23</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521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365</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13</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369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327</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(27)</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w:t>
            </w: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Overall energy contract volumes increased in the third quarter and first nine months of 2016 when compared with the same periods in 2015 largely due to increases in WTI crude oil trading, which we believe resulted from continued price volatility caused by excess global crude oil supplies. In 2016, the overall market shifted more focus on WTI crude oil instead of Brent crude oil because of the marketplace's increased weighting of WTI pricing as a global benchmark price for crude oil. Additionally, natural gas and refined products contract volumes increased largely due to higher price volatility caused by shifts in supply and demand in the underlying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80" w:type="dxa"/>
            <w:vAlign w:val="bottom"/>
            <w:gridSpan w:val="2"/>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4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255</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270</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34%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73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68</w:t>
            </w:r>
          </w:p>
        </w:tc>
        <w:tc>
          <w:tcPr>
            <w:tcW w:w="1440" w:type="dxa"/>
            <w:vAlign w:val="bottom"/>
          </w:tcPr>
          <w:p>
            <w:pPr>
              <w:jc w:val="right"/>
              <w:ind w:right="214"/>
              <w:spacing w:after="0"/>
              <w:rPr>
                <w:sz w:val="20"/>
                <w:szCs w:val="20"/>
                <w:color w:val="auto"/>
              </w:rPr>
            </w:pPr>
            <w:r>
              <w:rPr>
                <w:rFonts w:ascii="Arial" w:cs="Arial" w:eastAsia="Arial" w:hAnsi="Arial"/>
                <w:sz w:val="18"/>
                <w:szCs w:val="18"/>
                <w:color w:val="auto"/>
              </w:rPr>
              <w:t>7</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80</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320" w:type="dxa"/>
            <w:vAlign w:val="bottom"/>
          </w:tcPr>
          <w:p>
            <w:pPr>
              <w:ind w:left="960"/>
              <w:spacing w:after="0"/>
              <w:rPr>
                <w:sz w:val="20"/>
                <w:szCs w:val="20"/>
                <w:color w:val="auto"/>
              </w:rPr>
            </w:pPr>
            <w:r>
              <w:rPr>
                <w:rFonts w:ascii="Arial" w:cs="Arial" w:eastAsia="Arial" w:hAnsi="Arial"/>
                <w:sz w:val="18"/>
                <w:szCs w:val="18"/>
                <w:color w:val="auto"/>
              </w:rPr>
              <w:t>17</w:t>
            </w:r>
          </w:p>
        </w:tc>
      </w:tr>
      <w:tr>
        <w:trPr>
          <w:trHeight w:val="27"/>
        </w:trPr>
        <w:tc>
          <w:tcPr>
            <w:tcW w:w="3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80</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4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40</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78</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31</w:t>
            </w:r>
          </w:p>
        </w:tc>
      </w:tr>
      <w:tr>
        <w:trPr>
          <w:trHeight w:val="27"/>
        </w:trPr>
        <w:tc>
          <w:tcPr>
            <w:tcW w:w="39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believe the increases in metal contract volumes in the third quarter and first nine months of 2016 when compared with the same periods in 2015 were due to investors using gold and other precious metals as a safe haven investment alternative to the volatile equity markets in early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third quarter and first nine months of 2016 compared with the same periods in 2015, the average rate per contract remained relatively flat. The impacts from a rate increase in early 2016 were offset by higher volume-based incentives and discounts on our contracts as well as increases in trades executed by members, as a percentage of total trading volume.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Clearing and transaction fees as presented on the consolidated statements of income include revenues for our cleared-only interest rate swap and credit default swap contracts. In the third quarter of 2016 and 2015, clearing and transaction fees generated from these contracts were $17.0 million and $16.3 million, respectively. In the first nine months of 2016 and 2015, clearing and transaction fees generated from these contracts were $45.0 million and $53.8 million, respectively. The decrease in revenues in the first nine months of 2016 when compared with the same period in 2015 was largely attributable to a reduction in client activity after the first quarter of 2015, as we believe some customers chose alternative products and venues to manage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one firm represented 10% of our clearing and transaction fees in the first nine months of 2016.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Beginning in 2016, the partial fee waivers that existed in 2015 ended, which contributed to an increase in market data and information services revenue in the first nine months of 2016 when compared with the same period in 2015. The increase was partially offset by some rationalization as customer firms transitioned into full-priced offerings, as well as reductions in overall screen counts at member banks.</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40% of our market data and information services revenue in the first nine months of 2016.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2015</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2015</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90.6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15</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97.5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92.5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333.9</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1,019.8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994.2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331"/>
              <w:spacing w:after="0"/>
              <w:rPr>
                <w:sz w:val="20"/>
                <w:szCs w:val="20"/>
                <w:color w:val="auto"/>
              </w:rPr>
            </w:pPr>
            <w:r>
              <w:rPr>
                <w:rFonts w:ascii="Arial" w:cs="Arial" w:eastAsia="Arial" w:hAnsi="Arial"/>
                <w:sz w:val="18"/>
                <w:szCs w:val="18"/>
                <w:color w:val="auto"/>
              </w:rPr>
              <w:t>22</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Operating expenses decreased by $17.5 million in the third quarter of 2016 and increased by $25.6 million in the first nine months of 2016 when compared with the same periods in 2015. The following table shows the estimated impacts of key factors resulting in the changes in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68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Non-qualified deferred compensation plan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Rent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 and fees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third quarter and first nine months of 2016 when compared with the same periods in 2015 were as follows:</w:t>
      </w:r>
    </w:p>
    <w:p>
      <w:pPr>
        <w:spacing w:after="0" w:line="210" w:lineRule="exact"/>
        <w:rPr>
          <w:sz w:val="20"/>
          <w:szCs w:val="20"/>
          <w:color w:val="auto"/>
        </w:rPr>
      </w:pPr>
    </w:p>
    <w:p>
      <w:pPr>
        <w:jc w:val="both"/>
        <w:ind w:left="660" w:right="1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pacing w:after="0" w:line="146" w:lineRule="exact"/>
        <w:rPr>
          <w:rFonts w:ascii="Arial" w:cs="Arial" w:eastAsia="Arial" w:hAnsi="Arial"/>
          <w:sz w:val="16"/>
          <w:szCs w:val="16"/>
          <w:color w:val="auto"/>
        </w:rPr>
      </w:pPr>
    </w:p>
    <w:p>
      <w:pPr>
        <w:ind w:left="660" w:right="4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fees and outside services expense increased in the first nine months of 2016 largely due to an increase in legal efforts related to our business activities and product offerings as well as an increase in professional fees related to a greater reliance on consultants for security and systems enhancement work.</w:t>
      </w:r>
    </w:p>
    <w:p>
      <w:pPr>
        <w:spacing w:after="0" w:line="181"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licensing and other fee sharing agreements expense in the first nine months of 2016 resulted from higher expense related to revenue sharing agreements for certain equity and energy contracts due to both higher volume and an increase in the license rates for certain equity and energy products.</w:t>
      </w:r>
    </w:p>
    <w:p>
      <w:pPr>
        <w:spacing w:after="0" w:line="181"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first nine months of 2016, we recognized a net loss of $16.5 million due to an unfavorable change in exchange rates on foreign cash balances, compared with a net loss of $6.1 million in the first nine months of 2015. In the third quarter of 2016, we recognized a net loss of $1.0 million due to an unfavorable change in exchange rates on foreign cash balances, compared with a net loss of $7.2 million in the third quarter of 2015. Gains and losses from exchange rate fluctuations result when subsidiaries with a U.S. dollar functional currency hold cash as well as certain other monetary assets and liabilities denominated in foreign currencies.</w:t>
      </w:r>
    </w:p>
    <w:p>
      <w:pPr>
        <w:spacing w:after="0" w:line="188"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our non-qualified deferred compensation liability, the impact of which does not affect net income because of an equal and offsetting change in investment income, contributed to increases in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third quarter and first nine months of 2016 when compared with the same periods in 2015 were as follows:</w:t>
      </w: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Rent expense decreased largely due to a reduction in office and data center space during 2016.</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Bonus expense decreased due to performance relative to our 2016 cash earnings target when compared with 2015 performance relative to our 2015 cash earnings target.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quarter of 2015, we recognized additional real estate taxes and fees related to the transfer of the ownership of the NYMEX building.</w:t>
      </w:r>
    </w:p>
    <w:p>
      <w:pPr>
        <w:spacing w:after="0" w:line="248" w:lineRule="exact"/>
        <w:rPr>
          <w:rFonts w:ascii="Arial" w:cs="Arial" w:eastAsia="Arial" w:hAnsi="Arial"/>
          <w:sz w:val="16"/>
          <w:szCs w:val="16"/>
          <w:color w:val="auto"/>
        </w:rPr>
      </w:pPr>
    </w:p>
    <w:p>
      <w:pPr>
        <w:ind w:left="660" w:right="68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Severance and other costs related to the reorganization announced in October 2014 and the reduction of our trading floors in mid-2015 were recognized in the first quarter of 2015, in addition to a reorganization in the third quarter of 2015. These factors resulted in decreases in compensation and benefits expenses in the third quarter and first nine months of 2016 when compared with the same periods in 2015.</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w w:val="93"/>
              </w:rPr>
              <w:t>Equity in net earnings (losses) of unconsolidated subsidiaries</w:t>
            </w: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26.6</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75.1</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Investment income increased in the third quarter of 2016 and first nine months of 2016 when compared with the same periods in 2015. Investment income increased largely due to increases in the rate of interest earned from cash performance bond and guaranty fund contributions that are reinvested. Additionally, we recognized higher net gains (losses) on investments, including gains on sales of shares of BM&amp;FBOVESPA S.A. (BM&amp;FBOVESPA) and net gains (losses) on other business ventures, in the third quarter and first nine months of 2016 compared with the same periods in 2015. The increases in investment income were also attributable to increases in net gains on marketable securities related to our non-qualified deferred compensation plan. Gains and losses from securities in the non-qualified deferred compensation plan are offset by an equal amount of compensation and benefits expense. The increases in investment income were partially offset by decreases in dividend income.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increases in interest and other borrowing costs in the third quarter and first nine months of 2016 when compared with the same periods in 2015 were due to increases in commitment fees on line of credit agreements and additional interest expense related to our finance lease obligation related to one of our datacenters. In the first nine months of 2016 when compared with the same period in 2015, the increase in interest and borrowing costs was offset by a decrease in interest and borrowing costs on our outstanding borrowings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8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12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   2,250.0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2,250.0</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2,250.0</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2,283.4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(33.4)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21"/>
                <w:szCs w:val="21"/>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w w:val="95"/>
              </w:rPr>
              <w:t>(0.12)%</w:t>
            </w:r>
          </w:p>
        </w:tc>
      </w:tr>
      <w:tr>
        <w:trPr>
          <w:trHeight w:val="27"/>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3.86</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3.91</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(0.14)</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70" w:lineRule="exact"/>
        <w:rPr>
          <w:sz w:val="20"/>
          <w:szCs w:val="20"/>
          <w:color w:val="auto"/>
        </w:rPr>
      </w:pPr>
    </w:p>
    <w:p>
      <w:pPr>
        <w:ind w:left="60" w:right="260"/>
        <w:spacing w:after="0" w:line="264" w:lineRule="auto"/>
        <w:rPr>
          <w:sz w:val="20"/>
          <w:szCs w:val="20"/>
          <w:color w:val="auto"/>
        </w:rPr>
      </w:pPr>
      <w:r>
        <w:rPr>
          <w:rFonts w:ascii="Arial" w:cs="Arial" w:eastAsia="Arial" w:hAnsi="Arial"/>
          <w:sz w:val="18"/>
          <w:szCs w:val="18"/>
          <w:color w:val="auto"/>
        </w:rPr>
        <w:t>In March 2015, we issued $750.0 million 3.0% notes due March 2025. In April 2015, we repurchased the $612.5 million 4.40% notes due March 2018. These transactions decreased weighted average borrowings outstanding, weighted average effective yield and average cost of borrowings for the first nine months of 2016 when compared with the same period in 2015.</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increases in equity in net earnings (losses) of unconsolidated subsidiaries in the third quarter and first nine months of 2016 when compared with the same periods in 2015.</w:t>
      </w:r>
    </w:p>
    <w:p>
      <w:pPr>
        <w:spacing w:after="0" w:line="11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April 2015, we repurchased the $612.5 million fixed rate notes due 2018 and paid a call premium of $60.5 million. As a result of the transaction, we recognized debt prepayment costs of $61.8 million in the second quarter of 2015, which included the call premium and was included in other non-operating income (expense). In the first quarter of 2015, we received a termination fee of $22.5 million, net of the portion paid to outside advisers, related to our proposed acquisition of GFI Group Inc. (GFI Group), which was classified as income within other non-operating income (expense). In the third quarter and first nine months of 2016 when compared with the same periods in 2015, we recognized higher expenses related to the distribution of interest earned on performance bond collateral reinvestment to the clearing firms. This expense is included in other non-operating income (expense).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3"/>
              </w:rPr>
              <w:t>13.8%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Nine months ended September 30</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w w:val="93"/>
              </w:rPr>
              <w:t>31.5%</w:t>
            </w:r>
          </w:p>
        </w:tc>
        <w:tc>
          <w:tcPr>
            <w:tcW w:w="1220" w:type="dxa"/>
            <w:vAlign w:val="bottom"/>
          </w:tcPr>
          <w:p>
            <w:pPr>
              <w:jc w:val="right"/>
              <w:spacing w:after="0"/>
              <w:rPr>
                <w:sz w:val="20"/>
                <w:szCs w:val="20"/>
                <w:color w:val="auto"/>
              </w:rPr>
            </w:pPr>
            <w:r>
              <w:rPr>
                <w:rFonts w:ascii="Arial" w:cs="Arial" w:eastAsia="Arial" w:hAnsi="Arial"/>
                <w:sz w:val="18"/>
                <w:szCs w:val="18"/>
                <w:color w:val="auto"/>
              </w:rPr>
              <w:t>35.8%</w:t>
            </w:r>
          </w:p>
        </w:tc>
      </w:tr>
    </w:tbl>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overall decreases in the effective tax rates in the third quarter and first nine months of 2016 when compared with the same periods in 2015 were due to implementation of strategies to realize additional income tax benefits from the investment in BM&amp;FBOVESPA stock. In the third quarter of 2016, we also recognized a benefit related to the remeasurement of deferred tax liabilities resulting from our 2015 state income tax filings. The overall decrease in the effective tax rate in the first nine months of 2016 was partially offset by additional tax expense recognized from the remeasurement of tax positions resulting from a state and local income tax law change in the second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nine months of 2016 when compared with the same period of 2015.</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cash provided by operating activities was largely attributable to higher clearing and transaction fees resulting from an increase in volume. Net cash used in investing activities increased in the first nine months of 2016 when compared with the same period of 2015 due to lower proceeds received from our sales of BM&amp;FBOVESPA shares in the first nine months of 2016 when compared with the same period in 2015. This increase was partially offset by a decrease in purchases of property and equipment in the first nine months of 2016 when compared with the same period in 2015. Cash used in financing activities was higher in the first nine months of 2016 when compared with the same period in 2015. The increase was attributable to higher cash dividends paid in the first nine months of 2016 when compared with the same period in 2015. The increase was partially offset by proceeds from a finance lease obligation related to the sale-leaseback of the datacenter in the first quarter of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we sold our datacenter in the Chicago area for $130.0 million. At the time of the sale, we leased back a portion of the property. Under generally accepted accounting principles, the transaction has been accounted for under the financing method instead of a sale-leaseback arrangement because our participation in future revenues and development work constitute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September 30, 2016, guaranty funds available to collateralize the facility totaled $6.4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22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2016,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September 30, 2016, the letters of credit totaled $760.0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$1.4 billion and $1.7 billion at September 30, 2016 and December 31, 2015,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August 2015, FASB extended the deadline by one year. This guidance may be adopted using one of two transition methods, which we are still evaluating along with the impact of the new standard on our consolidated financial statements.</w:t>
      </w:r>
    </w:p>
    <w:p>
      <w:pPr>
        <w:spacing w:after="0" w:line="1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2016, the FASB issued a standards update that will change certain aspects of accounting for share-based payments to employees. The guidance will require that all income tax effects of awards to be recognized in the income statement when the awards vest or are settled. It will also allow an employer to repurchase more of an employee’s shares for tax withholding purposes without triggering liability accounting and to make a policy election to account for forfeitures as they occur. The update is effective for reporting periods beginning after December 15, 2016. Early adoption is permitted. If this guidance is early adopted during an interim period, any adjustments must be reflected as of the beginning of the fiscal year that includes the interim period. We are in the process of evaluating the impact of this update on our consolidated financial statements.</w:t>
      </w:r>
    </w:p>
    <w:p>
      <w:pPr>
        <w:spacing w:after="0" w:line="1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We are in the process of evaluating the impact of this standard on our consolidated financial statements.</w:t>
      </w:r>
    </w:p>
    <w:p>
      <w:pPr>
        <w:spacing w:after="0" w:line="29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2015. Refer to Item 7A. of CME Group’s Annual Report on Form 10-K for the year ended December 31, 2015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64"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period covered by this report. Based on such evaluation, our Chief Executive Officer and Chief Financial Officer have concluded that, as of the end of such period, our disclosure controls and procedures are effective.</w:t>
      </w:r>
    </w:p>
    <w:p>
      <w:pPr>
        <w:spacing w:after="0" w:line="170" w:lineRule="exact"/>
        <w:rPr>
          <w:sz w:val="20"/>
          <w:szCs w:val="20"/>
          <w:color w:val="auto"/>
        </w:rPr>
      </w:pPr>
    </w:p>
    <w:p>
      <w:pPr>
        <w:ind w:right="60" w:firstLine="8"/>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8. Contingencies to the Consolidated Financial Statements for updates to CME Group’s existing legal proceedings disclosure which is incorporated herein by reference. Note 8. Contingencies includes updates to the legal proceedings disclosed in the company’s Annual Report on Form 10-K, filed with the SEC on February 26, 2016.</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26, 2016.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to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August 1 to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103.32</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152,820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108.98</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153,166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108.97</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153,166 shares of Class A common stock surrendered in the third quarter of 2016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880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8800" w:type="dxa"/>
            <w:vAlign w:val="bottom"/>
          </w:tcPr>
          <w:p>
            <w:pPr>
              <w:spacing w:after="0"/>
              <w:rPr>
                <w:sz w:val="24"/>
                <w:szCs w:val="24"/>
                <w:color w:val="auto"/>
              </w:rPr>
            </w:pPr>
          </w:p>
        </w:tc>
      </w:tr>
      <w:tr>
        <w:trPr>
          <w:trHeight w:val="553"/>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w w:val="90"/>
              </w:rPr>
              <w:t>Amendment No. 1 to Credit Agreement, dated as of August 12, 2016 among Chicago Mercantile Exchange Inc. and Bank of America,</w:t>
            </w:r>
          </w:p>
        </w:tc>
      </w:tr>
      <w:tr>
        <w:trPr>
          <w:trHeight w:val="230"/>
        </w:trPr>
        <w:tc>
          <w:tcPr>
            <w:tcW w:w="1280" w:type="dxa"/>
            <w:vAlign w:val="bottom"/>
          </w:tcPr>
          <w:p>
            <w:pPr>
              <w:spacing w:after="0"/>
              <w:rPr>
                <w:sz w:val="20"/>
                <w:szCs w:val="20"/>
                <w:color w:val="auto"/>
              </w:rPr>
            </w:pP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N.A., as Administrative Agent.</w:t>
            </w:r>
          </w:p>
        </w:tc>
      </w:tr>
      <w:tr>
        <w:trPr>
          <w:trHeight w:val="459"/>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80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8800" w:type="dxa"/>
            <w:vAlign w:val="bottom"/>
          </w:tcPr>
          <w:p>
            <w:pPr>
              <w:ind w:left="20"/>
              <w:spacing w:after="0"/>
              <w:rPr>
                <w:sz w:val="20"/>
                <w:szCs w:val="20"/>
                <w:color w:val="auto"/>
              </w:rPr>
            </w:pPr>
            <w:r>
              <w:rPr>
                <w:rFonts w:ascii="Arial" w:cs="Arial" w:eastAsia="Arial" w:hAnsi="Arial"/>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880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08"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10.1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CREDIT AGREEMENT</w:t>
      </w:r>
    </w:p>
    <w:p>
      <w:pPr>
        <w:spacing w:after="0" w:line="3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NO. 1 TO CREDIT AGREEMENT</w:t>
      </w:r>
      <w:r>
        <w:rPr>
          <w:rFonts w:ascii="Arial" w:cs="Arial" w:eastAsia="Arial" w:hAnsi="Arial"/>
          <w:sz w:val="22"/>
          <w:szCs w:val="22"/>
          <w:color w:val="auto"/>
        </w:rPr>
        <w:t xml:space="preserve"> (this “</w:t>
      </w:r>
      <w:r>
        <w:rPr>
          <w:rFonts w:ascii="Arial" w:cs="Arial" w:eastAsia="Arial" w:hAnsi="Arial"/>
          <w:sz w:val="22"/>
          <w:szCs w:val="22"/>
          <w:b w:val="1"/>
          <w:bCs w:val="1"/>
          <w:i w:val="1"/>
          <w:iCs w:val="1"/>
          <w:color w:val="auto"/>
        </w:rPr>
        <w:t>Amendment No. 1</w:t>
      </w:r>
      <w:r>
        <w:rPr>
          <w:rFonts w:ascii="Arial" w:cs="Arial" w:eastAsia="Arial" w:hAnsi="Arial"/>
          <w:sz w:val="22"/>
          <w:szCs w:val="22"/>
          <w:color w:val="auto"/>
        </w:rPr>
        <w:t xml:space="preserve">”) dated as of August 12, 2016, is among </w:t>
      </w:r>
      <w:r>
        <w:rPr>
          <w:rFonts w:ascii="Arial" w:cs="Arial" w:eastAsia="Arial" w:hAnsi="Arial"/>
          <w:sz w:val="22"/>
          <w:szCs w:val="22"/>
          <w:b w:val="1"/>
          <w:bCs w:val="1"/>
          <w:color w:val="auto"/>
        </w:rPr>
        <w:t>CHICAGO MERCANTILE EXCHANGE INC.</w:t>
      </w:r>
      <w:r>
        <w:rPr>
          <w:rFonts w:ascii="Arial" w:cs="Arial" w:eastAsia="Arial" w:hAnsi="Arial"/>
          <w:sz w:val="22"/>
          <w:szCs w:val="22"/>
          <w:color w:val="auto"/>
        </w:rPr>
        <w:t>,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BANK OF AMERICA,</w:t>
      </w:r>
      <w:r>
        <w:rPr>
          <w:rFonts w:ascii="Arial" w:cs="Arial" w:eastAsia="Arial" w:hAnsi="Arial"/>
          <w:sz w:val="22"/>
          <w:szCs w:val="22"/>
          <w:color w:val="auto"/>
        </w:rPr>
        <w:t xml:space="preserve"> </w:t>
      </w:r>
      <w:r>
        <w:rPr>
          <w:rFonts w:ascii="Arial" w:cs="Arial" w:eastAsia="Arial" w:hAnsi="Arial"/>
          <w:sz w:val="22"/>
          <w:szCs w:val="22"/>
          <w:b w:val="1"/>
          <w:bCs w:val="1"/>
          <w:color w:val="auto"/>
        </w:rPr>
        <w:t>N.A.</w:t>
      </w:r>
      <w:r>
        <w:rPr>
          <w:rFonts w:ascii="Arial" w:cs="Arial" w:eastAsia="Arial" w:hAnsi="Arial"/>
          <w:sz w:val="22"/>
          <w:szCs w:val="22"/>
          <w:color w:val="auto"/>
        </w:rPr>
        <w:t>, in its capacity as administrative agent for the Banks (as defined in the Credit Agreement described below) (in such capacity,</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the Administrative Agent, Deutsche Bank Trust Company Americas, in its capacity as collateral</w:t>
      </w:r>
      <w:r>
        <w:rPr>
          <w:rFonts w:ascii="Arial" w:cs="Arial" w:eastAsia="Arial" w:hAnsi="Arial"/>
          <w:sz w:val="22"/>
          <w:szCs w:val="22"/>
          <w:b w:val="1"/>
          <w:bCs w:val="1"/>
          <w:color w:val="auto"/>
        </w:rPr>
        <w:t xml:space="preserve"> </w:t>
      </w:r>
      <w:r>
        <w:rPr>
          <w:rFonts w:ascii="Arial" w:cs="Arial" w:eastAsia="Arial" w:hAnsi="Arial"/>
          <w:sz w:val="22"/>
          <w:szCs w:val="22"/>
          <w:color w:val="auto"/>
        </w:rPr>
        <w:t>agent for the Agents and the Banks (in such capacity, the “</w:t>
      </w:r>
      <w:r>
        <w:rPr>
          <w:rFonts w:ascii="Arial" w:cs="Arial" w:eastAsia="Arial" w:hAnsi="Arial"/>
          <w:sz w:val="22"/>
          <w:szCs w:val="22"/>
          <w:b w:val="1"/>
          <w:bCs w:val="1"/>
          <w:i w:val="1"/>
          <w:iCs w:val="1"/>
          <w:color w:val="auto"/>
        </w:rPr>
        <w:t>Collateral Agent</w:t>
      </w:r>
      <w:r>
        <w:rPr>
          <w:rFonts w:ascii="Arial" w:cs="Arial" w:eastAsia="Arial" w:hAnsi="Arial"/>
          <w:sz w:val="22"/>
          <w:szCs w:val="22"/>
          <w:color w:val="auto"/>
        </w:rPr>
        <w:t>”) and the Banks entered into that certain Credit Agreement dated as of November 5, 2015 (the “</w:t>
      </w:r>
      <w:r>
        <w:rPr>
          <w:rFonts w:ascii="Arial" w:cs="Arial" w:eastAsia="Arial" w:hAnsi="Arial"/>
          <w:sz w:val="22"/>
          <w:szCs w:val="22"/>
          <w:b w:val="1"/>
          <w:bCs w:val="1"/>
          <w:i w:val="1"/>
          <w:iCs w:val="1"/>
          <w:color w:val="auto"/>
        </w:rPr>
        <w:t>Existing Credit Agreement</w:t>
      </w:r>
      <w:r>
        <w:rPr>
          <w:rFonts w:ascii="Arial" w:cs="Arial" w:eastAsia="Arial" w:hAnsi="Arial"/>
          <w:sz w:val="22"/>
          <w:szCs w:val="22"/>
          <w:color w:val="auto"/>
        </w:rPr>
        <w:t>”, the Existing Credit Agreement as amended hereby,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capitalized terms used in this Amendment No. 1 not otherwise defined herein shall have the respective meanings given thereto in the Existing Credit Agreement; and</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requested that the Administrative Agent amend certain provisions of Annex I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to the Credit Agreement, and the Administrative Agent is willing to effect such amendment on the terms and conditions contained in this Amendment No. 1.</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162" w:lineRule="exact"/>
        <w:rPr>
          <w:sz w:val="20"/>
          <w:szCs w:val="20"/>
          <w:color w:val="auto"/>
        </w:rPr>
      </w:pPr>
    </w:p>
    <w:p>
      <w:pPr>
        <w:ind w:firstLine="656"/>
        <w:spacing w:after="0" w:line="269" w:lineRule="auto"/>
        <w:tabs>
          <w:tab w:leader="none" w:pos="1459"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Existing Credit Agreement</w:t>
      </w:r>
      <w:r>
        <w:rPr>
          <w:rFonts w:ascii="Arial" w:cs="Arial" w:eastAsia="Arial" w:hAnsi="Arial"/>
          <w:sz w:val="22"/>
          <w:szCs w:val="22"/>
          <w:color w:val="auto"/>
        </w:rPr>
        <w:t>. Subject to the terms and conditions set forth herein, the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will be amended as follows:</w:t>
      </w:r>
    </w:p>
    <w:p>
      <w:pPr>
        <w:spacing w:after="0" w:line="168" w:lineRule="exact"/>
        <w:rPr>
          <w:rFonts w:ascii="Arial" w:cs="Arial" w:eastAsia="Arial" w:hAnsi="Arial"/>
          <w:sz w:val="22"/>
          <w:szCs w:val="22"/>
          <w:b w:val="1"/>
          <w:bCs w:val="1"/>
          <w:color w:val="auto"/>
        </w:rPr>
      </w:pPr>
    </w:p>
    <w:p>
      <w:pPr>
        <w:ind w:left="660" w:firstLine="645"/>
        <w:spacing w:after="0" w:line="276" w:lineRule="auto"/>
        <w:tabs>
          <w:tab w:leader="none" w:pos="1760"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(Eligible Assets) to the Credit Agreement is hereby amended by deleting the paragraph regarding “Minimum Credit Rating” therein in its entirety and replacing it with the following:</w:t>
      </w:r>
    </w:p>
    <w:p>
      <w:pPr>
        <w:spacing w:after="0" w:line="201" w:lineRule="exact"/>
        <w:rPr>
          <w:sz w:val="20"/>
          <w:szCs w:val="20"/>
          <w:color w:val="auto"/>
        </w:rPr>
      </w:pPr>
    </w:p>
    <w:p>
      <w:pPr>
        <w:jc w:val="both"/>
        <w:ind w:left="1960"/>
        <w:spacing w:after="0" w:line="261" w:lineRule="auto"/>
        <w:rPr>
          <w:sz w:val="20"/>
          <w:szCs w:val="20"/>
          <w:color w:val="auto"/>
        </w:rPr>
      </w:pPr>
      <w:r>
        <w:rPr>
          <w:rFonts w:ascii="Arial" w:cs="Arial" w:eastAsia="Arial" w:hAnsi="Arial"/>
          <w:sz w:val="21"/>
          <w:szCs w:val="21"/>
          <w:color w:val="auto"/>
        </w:rPr>
        <w:t>***Minimum Credit Rating: The minimum credit rating required for assets to qualify as Eligible Assets is noted in the applicable parentheticals above. Further, in the case of any of U.S. Government Sponsored Agency Debentures, U.S. Government Sponsored Agency MBS, Investment Grade Corporate Debt (Fixed Rate), Investment Grade Corporate Debt (Floating Rate), Foreign Sovereign Debt and Commercial Paper, in order for any such asset to qualify as an Eligible Asset, such asset shall have such minimum rating by 2 of the 3 following rating agencies: S&amp;P, Moody’s and Fitch.</w:t>
      </w:r>
    </w:p>
    <w:p>
      <w:pPr>
        <w:spacing w:after="0" w:line="221" w:lineRule="exact"/>
        <w:rPr>
          <w:sz w:val="20"/>
          <w:szCs w:val="20"/>
          <w:color w:val="auto"/>
        </w:rPr>
      </w:pPr>
    </w:p>
    <w:p>
      <w:pPr>
        <w:ind w:left="660" w:right="20" w:firstLine="645"/>
        <w:spacing w:after="0" w:line="276" w:lineRule="auto"/>
        <w:tabs>
          <w:tab w:leader="none" w:pos="165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(Eligible Assets) to the Credit Agreement is hereby further amended by adding the following paragraph regarding “Money Market Fund Shares” after the paragraph regarding “Advance Rate” therein:</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81120259</w:t>
      </w:r>
    </w:p>
    <w:p>
      <w:pPr>
        <w:sectPr>
          <w:pgSz w:w="11900" w:h="16838" w:orient="portrait"/>
          <w:cols w:equalWidth="0" w:num="1">
            <w:col w:w="11420"/>
          </w:cols>
          <w:pgMar w:left="240" w:top="369" w:right="239" w:bottom="1440" w:gutter="0" w:footer="0" w:header="0"/>
        </w:sectPr>
      </w:pPr>
    </w:p>
    <w:bookmarkStart w:id="32" w:name="page33"/>
    <w:bookmarkEnd w:id="32"/>
    <w:p>
      <w:pPr>
        <w:jc w:val="both"/>
        <w:ind w:left="1960"/>
        <w:spacing w:after="0" w:line="253" w:lineRule="auto"/>
        <w:rPr>
          <w:sz w:val="20"/>
          <w:szCs w:val="20"/>
          <w:color w:val="auto"/>
        </w:rPr>
      </w:pPr>
      <w:r>
        <w:rPr>
          <w:rFonts w:ascii="Arial" w:cs="Arial" w:eastAsia="Arial" w:hAnsi="Arial"/>
          <w:sz w:val="22"/>
          <w:szCs w:val="22"/>
          <w:color w:val="auto"/>
        </w:rPr>
        <w:t>*****Money Market Fund Shares: In order for any Money Market Fund Shares to qualify as an Eligible Asset, such Money Market Fund Shares shall meet all Rule 2a-7 criteria and may be subject to redemption gates as provided in Rule 2a-7(c).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ease of reference, such changes are reflected on the attached Annex I (Eligible Assets).</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hereto acknowledge and agree that this Amendment No. 1 is not a novation of the Credit Agreement or of any credit facility provided thereunder or in respect thereof.</w:t>
      </w:r>
    </w:p>
    <w:p>
      <w:pPr>
        <w:spacing w:after="0" w:line="169" w:lineRule="exact"/>
        <w:rPr>
          <w:sz w:val="20"/>
          <w:szCs w:val="20"/>
          <w:color w:val="auto"/>
        </w:rPr>
      </w:pPr>
    </w:p>
    <w:p>
      <w:pPr>
        <w:jc w:val="both"/>
        <w:ind w:firstLine="656"/>
        <w:spacing w:after="0" w:line="256" w:lineRule="auto"/>
        <w:tabs>
          <w:tab w:leader="none" w:pos="1459"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Conditions Precedent</w:t>
      </w:r>
      <w:r>
        <w:rPr>
          <w:rFonts w:ascii="Arial" w:cs="Arial" w:eastAsia="Arial" w:hAnsi="Arial"/>
          <w:sz w:val="22"/>
          <w:szCs w:val="22"/>
          <w:color w:val="auto"/>
        </w:rPr>
        <w:t>. This Amendment No. 1 shall become effective at the time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shall have received counterparts of this Amendment No. 1 duly executed by the Company and the Administrative Agent.</w:t>
      </w:r>
    </w:p>
    <w:p>
      <w:pPr>
        <w:spacing w:after="0" w:line="176" w:lineRule="exact"/>
        <w:rPr>
          <w:rFonts w:ascii="Arial" w:cs="Arial" w:eastAsia="Arial" w:hAnsi="Arial"/>
          <w:sz w:val="22"/>
          <w:szCs w:val="22"/>
          <w:color w:val="auto"/>
        </w:rPr>
      </w:pPr>
    </w:p>
    <w:p>
      <w:pPr>
        <w:ind w:firstLine="656"/>
        <w:spacing w:after="0" w:line="269" w:lineRule="auto"/>
        <w:tabs>
          <w:tab w:leader="none" w:pos="1459"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In order to induce the Administrative Agent to enter into this Amendment No.</w:t>
      </w:r>
      <w:r>
        <w:rPr>
          <w:rFonts w:ascii="Arial" w:cs="Arial" w:eastAsia="Arial" w:hAnsi="Arial"/>
          <w:sz w:val="22"/>
          <w:szCs w:val="22"/>
          <w:b w:val="1"/>
          <w:bCs w:val="1"/>
          <w:color w:val="auto"/>
        </w:rPr>
        <w:t xml:space="preserve"> </w:t>
      </w:r>
      <w:r>
        <w:rPr>
          <w:rFonts w:ascii="Arial" w:cs="Arial" w:eastAsia="Arial" w:hAnsi="Arial"/>
          <w:sz w:val="22"/>
          <w:szCs w:val="22"/>
          <w:color w:val="auto"/>
        </w:rPr>
        <w:t>1, the Company represents and warrants to the Administrative Agent as follows:</w:t>
      </w:r>
    </w:p>
    <w:p>
      <w:pPr>
        <w:spacing w:after="0" w:line="168" w:lineRule="exact"/>
        <w:rPr>
          <w:rFonts w:ascii="Arial" w:cs="Arial" w:eastAsia="Arial" w:hAnsi="Arial"/>
          <w:sz w:val="22"/>
          <w:szCs w:val="22"/>
          <w:color w:val="auto"/>
        </w:rPr>
      </w:pPr>
    </w:p>
    <w:p>
      <w:pPr>
        <w:jc w:val="both"/>
        <w:ind w:left="660" w:firstLine="645"/>
        <w:spacing w:after="0" w:line="248" w:lineRule="auto"/>
        <w:tabs>
          <w:tab w:leader="none" w:pos="2106" w:val="left"/>
        </w:tabs>
        <w:numPr>
          <w:ilvl w:val="1"/>
          <w:numId w:val="18"/>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this Amendment No. 1, (i) the representations and warranties of the Company set forth in Article VI of the Credit Agreement shall be true and correct in all material respects on and as of the date hereof (except to the extent that such representations and warranties specifically refer to an earlier date, in which case they are true and correct in all material respects as of such earlier date) and (ii) no Default or Unmatured Default has occurred and is continuing.</w:t>
      </w:r>
    </w:p>
    <w:p>
      <w:pPr>
        <w:spacing w:after="0" w:line="192" w:lineRule="exact"/>
        <w:rPr>
          <w:rFonts w:ascii="Arial" w:cs="Arial" w:eastAsia="Arial" w:hAnsi="Arial"/>
          <w:sz w:val="22"/>
          <w:szCs w:val="22"/>
          <w:color w:val="auto"/>
        </w:rPr>
      </w:pPr>
    </w:p>
    <w:p>
      <w:pPr>
        <w:jc w:val="both"/>
        <w:ind w:left="660" w:firstLine="645"/>
        <w:spacing w:after="0" w:line="302" w:lineRule="auto"/>
        <w:tabs>
          <w:tab w:leader="none" w:pos="2119"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This Amendment No. 1 has been duly executed and delivered by the Company and constitutes a legal, valid and binding obligation of the Company, enforceable against the Company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36" w:lineRule="exact"/>
        <w:rPr>
          <w:rFonts w:ascii="Arial" w:cs="Arial" w:eastAsia="Arial" w:hAnsi="Arial"/>
          <w:sz w:val="19"/>
          <w:szCs w:val="19"/>
          <w:color w:val="auto"/>
        </w:rPr>
      </w:pPr>
    </w:p>
    <w:p>
      <w:pPr>
        <w:jc w:val="both"/>
        <w:ind w:firstLine="656"/>
        <w:spacing w:after="0" w:line="259" w:lineRule="auto"/>
        <w:tabs>
          <w:tab w:leader="none" w:pos="1459" w:val="left"/>
        </w:tabs>
        <w:numPr>
          <w:ilvl w:val="0"/>
          <w:numId w:val="18"/>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No. 1, together with the Existing Credit Agreement (collectively,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Relevant Documents</w:t>
      </w:r>
      <w:r>
        <w:rPr>
          <w:rFonts w:ascii="Arial" w:cs="Arial" w:eastAsia="Arial" w:hAnsi="Arial"/>
          <w:sz w:val="21"/>
          <w:szCs w:val="21"/>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No. 1 may be changed, modified, waived or canceled orally or otherwise, except in writing and in accordance with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of the Credit Agreement.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81120259</w:t>
      </w:r>
    </w:p>
    <w:p>
      <w:pPr>
        <w:sectPr>
          <w:pgSz w:w="11900" w:h="16838" w:orient="portrait"/>
          <w:cols w:equalWidth="0" w:num="1">
            <w:col w:w="11420"/>
          </w:cols>
          <w:pgMar w:left="240" w:top="375" w:right="239" w:bottom="1440" w:gutter="0" w:footer="0" w:header="0"/>
        </w:sectPr>
      </w:pPr>
    </w:p>
    <w:bookmarkStart w:id="33" w:name="page34"/>
    <w:bookmarkEnd w:id="33"/>
    <w:p>
      <w:pPr>
        <w:jc w:val="both"/>
        <w:ind w:firstLine="656"/>
        <w:spacing w:after="0" w:line="256" w:lineRule="auto"/>
        <w:tabs>
          <w:tab w:leader="none" w:pos="1459"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Force and Effect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hereby specifically amended, modified or supplemented,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is hereby confirmed and ratified in all respects and shall be and remain in full force and effect according to its terms.</w:t>
      </w:r>
    </w:p>
    <w:p>
      <w:pPr>
        <w:spacing w:after="0" w:line="176" w:lineRule="exact"/>
        <w:rPr>
          <w:rFonts w:ascii="Arial" w:cs="Arial" w:eastAsia="Arial" w:hAnsi="Arial"/>
          <w:sz w:val="22"/>
          <w:szCs w:val="22"/>
          <w:color w:val="auto"/>
        </w:rPr>
      </w:pPr>
    </w:p>
    <w:p>
      <w:pPr>
        <w:jc w:val="both"/>
        <w:ind w:firstLine="656"/>
        <w:spacing w:after="0" w:line="304" w:lineRule="auto"/>
        <w:tabs>
          <w:tab w:leader="none" w:pos="1459"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No. 1 may be executed in any number of counterparts, each of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an original as against any party whose signature appears thereon, and all of which shall together constitute one and the same instrument. Delivery of an executed counterpart of a signature page of this Amendment No. 1 by telecopy or other electronic transmission (e.g. pdf or electronic mail) shall be effective as a manually executed counterpart of this Amendment No. 1.</w:t>
      </w:r>
    </w:p>
    <w:p>
      <w:pPr>
        <w:spacing w:after="0" w:line="135" w:lineRule="exact"/>
        <w:rPr>
          <w:rFonts w:ascii="Arial" w:cs="Arial" w:eastAsia="Arial" w:hAnsi="Arial"/>
          <w:sz w:val="19"/>
          <w:szCs w:val="19"/>
          <w:color w:val="auto"/>
        </w:rPr>
      </w:pPr>
    </w:p>
    <w:p>
      <w:pPr>
        <w:jc w:val="both"/>
        <w:ind w:firstLine="656"/>
        <w:spacing w:after="0" w:line="262" w:lineRule="auto"/>
        <w:tabs>
          <w:tab w:leader="none" w:pos="1459"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NO. 1 SHALL IN ALL RESPECTS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CONSTRUED IN ACCORDANCE WITH, THE LAWS OF THE STATE OF NEW YORK. The Company hereby irrevocably submits to the exclusive jurisdiction of any United States federal or New York state court sitting in New York, New York, in any action or proceeding arising out of or relating to this Amendment No. 1, and each of the parties hereto hereby irrevocably agrees that all claims in respect of any such action or proceeding may be heard and determined in any such court. This Amendment No. 1 shall be further subject to the provisions of </w:t>
      </w:r>
      <w:r>
        <w:rPr>
          <w:rFonts w:ascii="Arial" w:cs="Arial" w:eastAsia="Arial" w:hAnsi="Arial"/>
          <w:sz w:val="21"/>
          <w:szCs w:val="21"/>
          <w:u w:val="single" w:color="auto"/>
          <w:color w:val="auto"/>
        </w:rPr>
        <w:t>Sections 11.4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11.12</w:t>
      </w:r>
      <w:r>
        <w:rPr>
          <w:rFonts w:ascii="Arial" w:cs="Arial" w:eastAsia="Arial" w:hAnsi="Arial"/>
          <w:sz w:val="21"/>
          <w:szCs w:val="21"/>
          <w:color w:val="auto"/>
        </w:rPr>
        <w:t xml:space="preserve"> of the Credit Agreement.</w:t>
      </w:r>
    </w:p>
    <w:p>
      <w:pPr>
        <w:spacing w:after="0" w:line="173" w:lineRule="exact"/>
        <w:rPr>
          <w:rFonts w:ascii="Arial" w:cs="Arial" w:eastAsia="Arial" w:hAnsi="Arial"/>
          <w:sz w:val="21"/>
          <w:szCs w:val="21"/>
          <w:color w:val="auto"/>
        </w:rPr>
      </w:pPr>
    </w:p>
    <w:p>
      <w:pPr>
        <w:jc w:val="both"/>
        <w:ind w:firstLine="656"/>
        <w:spacing w:after="0" w:line="252" w:lineRule="auto"/>
        <w:tabs>
          <w:tab w:leader="none" w:pos="1459"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Enforceability</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Amendment No. 1 held to be invalid, illegal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shall, as to such jurisdiction, be 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rFonts w:ascii="Arial" w:cs="Arial" w:eastAsia="Arial" w:hAnsi="Arial"/>
          <w:sz w:val="22"/>
          <w:szCs w:val="22"/>
          <w:color w:val="auto"/>
        </w:rPr>
      </w:pPr>
    </w:p>
    <w:p>
      <w:pPr>
        <w:ind w:left="1460" w:hanging="804"/>
        <w:spacing w:after="0"/>
        <w:tabs>
          <w:tab w:leader="none" w:pos="1460" w:val="left"/>
        </w:tabs>
        <w:numPr>
          <w:ilvl w:val="0"/>
          <w:numId w:val="19"/>
        </w:numPr>
        <w:rPr>
          <w:rFonts w:ascii="Arial" w:cs="Arial" w:eastAsia="Arial" w:hAnsi="Arial"/>
          <w:sz w:val="19"/>
          <w:szCs w:val="19"/>
          <w:i w:val="1"/>
          <w:iCs w:val="1"/>
          <w:color w:val="auto"/>
        </w:rPr>
      </w:pPr>
      <w:r>
        <w:rPr>
          <w:rFonts w:ascii="Arial" w:cs="Arial" w:eastAsia="Arial" w:hAnsi="Arial"/>
          <w:sz w:val="19"/>
          <w:szCs w:val="19"/>
          <w:b w:val="1"/>
          <w:bCs w:val="1"/>
          <w:u w:val="single" w:color="auto"/>
          <w:color w:val="auto"/>
        </w:rPr>
        <w:t>References</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to the “Credit Agreement” shall mean the Credit Agreement, as amended hereby.</w:t>
      </w:r>
    </w:p>
    <w:p>
      <w:pPr>
        <w:spacing w:after="0" w:line="254" w:lineRule="exact"/>
        <w:rPr>
          <w:rFonts w:ascii="Arial" w:cs="Arial" w:eastAsia="Arial" w:hAnsi="Arial"/>
          <w:sz w:val="19"/>
          <w:szCs w:val="19"/>
          <w:i w:val="1"/>
          <w:iCs w:val="1"/>
          <w:color w:val="auto"/>
        </w:rPr>
      </w:pPr>
    </w:p>
    <w:p>
      <w:pPr>
        <w:jc w:val="both"/>
        <w:ind w:firstLine="656"/>
        <w:spacing w:after="0" w:line="274" w:lineRule="auto"/>
        <w:tabs>
          <w:tab w:leader="none" w:pos="1567" w:val="left"/>
        </w:tabs>
        <w:numPr>
          <w:ilvl w:val="0"/>
          <w:numId w:val="19"/>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No. 1 shall be binding upon and inure to the benefit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Administrative Agent, Collateral Agent the Banks and their respective successors, legal representatives, and assignees to the extent such assignees are permitted assignees as provided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the Credit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81120259</w:t>
      </w:r>
    </w:p>
    <w:p>
      <w:pPr>
        <w:sectPr>
          <w:pgSz w:w="11900" w:h="16838" w:orient="portrait"/>
          <w:cols w:equalWidth="0" w:num="1">
            <w:col w:w="11420"/>
          </w:cols>
          <w:pgMar w:left="240" w:top="369" w:right="239" w:bottom="1440" w:gutter="0" w:footer="0" w:header="0"/>
        </w:sectPr>
      </w:pPr>
    </w:p>
    <w:bookmarkStart w:id="34" w:name="page35"/>
    <w:bookmarkEnd w:id="34"/>
    <w:p>
      <w:pPr>
        <w:ind w:firstLine="648"/>
        <w:spacing w:after="0" w:line="25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instrument to be made,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officers as of the day and year first above written.</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b w:val="1"/>
          <w:bCs w:val="1"/>
          <w:color w:val="auto"/>
        </w:rPr>
        <w:t>:</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CHICAGO MERCANTILE EXCHANGE INC.</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J. Kobida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10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J. Kobida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1146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1177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729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81120259</w:t>
      </w:r>
    </w:p>
    <w:p>
      <w:pPr>
        <w:sectPr>
          <w:pgSz w:w="11900" w:h="16838" w:orient="portrait"/>
          <w:cols w:equalWidth="0" w:num="1">
            <w:col w:w="11420"/>
          </w:cols>
          <w:pgMar w:left="240" w:top="625" w:right="239" w:bottom="1440" w:gutter="0" w:footer="0" w:header="0"/>
        </w:sectPr>
      </w:pPr>
    </w:p>
    <w:bookmarkStart w:id="35" w:name="page36"/>
    <w:bookmarkEnd w:id="35"/>
    <w:p>
      <w:pPr>
        <w:ind w:left="390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w:t>
      </w:r>
    </w:p>
    <w:p>
      <w:pPr>
        <w:spacing w:after="0" w:line="31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By:/s/ 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158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Liliana Claar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1028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1204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81120259</w:t>
      </w:r>
    </w:p>
    <w:p>
      <w:pPr>
        <w:sectPr>
          <w:pgSz w:w="11900" w:h="16838" w:orient="portrait"/>
          <w:cols w:equalWidth="0" w:num="1">
            <w:col w:w="10219"/>
          </w:cols>
          <w:pgMar w:left="240" w:top="369"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2016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2016</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lvl w:ilvl="1">
      <w:lvlJc w:val="left"/>
      <w:lvlText w:val="%2."/>
      <w:numFmt w:val="lowerLetter"/>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decimal"/>
      <w:start w:val="2"/>
    </w:lvl>
    <w:lvl w:ilvl="1">
      <w:lvlJc w:val="left"/>
      <w:lvlText w:val="%2."/>
      <w:numFmt w:val="lowerLetter"/>
      <w:start w:val="1"/>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2019-12-29T09:38:56Z</dcterms:created>
  <dcterms:modified xsi:type="dcterms:W3CDTF">2019-12-29T09:38:56Z</dcterms:modified>
</cp:coreProperties>
</file>