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578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57822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2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Hobert William W</w:t>
              </w:r>
            </w:hyperlink>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CME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CME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top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740" w:type="dxa"/>
            <w:vAlign w:val="bottom"/>
            <w:tcBorders>
              <w:top w:val="single" w:sz="8" w:color="0000EE"/>
              <w:bottom w:val="single" w:sz="8" w:color="9A9A9A"/>
            </w:tcBorders>
          </w:tcPr>
          <w:p>
            <w:pPr>
              <w:spacing w:after="0"/>
              <w:rPr>
                <w:sz w:val="12"/>
                <w:szCs w:val="12"/>
                <w:color w:val="auto"/>
              </w:rPr>
            </w:pPr>
          </w:p>
        </w:tc>
        <w:tc>
          <w:tcPr>
            <w:tcW w:w="500" w:type="dxa"/>
            <w:vAlign w:val="bottom"/>
            <w:tcBorders>
              <w:top w:val="single" w:sz="8" w:color="0000EE"/>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0"/>
                <w:szCs w:val="10"/>
                <w:color w:val="auto"/>
              </w:rPr>
              <w:t>(Last)</w:t>
            </w:r>
          </w:p>
        </w:tc>
        <w:tc>
          <w:tcPr>
            <w:tcW w:w="1480" w:type="dxa"/>
            <w:vAlign w:val="bottom"/>
            <w:gridSpan w:val="2"/>
          </w:tcPr>
          <w:p>
            <w:pPr>
              <w:ind w:left="480"/>
              <w:spacing w:after="0"/>
              <w:rPr>
                <w:sz w:val="20"/>
                <w:szCs w:val="20"/>
                <w:color w:val="auto"/>
              </w:rPr>
            </w:pPr>
            <w:r>
              <w:rPr>
                <w:rFonts w:ascii="Arial" w:cs="Arial" w:eastAsia="Arial" w:hAnsi="Arial"/>
                <w:sz w:val="10"/>
                <w:szCs w:val="10"/>
                <w:color w:val="auto"/>
              </w:rPr>
              <w:t>(First)</w:t>
            </w:r>
          </w:p>
        </w:tc>
        <w:tc>
          <w:tcPr>
            <w:tcW w:w="1460" w:type="dxa"/>
            <w:vAlign w:val="bottom"/>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20 S. WACKER DRIVE</w:t>
            </w:r>
          </w:p>
        </w:tc>
        <w:tc>
          <w:tcPr>
            <w:tcW w:w="1460" w:type="dxa"/>
            <w:vAlign w:val="bottom"/>
          </w:tcPr>
          <w:p>
            <w:pPr>
              <w:spacing w:after="0"/>
              <w:rPr>
                <w:sz w:val="15"/>
                <w:szCs w:val="15"/>
                <w:color w:val="auto"/>
              </w:rPr>
            </w:pP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05/01/2026</w:t>
            </w: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60" w:type="dxa"/>
            <w:vAlign w:val="bottom"/>
            <w:gridSpan w:val="6"/>
          </w:tcPr>
          <w:p>
            <w:pPr>
              <w:ind w:left="120"/>
              <w:spacing w:after="0"/>
              <w:rPr>
                <w:sz w:val="20"/>
                <w:szCs w:val="20"/>
                <w:color w:val="auto"/>
              </w:rPr>
            </w:pPr>
            <w:r>
              <w:rPr>
                <w:rFonts w:ascii="Arial" w:cs="Arial" w:eastAsia="Arial" w:hAnsi="Arial"/>
                <w:sz w:val="10"/>
                <w:szCs w:val="10"/>
                <w:color w:val="auto"/>
              </w:rPr>
              <w:t>4. If Amendment, Date of Original Filed (Month/Day/Year)</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CHICAGO</w:t>
            </w: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IL</w:t>
            </w:r>
          </w:p>
        </w:tc>
        <w:tc>
          <w:tcPr>
            <w:tcW w:w="17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0000FF"/>
              </w:rPr>
              <w:t>60606</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00" w:type="dxa"/>
            <w:vAlign w:val="bottom"/>
            <w:tcBorders>
              <w:top w:val="single" w:sz="8" w:color="2C2C2C"/>
            </w:tcBorders>
            <w:gridSpan w:val="11"/>
          </w:tcPr>
          <w:p>
            <w:pPr>
              <w:ind w:left="24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9"/>
                <w:szCs w:val="9"/>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5"/>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jc w:val="center"/>
              <w:ind w:left="24"/>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5"/>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8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28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 Class A</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gridSpan w:val="2"/>
          </w:tcPr>
          <w:p>
            <w:pPr>
              <w:jc w:val="center"/>
              <w:ind w:left="4"/>
              <w:spacing w:after="0"/>
              <w:rPr>
                <w:sz w:val="20"/>
                <w:szCs w:val="20"/>
                <w:color w:val="auto"/>
              </w:rPr>
            </w:pPr>
            <w:r>
              <w:rPr>
                <w:rFonts w:ascii="Times New Roman" w:cs="Times New Roman" w:eastAsia="Times New Roman" w:hAnsi="Times New Roman"/>
                <w:sz w:val="13"/>
                <w:szCs w:val="13"/>
                <w:color w:val="0000FF"/>
              </w:rPr>
              <w:t>05/01/2026</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J</w:t>
            </w:r>
          </w:p>
        </w:tc>
        <w:tc>
          <w:tcPr>
            <w:tcW w:w="300" w:type="dxa"/>
            <w:vAlign w:val="bottom"/>
          </w:tcPr>
          <w:p>
            <w:pPr>
              <w:spacing w:after="0"/>
              <w:rPr>
                <w:sz w:val="17"/>
                <w:szCs w:val="17"/>
                <w:color w:val="auto"/>
              </w:rPr>
            </w:pPr>
          </w:p>
        </w:tc>
        <w:tc>
          <w:tcPr>
            <w:tcW w:w="860" w:type="dxa"/>
            <w:vAlign w:val="bottom"/>
            <w:gridSpan w:val="2"/>
          </w:tcPr>
          <w:p>
            <w:pPr>
              <w:jc w:val="center"/>
              <w:ind w:left="44"/>
              <w:spacing w:after="0"/>
              <w:rPr>
                <w:sz w:val="20"/>
                <w:szCs w:val="20"/>
                <w:color w:val="auto"/>
              </w:rPr>
            </w:pPr>
            <w:r>
              <w:rPr>
                <w:rFonts w:ascii="Times New Roman" w:cs="Times New Roman" w:eastAsia="Times New Roman" w:hAnsi="Times New Roman"/>
                <w:sz w:val="13"/>
                <w:szCs w:val="13"/>
                <w:color w:val="0000FF"/>
              </w:rPr>
              <w:t>20,320</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40" w:type="dxa"/>
            <w:vAlign w:val="bottom"/>
          </w:tcPr>
          <w:p>
            <w:pPr>
              <w:jc w:val="center"/>
              <w:spacing w:after="0"/>
              <w:rPr>
                <w:sz w:val="20"/>
                <w:szCs w:val="20"/>
                <w:color w:val="auto"/>
              </w:rPr>
            </w:pPr>
            <w:r>
              <w:rPr>
                <w:rFonts w:ascii="Times New Roman" w:cs="Times New Roman" w:eastAsia="Times New Roman" w:hAnsi="Times New Roman"/>
                <w:sz w:val="9"/>
                <w:szCs w:val="9"/>
                <w:color w:val="008000"/>
              </w:rPr>
              <w:t>(1)</w:t>
            </w:r>
          </w:p>
        </w:tc>
        <w:tc>
          <w:tcPr>
            <w:tcW w:w="800" w:type="dxa"/>
            <w:vAlign w:val="bottom"/>
            <w:gridSpan w:val="2"/>
          </w:tcPr>
          <w:p>
            <w:pPr>
              <w:jc w:val="center"/>
              <w:ind w:left="325"/>
              <w:spacing w:after="0"/>
              <w:rPr>
                <w:sz w:val="20"/>
                <w:szCs w:val="20"/>
                <w:color w:val="auto"/>
              </w:rPr>
            </w:pPr>
            <w:r>
              <w:rPr>
                <w:rFonts w:ascii="Times New Roman" w:cs="Times New Roman" w:eastAsia="Times New Roman" w:hAnsi="Times New Roman"/>
                <w:sz w:val="13"/>
                <w:szCs w:val="13"/>
                <w:color w:val="0000FF"/>
              </w:rPr>
              <w:t>19,680</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center"/>
              <w:ind w:right="265"/>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By Firm</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2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 Class A</w:t>
            </w: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
              <w:spacing w:after="0"/>
              <w:rPr>
                <w:sz w:val="20"/>
                <w:szCs w:val="20"/>
                <w:color w:val="auto"/>
              </w:rPr>
            </w:pPr>
            <w:r>
              <w:rPr>
                <w:rFonts w:ascii="Times New Roman" w:cs="Times New Roman" w:eastAsia="Times New Roman" w:hAnsi="Times New Roman"/>
                <w:sz w:val="13"/>
                <w:szCs w:val="13"/>
                <w:color w:val="0000FF"/>
              </w:rPr>
              <w:t>05/01/2026</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J</w:t>
            </w:r>
          </w:p>
        </w:tc>
        <w:tc>
          <w:tcPr>
            <w:tcW w:w="3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center"/>
              <w:ind w:left="44"/>
              <w:spacing w:after="0"/>
              <w:rPr>
                <w:sz w:val="20"/>
                <w:szCs w:val="20"/>
                <w:color w:val="auto"/>
              </w:rPr>
            </w:pPr>
            <w:r>
              <w:rPr>
                <w:rFonts w:ascii="Times New Roman" w:cs="Times New Roman" w:eastAsia="Times New Roman" w:hAnsi="Times New Roman"/>
                <w:sz w:val="13"/>
                <w:szCs w:val="13"/>
                <w:color w:val="0000FF"/>
              </w:rPr>
              <w:t>20,320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rPr>
              <w:t>(1)</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00FF"/>
                <w:w w:val="99"/>
              </w:rPr>
              <w:t>106,938.531</w:t>
            </w:r>
            <w:r>
              <w:rPr>
                <w:rFonts w:ascii="Times New Roman" w:cs="Times New Roman" w:eastAsia="Times New Roman" w:hAnsi="Times New Roman"/>
                <w:sz w:val="17"/>
                <w:szCs w:val="17"/>
                <w:color w:val="008000"/>
                <w:w w:val="99"/>
                <w:vertAlign w:val="superscript"/>
              </w:rPr>
              <w:t>(2)</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2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 Class A</w:t>
            </w: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
              <w:spacing w:after="0"/>
              <w:rPr>
                <w:sz w:val="20"/>
                <w:szCs w:val="20"/>
                <w:color w:val="auto"/>
              </w:rPr>
            </w:pPr>
            <w:r>
              <w:rPr>
                <w:rFonts w:ascii="Times New Roman" w:cs="Times New Roman" w:eastAsia="Times New Roman" w:hAnsi="Times New Roman"/>
                <w:sz w:val="13"/>
                <w:szCs w:val="13"/>
                <w:color w:val="0000FF"/>
              </w:rPr>
              <w:t>06/25/2026</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vertAlign w:val="subscript"/>
              </w:rPr>
              <w:t>A</w:t>
            </w:r>
            <w:r>
              <w:rPr>
                <w:rFonts w:ascii="Times New Roman" w:cs="Times New Roman" w:eastAsia="Times New Roman" w:hAnsi="Times New Roman"/>
                <w:sz w:val="9"/>
                <w:szCs w:val="9"/>
                <w:color w:val="008000"/>
                <w:w w:val="89"/>
              </w:rPr>
              <w:t>(3)</w:t>
            </w:r>
          </w:p>
        </w:tc>
        <w:tc>
          <w:tcPr>
            <w:tcW w:w="3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jc w:val="center"/>
              <w:ind w:left="324"/>
              <w:spacing w:after="0"/>
              <w:rPr>
                <w:sz w:val="20"/>
                <w:szCs w:val="20"/>
                <w:color w:val="auto"/>
              </w:rPr>
            </w:pPr>
            <w:r>
              <w:rPr>
                <w:rFonts w:ascii="Times New Roman" w:cs="Times New Roman" w:eastAsia="Times New Roman" w:hAnsi="Times New Roman"/>
                <w:sz w:val="13"/>
                <w:szCs w:val="13"/>
                <w:color w:val="0000FF"/>
              </w:rPr>
              <w:t>645</w:t>
            </w:r>
          </w:p>
        </w:tc>
        <w:tc>
          <w:tcPr>
            <w:tcW w:w="2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225</w:t>
            </w:r>
          </w:p>
        </w:tc>
        <w:tc>
          <w:tcPr>
            <w:tcW w:w="1220" w:type="dxa"/>
            <w:vAlign w:val="bottom"/>
            <w:tcBorders>
              <w:bottom w:val="single" w:sz="8" w:color="2C2C2C"/>
            </w:tcBorders>
            <w:gridSpan w:val="3"/>
          </w:tcPr>
          <w:p>
            <w:pPr>
              <w:jc w:val="center"/>
              <w:ind w:right="13"/>
              <w:spacing w:after="0"/>
              <w:rPr>
                <w:sz w:val="20"/>
                <w:szCs w:val="20"/>
                <w:color w:val="auto"/>
              </w:rPr>
            </w:pPr>
            <w:r>
              <w:rPr>
                <w:rFonts w:ascii="Times New Roman" w:cs="Times New Roman" w:eastAsia="Times New Roman" w:hAnsi="Times New Roman"/>
                <w:sz w:val="13"/>
                <w:szCs w:val="13"/>
                <w:color w:val="0000FF"/>
              </w:rPr>
              <w:t>107,583.531</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 Class A</w:t>
            </w: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left="4"/>
              <w:spacing w:after="0"/>
              <w:rPr>
                <w:sz w:val="20"/>
                <w:szCs w:val="20"/>
                <w:color w:val="auto"/>
              </w:rPr>
            </w:pPr>
            <w:r>
              <w:rPr>
                <w:rFonts w:ascii="Times New Roman" w:cs="Times New Roman" w:eastAsia="Times New Roman" w:hAnsi="Times New Roman"/>
                <w:sz w:val="13"/>
                <w:szCs w:val="13"/>
                <w:color w:val="0000FF"/>
              </w:rPr>
              <w:t>06/25/2026</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vertAlign w:val="subscript"/>
              </w:rPr>
              <w:t>A</w:t>
            </w:r>
            <w:r>
              <w:rPr>
                <w:rFonts w:ascii="Times New Roman" w:cs="Times New Roman" w:eastAsia="Times New Roman" w:hAnsi="Times New Roman"/>
                <w:sz w:val="9"/>
                <w:szCs w:val="9"/>
                <w:color w:val="008000"/>
                <w:w w:val="89"/>
              </w:rPr>
              <w:t>(4)</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324"/>
              <w:spacing w:after="0"/>
              <w:rPr>
                <w:sz w:val="20"/>
                <w:szCs w:val="20"/>
                <w:color w:val="auto"/>
              </w:rPr>
            </w:pPr>
            <w:r>
              <w:rPr>
                <w:rFonts w:ascii="Times New Roman" w:cs="Times New Roman" w:eastAsia="Times New Roman" w:hAnsi="Times New Roman"/>
                <w:sz w:val="13"/>
                <w:szCs w:val="13"/>
                <w:color w:val="0000FF"/>
              </w:rPr>
              <w:t>422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225</w:t>
            </w:r>
          </w:p>
        </w:tc>
        <w:tc>
          <w:tcPr>
            <w:tcW w:w="1220" w:type="dxa"/>
            <w:vAlign w:val="bottom"/>
            <w:tcBorders>
              <w:bottom w:val="single" w:sz="8" w:color="2C2C2C"/>
            </w:tcBorders>
            <w:gridSpan w:val="3"/>
          </w:tcPr>
          <w:p>
            <w:pPr>
              <w:jc w:val="center"/>
              <w:ind w:right="13"/>
              <w:spacing w:after="0"/>
              <w:rPr>
                <w:sz w:val="20"/>
                <w:szCs w:val="20"/>
                <w:color w:val="auto"/>
              </w:rPr>
            </w:pPr>
            <w:r>
              <w:rPr>
                <w:rFonts w:ascii="Times New Roman" w:cs="Times New Roman" w:eastAsia="Times New Roman" w:hAnsi="Times New Roman"/>
                <w:sz w:val="13"/>
                <w:szCs w:val="13"/>
                <w:color w:val="0000FF"/>
              </w:rPr>
              <w:t>108,005.531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1"/>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480" w:type="dxa"/>
            <w:vAlign w:val="bottom"/>
            <w:gridSpan w:val="3"/>
          </w:tcPr>
          <w:p>
            <w:pPr>
              <w:ind w:left="2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480" w:type="dxa"/>
            <w:vAlign w:val="bottom"/>
            <w:gridSpan w:val="3"/>
          </w:tcPr>
          <w:p>
            <w:pPr>
              <w:ind w:left="2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4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8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8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ind w:left="2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8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a pro-rata, in-kind distribution of Class A Common Stock by WH Trading LLC to the Reporting Person for no consideration in a transaction exempt under Rule 16a-13. The Reporting Person received 20,320 shares in his individual capacity, which are now held directly. Previously, such shares were reported as being held indirectly by the Reporting Person. Effective May 1, 2026, the Reporting Person is no longer the managing member of WH Trading LLC. As a result of his retirement, the Reporting Person no longer shares voting or dispositive power over, or holds a reportable pecuniary interest in, the shares held of record by WH Trading LLC.</w:t>
      </w:r>
    </w:p>
    <w:p>
      <w:pPr>
        <w:spacing w:after="0" w:line="12" w:lineRule="exact"/>
        <w:rPr>
          <w:rFonts w:ascii="Times New Roman" w:cs="Times New Roman" w:eastAsia="Times New Roman" w:hAnsi="Times New Roman"/>
          <w:sz w:val="10"/>
          <w:szCs w:val="10"/>
          <w:color w:val="008000"/>
        </w:rPr>
      </w:pPr>
    </w:p>
    <w:p>
      <w:pPr>
        <w:ind w:left="40" w:right="14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amount of securities beneficially owned reported in Column 5 has been adjusted to reflect an administrative tracking true-up of 20.531 shares due to a cumulative clerical error in the calculation of historical balances. This adjustment reflects the Reporting Person's actual beneficial ownership as of the date of this filing.</w:t>
      </w:r>
    </w:p>
    <w:p>
      <w:pPr>
        <w:spacing w:after="0" w:line="3" w:lineRule="exact"/>
        <w:rPr>
          <w:rFonts w:ascii="Times New Roman" w:cs="Times New Roman" w:eastAsia="Times New Roman" w:hAnsi="Times New Roman"/>
          <w:sz w:val="10"/>
          <w:szCs w:val="10"/>
          <w:color w:val="008000"/>
        </w:rPr>
      </w:pPr>
    </w:p>
    <w:p>
      <w:pPr>
        <w:ind w:left="40" w:right="4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a grant of fully vested shares of Class A Common Stock issued to the Reporting Person as part of the Issuer's annual equity compensation program for non-employee directors under the CME Group Director Stock Plan. These shares are not subject to any vesting conditions.</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At the Reporting Person's election, shares issued in lieu of all or a portion of the annual cash retainer for serving as a member of the Board of Directors. The number of shares was determined by dividing the cash retainer by the closing price on the date of grant.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Elizabeth Hensen, as Attorney-in-</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06/29/2026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480" w:type="dxa"/>
            <w:vAlign w:val="bottom"/>
            <w:tcBorders>
              <w:top w:val="single" w:sz="8" w:color="auto"/>
            </w:tcBorders>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Fact for William W. Hobert</w:t>
            </w:r>
          </w:p>
        </w:tc>
        <w:tc>
          <w:tcPr>
            <w:tcW w:w="500" w:type="dxa"/>
            <w:vAlign w:val="bottom"/>
            <w:tcBorders>
              <w:top w:val="single" w:sz="8" w:color="auto"/>
            </w:tcBorders>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1480" w:type="dxa"/>
            <w:vAlign w:val="bottom"/>
            <w:tcBorders>
              <w:top w:val="single" w:sz="8" w:color="auto"/>
              <w:bottom w:val="single" w:sz="8" w:color="auto"/>
            </w:tcBorders>
            <w:vMerge w:val="continue"/>
          </w:tcPr>
          <w:p>
            <w:pPr>
              <w:spacing w:after="0"/>
              <w:rPr>
                <w:sz w:val="5"/>
                <w:szCs w:val="5"/>
                <w:color w:val="auto"/>
              </w:rPr>
            </w:pPr>
          </w:p>
        </w:tc>
        <w:tc>
          <w:tcPr>
            <w:tcW w:w="500" w:type="dxa"/>
            <w:vAlign w:val="bottom"/>
            <w:tcBorders>
              <w:top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720" w:type="dxa"/>
            <w:vAlign w:val="bottom"/>
            <w:gridSpan w:val="2"/>
          </w:tcPr>
          <w:p>
            <w:pPr>
              <w:ind w:left="10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6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6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15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43402" TargetMode="External"/><Relationship Id="rId14" Type="http://schemas.openxmlformats.org/officeDocument/2006/relationships/hyperlink" Target="http://www.sec.gov/cgi-bin/browse-edgar?action=getcompany&amp;CIK=00011563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2026-06-29T15:31:42Z</dcterms:created>
  <dcterms:modified xsi:type="dcterms:W3CDTF">2026-06-29T15:31:42Z</dcterms:modified>
</cp:coreProperties>
</file>