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7" w:lineRule="exact"/>
        <w:rPr>
          <w:sz w:val="24"/>
          <w:szCs w:val="24"/>
          <w:color w:val="auto"/>
        </w:rPr>
      </w:pPr>
    </w:p>
    <w:p>
      <w:pPr>
        <w:ind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October 8, 2025 was as follows: 360,596,647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Balance Sheets at September 30, 2025 and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and Nine Months Ended September 30, 2025 and 2024</w:t>
            </w:r>
          </w:p>
        </w:tc>
        <w:tc>
          <w:tcPr>
            <w:tcW w:w="2620" w:type="dxa"/>
            <w:vAlign w:val="bottom"/>
            <w:gridSpan w:val="2"/>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and Nine Months Ended September 30, 2025 and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and Nine Months Ended September 30, 2025 and 2024</w:t>
            </w:r>
          </w:p>
        </w:tc>
        <w:tc>
          <w:tcPr>
            <w:tcW w:w="1100" w:type="dxa"/>
            <w:vAlign w:val="bottom"/>
            <w:tcBorders>
              <w:top w:val="single" w:sz="8" w:color="0000FF"/>
            </w:tcBorders>
            <w:gridSpan w:val="2"/>
          </w:tcPr>
          <w:p>
            <w:pPr>
              <w:spacing w:after="0"/>
              <w:rPr>
                <w:sz w:val="22"/>
                <w:szCs w:val="22"/>
                <w:color w:val="auto"/>
              </w:rPr>
            </w:pPr>
          </w:p>
        </w:tc>
        <w:tc>
          <w:tcPr>
            <w:tcW w:w="1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Nine Months Ended September 30, 2025 and 2024</w:t>
            </w:r>
          </w:p>
        </w:tc>
        <w:tc>
          <w:tcPr>
            <w:tcW w:w="322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2"/>
          </w:tcPr>
          <w:p>
            <w:pPr>
              <w:spacing w:after="0"/>
              <w:rPr>
                <w:sz w:val="22"/>
                <w:szCs w:val="22"/>
                <w:color w:val="auto"/>
              </w:rPr>
            </w:pPr>
          </w:p>
        </w:tc>
        <w:tc>
          <w:tcPr>
            <w:tcW w:w="3460" w:type="dxa"/>
            <w:vAlign w:val="bottom"/>
            <w:gridSpan w:val="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83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7"/>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60" w:type="dxa"/>
            <w:vAlign w:val="bottom"/>
            <w:gridSpan w:val="1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94"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7"/>
          <w:szCs w:val="17"/>
          <w:color w:val="auto"/>
        </w:rPr>
        <w:t>CME Group, the Globe logo, CME, Chicago Mercantile Exchange, Globex, and E-mini are trademarks of Chicago Mercantile Exchange Inc. (CME), CBOT and Chicago Board of Trade are trademarks of Board of Trade of the City of Chicago, Inc. NYMEX, New York Mercantile Exchange and ClearPort</w:t>
      </w:r>
    </w:p>
    <w:p>
      <w:pPr>
        <w:spacing w:after="0" w:line="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are 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CME. All other trademarks are the property of their respective owners.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93" w:lineRule="exact"/>
        <w:rPr>
          <w:sz w:val="20"/>
          <w:szCs w:val="20"/>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6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variable costs relating to CME Group's transition to the Google Cloud and minimize duplicative costs during the transition between maintaining the on-premise environment and the Google Cloud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and the related uncertainty thereof, restrictions on our ability to offer CME Group products and services in specific geographies or to specific customers or limitations or changes in underlying/physical product flows across geographies;</w:t>
      </w:r>
    </w:p>
    <w:p>
      <w:pPr>
        <w:spacing w:after="0" w:line="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7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and third-parties rely on;</w:t>
      </w:r>
    </w:p>
    <w:p>
      <w:pPr>
        <w:spacing w:after="0" w:line="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distribution partners, including independent software vendors (ISVs), futures commission merchants (FCMs), introducing brokers, broker-dealers around the world, regulatory reporting and data distributors and platform operators, and other partners, for facilitating trading and for market data information, and potential impacts from changes in their business models and priorities;</w:t>
      </w:r>
    </w:p>
    <w:p>
      <w:pPr>
        <w:spacing w:after="0" w:line="1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 economic, social, political and market conditions, including new and existing geopolitical tensions or conflicts, the volatility of the capital and credit markets and the impact of economic conditions on the trading activity of our current and potential customers;</w:t>
      </w:r>
    </w:p>
    <w:p>
      <w:pPr>
        <w:spacing w:after="0" w:line="1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market data and order transaction traffic across the entire trade cycle and the ability to implement enhancements without failure or degradation of the performance of our trading and clearing systems and meeting our regulatory reporting obligations;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our strategy for acquisitions, investments and alliances, including those associated with the performance of our joint venture with S&amp;P Dow Jones (S&amp;P Dow Jones Indices LLC) in index services, our primary business and distribution partners’ actions and our partnership with Google, including our ability to manage the successful implementation of our agreements with Google and our data center partners;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pricing/fee level and structure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2024, filed with the Securities and Exchange Commission on February 27, 2025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$9.2 and $9.0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$6.5 and $6.3 in 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103,033.5</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$983.2 and $1,024.3</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r>
      <w:tr>
        <w:trPr>
          <w:trHeight w:val="229"/>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3,543.5</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102,313.9</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5,246.8</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110,960.1</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September 30, 2025 and December</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 2024; 4,584 issued and outstanding as of September 30, 2025 and December 31, 2024</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September 30, 2025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31, 2024; 359,849 and 359,602 shares issued and outstanding as of September 30, 2025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September</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30, 2025 and December 31, 2024</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22,403.0</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7"/>
                <w:szCs w:val="17"/>
                <w:color w:val="auto"/>
              </w:rPr>
            </w:pPr>
          </w:p>
        </w:tc>
      </w:tr>
      <w:tr>
        <w:trPr>
          <w:trHeight w:val="23"/>
        </w:trPr>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2,984.4</w:t>
            </w:r>
          </w:p>
        </w:tc>
      </w:tr>
      <w:tr>
        <w:trPr>
          <w:trHeight w:val="162"/>
        </w:trPr>
        <w:tc>
          <w:tcPr>
            <w:tcW w:w="5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80"/>
        </w:trPr>
        <w:tc>
          <w:tcPr>
            <w:tcW w:w="58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359,329</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00" w:type="dxa"/>
            <w:vAlign w:val="bottom"/>
          </w:tcPr>
          <w:p>
            <w:pPr>
              <w:spacing w:after="0"/>
              <w:rPr>
                <w:sz w:val="16"/>
                <w:szCs w:val="16"/>
                <w:color w:val="auto"/>
              </w:rPr>
            </w:pPr>
          </w:p>
        </w:tc>
        <w:tc>
          <w:tcPr>
            <w:tcW w:w="24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5"/>
        </w:trPr>
        <w:tc>
          <w:tcPr>
            <w:tcW w:w="61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included in compensation and</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benefits expense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investments: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6"/>
        </w:trPr>
        <w:tc>
          <w:tcPr>
            <w:tcW w:w="610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Reclassification of net unrealized (gains) losses to interest expense and</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30"/>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177165</wp:posOffset>
            </wp:positionV>
            <wp:extent cx="4886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61"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right="1140"/>
        <w:spacing w:after="0" w:line="276" w:lineRule="auto"/>
        <w:rPr>
          <w:sz w:val="20"/>
          <w:szCs w:val="20"/>
          <w:color w:val="auto"/>
        </w:rPr>
      </w:pPr>
      <w:r>
        <w:rPr>
          <w:rFonts w:ascii="Times New Roman" w:cs="Times New Roman" w:eastAsia="Times New Roman" w:hAnsi="Times New Roman"/>
          <w:sz w:val="18"/>
          <w:szCs w:val="18"/>
          <w:color w:val="auto"/>
        </w:rPr>
        <w:t>Balance at December 31, 2024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40" w:right="10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$3.75 per share</w:t>
      </w:r>
    </w:p>
    <w:p>
      <w:pPr>
        <w:spacing w:after="0" w:line="10" w:lineRule="exact"/>
        <w:rPr>
          <w:sz w:val="20"/>
          <w:szCs w:val="20"/>
          <w:color w:val="auto"/>
        </w:rPr>
      </w:pPr>
    </w:p>
    <w:p>
      <w:pPr>
        <w:ind w:left="40" w:right="1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7"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7" w:lineRule="exact"/>
        <w:rPr>
          <w:sz w:val="20"/>
          <w:szCs w:val="20"/>
          <w:color w:val="auto"/>
        </w:rPr>
      </w:pPr>
    </w:p>
    <w:p>
      <w:pPr>
        <w:ind w:left="40" w:right="440"/>
        <w:spacing w:after="0" w:line="237" w:lineRule="auto"/>
        <w:rPr>
          <w:sz w:val="20"/>
          <w:szCs w:val="20"/>
          <w:color w:val="auto"/>
        </w:rPr>
      </w:pPr>
      <w:r>
        <w:rPr>
          <w:rFonts w:ascii="Times New Roman" w:cs="Times New Roman" w:eastAsia="Times New Roman" w:hAnsi="Times New Roman"/>
          <w:sz w:val="18"/>
          <w:szCs w:val="18"/>
          <w:color w:val="auto"/>
        </w:rPr>
        <w:t xml:space="preserve">Repurchase of Class A common stock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Stock-based compensation</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60" w:right="8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$1.25 per share</w:t>
      </w:r>
    </w:p>
    <w:p>
      <w:pPr>
        <w:spacing w:after="0" w:line="10" w:lineRule="exact"/>
        <w:rPr>
          <w:sz w:val="20"/>
          <w:szCs w:val="20"/>
          <w:color w:val="auto"/>
        </w:rPr>
      </w:pPr>
    </w:p>
    <w:p>
      <w:pPr>
        <w:ind w:left="60" w:right="12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60" w:right="100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September 30, 2025</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5"/>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9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28,190.3</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2"/>
          </w:tcPr>
          <w:p>
            <w:pPr>
              <w:ind w:left="740"/>
              <w:spacing w:after="0"/>
              <w:rPr>
                <w:sz w:val="20"/>
                <w:szCs w:val="20"/>
                <w:color w:val="auto"/>
              </w:rPr>
            </w:pPr>
            <w:r>
              <w:rPr>
                <w:rFonts w:ascii="Times New Roman" w:cs="Times New Roman" w:eastAsia="Times New Roman" w:hAnsi="Times New Roman"/>
                <w:sz w:val="14"/>
                <w:szCs w:val="14"/>
                <w:b w:val="1"/>
                <w:bCs w:val="1"/>
                <w:color w:val="auto"/>
              </w:rPr>
              <w:t>Quarter Ended, September 30, 2025</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1"/>
                <w:szCs w:val="11"/>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1"/>
                <w:szCs w:val="11"/>
                <w:color w:val="auto"/>
              </w:rPr>
            </w:pPr>
          </w:p>
        </w:tc>
        <w:tc>
          <w:tcPr>
            <w:tcW w:w="112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Stock, Common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359,647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22,438.7</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-4293870</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-3994150</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-3582670</wp:posOffset>
            </wp:positionV>
            <wp:extent cx="711517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-3171190</wp:posOffset>
            </wp:positionV>
            <wp:extent cx="7115175"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6606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-2759710</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-1310640</wp:posOffset>
            </wp:positionV>
            <wp:extent cx="709803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-1010920</wp:posOffset>
            </wp:positionV>
            <wp:extent cx="709803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-599440</wp:posOffset>
            </wp:positionV>
            <wp:extent cx="709803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26606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-187960</wp:posOffset>
            </wp:positionV>
            <wp:extent cx="70980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3400" w:space="140"/>
            <w:col w:w="7680"/>
          </w:cols>
          <w:pgMar w:left="320" w:top="121" w:right="359" w:bottom="1440" w:gutter="0" w:footer="0" w:header="0"/>
          <w:type w:val="continuous"/>
        </w:sectPr>
      </w:pPr>
    </w:p>
    <w:p>
      <w:pPr>
        <w:spacing w:after="0" w:line="97" w:lineRule="exact"/>
        <w:rPr>
          <w:sz w:val="20"/>
          <w:szCs w:val="20"/>
          <w:color w:val="auto"/>
        </w:rPr>
      </w:pPr>
    </w:p>
    <w:p>
      <w:pPr>
        <w:ind w:right="80" w:firstLine="8"/>
        <w:spacing w:after="0" w:line="275" w:lineRule="auto"/>
        <w:tabs>
          <w:tab w:leader="none" w:pos="145"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December 2024, the board of directors approved a share repurchase program (the Share Repurchase Program), which authorizes the repurchase of up to $3.0 billion of CME Group Class A common stock at prevailing market prices. During the three and nine months ended September 30, 2025, 0 and 32,265 shares of outstanding Class A common stock were repurchased, respectively. The average price was $253.05 per share for a total of $8.2 million. The remaining aggregate amount under the existing Share Repurchase Program is $2,991.8 million. Shares are retired upon repurchase and not held as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220345</wp:posOffset>
            </wp:positionV>
            <wp:extent cx="4946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3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33" w:lineRule="exact"/>
        <w:rPr>
          <w:sz w:val="20"/>
          <w:szCs w:val="20"/>
          <w:color w:val="auto"/>
        </w:rPr>
      </w:pPr>
    </w:p>
    <w:tbl>
      <w:tblPr>
        <w:tblLayout w:type="fixed"/>
        <w:tblInd w:w="3440" w:type="dxa"/>
        <w:tblCellMar>
          <w:top w:w="0" w:type="dxa"/>
          <w:left w:w="0" w:type="dxa"/>
          <w:bottom w:w="0" w:type="dxa"/>
          <w:right w:w="0" w:type="dxa"/>
        </w:tblCellMar>
      </w:tblPr>
      <w:tr>
        <w:trPr>
          <w:trHeight w:val="151"/>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vMerge w:val="continue"/>
          </w:tcPr>
          <w:p>
            <w:pPr>
              <w:spacing w:after="0"/>
              <w:rPr>
                <w:sz w:val="12"/>
                <w:szCs w:val="12"/>
                <w:color w:val="auto"/>
              </w:rPr>
            </w:pPr>
          </w:p>
        </w:tc>
        <w:tc>
          <w:tcPr>
            <w:tcW w:w="13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tcPr>
          <w:p>
            <w:pPr>
              <w:jc w:val="center"/>
              <w:ind w:left="6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40" w:right="280"/>
        <w:spacing w:after="0" w:line="242" w:lineRule="auto"/>
        <w:rPr>
          <w:sz w:val="20"/>
          <w:szCs w:val="20"/>
          <w:color w:val="auto"/>
        </w:rPr>
      </w:pPr>
      <w:r>
        <w:rPr>
          <w:rFonts w:ascii="Times New Roman" w:cs="Times New Roman" w:eastAsia="Times New Roman" w:hAnsi="Times New Roman"/>
          <w:sz w:val="18"/>
          <w:szCs w:val="18"/>
          <w:color w:val="auto"/>
        </w:rPr>
        <w:t>Dividends on common stock and preferred stock of $3.45 per share</w:t>
      </w:r>
    </w:p>
    <w:p>
      <w:pPr>
        <w:spacing w:after="0" w:line="1" w:lineRule="exact"/>
        <w:rPr>
          <w:sz w:val="20"/>
          <w:szCs w:val="20"/>
          <w:color w:val="auto"/>
        </w:rPr>
      </w:pPr>
    </w:p>
    <w:p>
      <w:pPr>
        <w:ind w:left="40" w:right="140"/>
        <w:spacing w:after="0" w:line="242"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3" w:lineRule="exact"/>
        <w:rPr>
          <w:sz w:val="20"/>
          <w:szCs w:val="20"/>
          <w:color w:val="auto"/>
        </w:rPr>
      </w:pPr>
    </w:p>
    <w:p>
      <w:pPr>
        <w:ind w:left="40"/>
        <w:spacing w:after="0" w:line="242"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 w:lineRule="exact"/>
        <w:rPr>
          <w:sz w:val="20"/>
          <w:szCs w:val="20"/>
          <w:color w:val="auto"/>
        </w:rPr>
      </w:pPr>
    </w:p>
    <w:p>
      <w:pPr>
        <w:ind w:left="40" w:right="1000"/>
        <w:spacing w:after="0" w:line="292" w:lineRule="auto"/>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8"/>
          <w:szCs w:val="18"/>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4,455.2</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5"/>
              </w:rPr>
              <w:t>44.7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41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(1,258.2)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5,848.2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28,216.2</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-1722120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-1422400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-1010920</wp:posOffset>
            </wp:positionV>
            <wp:extent cx="711517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-599440</wp:posOffset>
            </wp:positionV>
            <wp:extent cx="711517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-187960</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274320</wp:posOffset>
            </wp:positionV>
            <wp:extent cx="4963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40"/>
            <w:col w:w="7780"/>
          </w:cols>
          <w:pgMar w:left="320" w:top="121" w:right="359" w:bottom="1440" w:gutter="0" w:footer="0" w:header="0"/>
          <w:type w:val="continuous"/>
        </w:sectPr>
      </w:pP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Quarter Ended, September 30, 2024</w:t>
      </w:r>
    </w:p>
    <w:p>
      <w:pPr>
        <w:spacing w:after="0" w:line="33" w:lineRule="exact"/>
        <w:rPr>
          <w:sz w:val="20"/>
          <w:szCs w:val="20"/>
          <w:color w:val="auto"/>
        </w:rPr>
      </w:pPr>
    </w:p>
    <w:tbl>
      <w:tblPr>
        <w:tblLayout w:type="fixed"/>
        <w:tblInd w:w="3400" w:type="dxa"/>
        <w:tblCellMar>
          <w:top w:w="0" w:type="dxa"/>
          <w:left w:w="0" w:type="dxa"/>
          <w:bottom w:w="0" w:type="dxa"/>
          <w:right w:w="0" w:type="dxa"/>
        </w:tblCellMar>
      </w:tblPr>
      <w:tr>
        <w:trPr>
          <w:trHeight w:val="151"/>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tcPr>
          <w:p>
            <w:pPr>
              <w:spacing w:after="0"/>
              <w:rPr>
                <w:sz w:val="12"/>
                <w:szCs w:val="12"/>
                <w:color w:val="auto"/>
              </w:rPr>
            </w:pPr>
          </w:p>
        </w:tc>
        <w:tc>
          <w:tcPr>
            <w:tcW w:w="13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vMerge w:val="continue"/>
          </w:tcPr>
          <w:p>
            <w:pPr>
              <w:spacing w:after="0"/>
              <w:rPr>
                <w:sz w:val="12"/>
                <w:szCs w:val="12"/>
                <w:color w:val="auto"/>
              </w:rPr>
            </w:pPr>
          </w:p>
        </w:tc>
        <w:tc>
          <w:tcPr>
            <w:tcW w:w="13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4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4" w:lineRule="exact"/>
        <w:rPr>
          <w:sz w:val="20"/>
          <w:szCs w:val="20"/>
          <w:color w:val="auto"/>
        </w:rPr>
      </w:pPr>
    </w:p>
    <w:p>
      <w:pPr>
        <w:ind w:left="60" w:right="1420"/>
        <w:spacing w:after="0" w:line="276" w:lineRule="auto"/>
        <w:rPr>
          <w:sz w:val="20"/>
          <w:szCs w:val="20"/>
          <w:color w:val="auto"/>
        </w:rPr>
      </w:pPr>
      <w:r>
        <w:rPr>
          <w:rFonts w:ascii="Times New Roman" w:cs="Times New Roman" w:eastAsia="Times New Roman" w:hAnsi="Times New Roman"/>
          <w:sz w:val="18"/>
          <w:szCs w:val="18"/>
          <w:color w:val="auto"/>
        </w:rPr>
        <w:t>Balance at June 30, 2024 Net income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60" w:right="160"/>
        <w:spacing w:after="0" w:line="242" w:lineRule="auto"/>
        <w:rPr>
          <w:sz w:val="20"/>
          <w:szCs w:val="20"/>
          <w:color w:val="auto"/>
        </w:rPr>
      </w:pPr>
      <w:r>
        <w:rPr>
          <w:rFonts w:ascii="Times New Roman" w:cs="Times New Roman" w:eastAsia="Times New Roman" w:hAnsi="Times New Roman"/>
          <w:sz w:val="18"/>
          <w:szCs w:val="18"/>
          <w:color w:val="auto"/>
        </w:rPr>
        <w:t>Dividends on common stock and preferred stock of $1.15 per share</w:t>
      </w:r>
    </w:p>
    <w:p>
      <w:pPr>
        <w:spacing w:after="0" w:line="1" w:lineRule="exact"/>
        <w:rPr>
          <w:sz w:val="20"/>
          <w:szCs w:val="20"/>
          <w:color w:val="auto"/>
        </w:rPr>
      </w:pPr>
    </w:p>
    <w:p>
      <w:pPr>
        <w:ind w:left="60"/>
        <w:spacing w:after="0" w:line="242"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 w:lineRule="exact"/>
        <w:rPr>
          <w:sz w:val="20"/>
          <w:szCs w:val="20"/>
          <w:color w:val="auto"/>
        </w:rPr>
      </w:pPr>
    </w:p>
    <w:p>
      <w:pPr>
        <w:ind w:left="60" w:right="880"/>
        <w:spacing w:after="0" w:line="323"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359,361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27,635.8</w:t>
            </w:r>
          </w:p>
        </w:tc>
      </w:tr>
      <w:tr>
        <w:trPr>
          <w:trHeight w:val="230"/>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419"/>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28,216.2</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-1310640</wp:posOffset>
            </wp:positionV>
            <wp:extent cx="70980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-1010920</wp:posOffset>
            </wp:positionV>
            <wp:extent cx="709803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-599440</wp:posOffset>
            </wp:positionV>
            <wp:extent cx="7098030"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26606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-187960</wp:posOffset>
            </wp:positionV>
            <wp:extent cx="70980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20"/>
            <w:col w:w="78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2,672.6</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sales of investments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6.2</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(4.9)</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(51.0)</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(3.4)</w:t>
      </w:r>
    </w:p>
    <w:p>
      <w:pPr>
        <w:spacing w:after="0" w:line="2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14605</wp:posOffset>
            </wp:positionV>
            <wp:extent cx="8655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4.9</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(67.8)</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14605</wp:posOffset>
            </wp:positionV>
            <wp:extent cx="866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(57.3)</w:t>
      </w:r>
    </w:p>
    <w:p>
      <w:pPr>
        <w:spacing w:after="0" w:line="27"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3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(3,165.4)</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 including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50,145.7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9,264.5</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46,610.3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8,675.9</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101,785.6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99,457.0</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101,785.6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September 30, 2025 and December 31, 2024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2024, filed with the Securities and Exchange Commission (SEC) on February 27,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The following accounting pronouncements were issued during 2025:</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2025, the FASB issued an accounting standards update which provides a practical expedient when estimating the amount of expected credit losses on current accounts receivable and current contract assets. This update permits entities to assume that current conditions as of the balance sheet date do not change for the remaining life of the current accounts receivable and current contract assets. Therefore, entities will not need to develop reasonable and supportable forecasts of future economic conditions. The practical expedient must be applied consistently across all current accounts receivable and current contract assets. This guidance is effective beginning in 2026, on an interim and annual basis, and must be adopted prospectively. Upon adoption, entities are required to disclose whether they have applied the practical expedient. Early adoption is permitted. Adoption of this guidance is not expected to have a material impact on our consolidated financial statements.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an accounting standards update that clarifies and modernizes the accounting for costs related to internal-use software. The guidance removes all references to project stages and clarifies the threshold entities apply to begin capitalizing costs. With the removal of all references to project stages, the new guidance requires entities to begin capitalizing software costs when both of the following occur: (a) Management, with the relevant authority, implicitly or explicitly authorizes and commits to funding a computer software project and (b) It is probable that the project will be completed and the software will be used to perform the function intended. The guidance specifies that the property, plant, and equipment disclosure requirements apply to capitalized software costs, regardless of how those costs are presented in the financial statements. The guidance is effective beginning in 2028, on an interim and annual basis. Entities may apply the guidance using a prospective, retrospective, or modified transition approach. Early adoption is permitted. Adoption of this guidance is not expected to have a material impact on our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the number of contracts remaining in open interest at the end of each period.</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4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Pr>
          <w:p>
            <w:pPr>
              <w:spacing w:after="0"/>
              <w:rPr>
                <w:sz w:val="13"/>
                <w:szCs w:val="13"/>
                <w:color w:val="auto"/>
              </w:rPr>
            </w:pPr>
          </w:p>
        </w:tc>
        <w:tc>
          <w:tcPr>
            <w:tcW w:w="19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9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r>
              <w:rPr>
                <w:rFonts w:ascii="Times New Roman" w:cs="Times New Roman" w:eastAsia="Times New Roman" w:hAnsi="Times New Roman"/>
                <w:sz w:val="18"/>
                <w:szCs w:val="18"/>
                <w:u w:val="single" w:color="auto"/>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r>
              <w:rPr>
                <w:rFonts w:ascii="Times New Roman" w:cs="Times New Roman" w:eastAsia="Times New Roman" w:hAnsi="Times New Roman"/>
                <w:sz w:val="18"/>
                <w:szCs w:val="18"/>
                <w:u w:val="single" w:color="auto"/>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third quarter of 2025 were not materially impacted by any other factors. The balance of contract liabilities was $31.3 million and $15.6 million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Performance Bonds and Guaranty Fund Contributions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September 30, 2025, CME maintained $138.4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restricted cash equivalents on the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and first nine months of 2025, earnings from cash performance bond and guaranty fund contributions were $1,514.1 million and</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$3,875.3 million, respectively, compared with $991.3 million and $3,035.6 million in the third quarter and first nine months of 2024, respectively. In the third quarter and first nine months of 2025, expenses related to the distribution of interest earned on collateral reinvestments were $1,399.2 million and $3,578.5 million, respectively, compared with $922.6 million and $2,829.4 million in the third quarter and first nine months of 2024,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a day (twice a day for all futures and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 deposits.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first nine months of 2025, the clearing house transferred an average of approximately $6.7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firm and the estimated probability of potential payouts by the clearing house. Based on the assessment performed, management estimates the guarantee liability to be nominal and therefore has not recorded any liability at September 30, 2025 and December 31, 2024. The company does not have a history of significant losses recognized on performance bond collateral as posted by our clearing firms,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September 30, 2025 and December 31, 2024: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860" w:type="dxa"/>
            <w:vAlign w:val="bottom"/>
          </w:tcPr>
          <w:p>
            <w:pPr>
              <w:jc w:val="right"/>
              <w:ind w:right="196"/>
              <w:spacing w:after="0" w:line="122"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860" w:type="dxa"/>
            <w:vAlign w:val="bottom"/>
          </w:tcPr>
          <w:p>
            <w:pPr>
              <w:jc w:val="right"/>
              <w:ind w:right="176"/>
              <w:spacing w:after="0" w:line="122"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6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firm, market data and other 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Trading products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Total amortization expense for intangible assets was $56.2 million and $55.7 million for the quarters ended September 30, 2025 and 2024, respectively. Total amortization expense for intangible assets was $167.5 million and $166.4 million for the nine months ended September 30, 2025 and 2024, respectively. During the nine months ended September 30, 2025, the net book value of amortizable intangible assets included $13.6 million of foreign currency translation for the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6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2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September 30, 2025 and December 31, 2024</w:t>
      </w:r>
      <w:r>
        <w:rPr>
          <w:rFonts w:ascii="Times New Roman" w:cs="Times New Roman" w:eastAsia="Times New Roman" w:hAnsi="Times New Roman"/>
          <w:sz w:val="16"/>
          <w:szCs w:val="16"/>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3"/>
        </w:trPr>
        <w:tc>
          <w:tcPr>
            <w:tcW w:w="39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5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9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September 30, 2025 and 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40" w:hanging="328"/>
        <w:spacing w:after="0" w:line="24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 stated rate of 4.40%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29"/>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right="440" w:hanging="328"/>
        <w:spacing w:after="0" w:line="280"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at September 30,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0" w:type="dxa"/>
            <w:vAlign w:val="bottom"/>
          </w:tcPr>
          <w:p>
            <w:pPr>
              <w:spacing w:after="0"/>
              <w:rPr>
                <w:sz w:val="16"/>
                <w:szCs w:val="16"/>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53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Contingencies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On April 16, 2025, the court granted the motion in part and denied the motion in part, and set the remaining claims for a jury trial. After a three week trial, on July 25, 2025, the jury returned a unanimous verdict in favor of the defendants on all counts. Plaintiffs have filed a post-trial motion seeking a new trial, and we expect the plaintiffs to appeal the verdict should the post-trial motions be denied.</w:t>
      </w:r>
    </w:p>
    <w:p>
      <w:pPr>
        <w:spacing w:after="0" w:line="6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 No accrual was required for contingent legal and regulatory matters as none were probable and estimable as of September 30, 2025 and December 31, 2024.</w:t>
      </w:r>
    </w:p>
    <w:p>
      <w:pPr>
        <w:spacing w:after="0" w:line="7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and SPAN 2 software may contain indemnifications from intellectual property claims that may be made against them as a result of their use of the applicable products and/or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The potential future claims relating to these indemnifications cannot be estimated and therefore no liability has been recorded.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13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4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r>
      <w:tr>
        <w:trPr>
          <w:trHeight w:val="194"/>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4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tcPr>
          <w:p>
            <w:pPr>
              <w:spacing w:after="0"/>
              <w:rPr>
                <w:sz w:val="13"/>
                <w:szCs w:val="13"/>
                <w:color w:val="auto"/>
              </w:rPr>
            </w:pPr>
          </w:p>
        </w:tc>
      </w:tr>
      <w:tr>
        <w:trPr>
          <w:trHeight w:val="194"/>
        </w:trPr>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14.5</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44.8</w:t>
            </w:r>
          </w:p>
        </w:tc>
        <w:tc>
          <w:tcPr>
            <w:tcW w:w="7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13.1</w:t>
            </w:r>
          </w:p>
        </w:tc>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249.0</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295.3</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5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9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September 30, 2025 for operating and finance leases: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8"/>
        </w:trPr>
        <w:tc>
          <w:tcPr>
            <w:tcW w:w="4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8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9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Guarantees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2027.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2027 unless either party provides advance notice of their intent to terminate. CME can maintain collateral in the form of irrevocable, standby letters of credit. At September 30, 2025, CME was contingently liable to SGX on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September 30, 2025 and December 31, 2024.</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September 30,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an unrealized gain on investments of $1.4 million on an equity investment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during the first nine months of 2025. The fair value of this investment was estimated to be $10.2 million at September 30, 2025. This fair value assessment was based on quantitative factors, including observable price changes. The fair value measurement of this investment is considered level 3 and non-recurring. This investment is included in other assets on the consolidated balance sheet.</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fair values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380" w:type="dxa"/>
            <w:vAlign w:val="bottom"/>
          </w:tcPr>
          <w:p>
            <w:pPr>
              <w:spacing w:after="0"/>
              <w:rPr>
                <w:sz w:val="17"/>
                <w:szCs w:val="17"/>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4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498.9</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759.3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682.1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767.6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596.9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43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the shares of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the shares of its Series G preferred stock have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46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6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
        </w:trPr>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359,329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restricted stock and performance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34"/>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 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On October 10, 2025, S&amp;P Global and CME Group completed the sale of OSTTRA, our 50% equity method investment, to investment funds managed by KKR &amp; Co. Inc. OSTTRA is a provider of post-trade solutions for the over the counter market. The carrying amount of the company's investment in OSTTRA was $1.2 billion at September 30, 2025 and was included in other assets on the consolidated balance sheets. The total enterprise value of OSTTRA was $3.1 billion, which will be divided evenly between S&amp;P Global and CME Group pursuant to the 50/50 joint venture. The company expects to recognize a net gain of approximately $300.0 million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2024, filed with the SEC on February 27, 2025.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Pr>
          <w:p>
            <w:pPr>
              <w:spacing w:after="0"/>
              <w:rPr>
                <w:sz w:val="13"/>
                <w:szCs w:val="13"/>
                <w:color w:val="auto"/>
              </w:rPr>
            </w:pPr>
          </w:p>
        </w:tc>
      </w:tr>
      <w:tr>
        <w:trPr>
          <w:trHeight w:val="194"/>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96"/>
              </w:rPr>
              <w:t>1,537.6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9"/>
              </w:rPr>
              <w:t>1,584.4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4,871.9</w:t>
            </w:r>
          </w:p>
        </w:tc>
        <w:tc>
          <w:tcPr>
            <w:tcW w:w="4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9"/>
              </w:rPr>
              <w:t>4,604.8</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565.0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1,662.0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1,620.4</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64.8 %</w:t>
            </w:r>
          </w:p>
        </w:tc>
        <w:tc>
          <w:tcPr>
            <w:tcW w:w="130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204.4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542.2</w:t>
            </w: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460.4</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23.0 %</w:t>
            </w:r>
          </w:p>
        </w:tc>
        <w:tc>
          <w:tcPr>
            <w:tcW w:w="1300" w:type="dxa"/>
            <w:vAlign w:val="bottom"/>
            <w:shd w:val="clear" w:color="auto" w:fill="CCEEFF"/>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908.0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912.8</w:t>
            </w:r>
          </w:p>
        </w:tc>
        <w:tc>
          <w:tcPr>
            <w:tcW w:w="120" w:type="dxa"/>
            <w:vAlign w:val="bottom"/>
          </w:tcPr>
          <w:p>
            <w:pPr>
              <w:spacing w:after="0"/>
              <w:rPr>
                <w:sz w:val="19"/>
                <w:szCs w:val="19"/>
                <w:color w:val="auto"/>
              </w:rPr>
            </w:pPr>
          </w:p>
        </w:tc>
        <w:tc>
          <w:tcPr>
            <w:tcW w:w="1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2,889.3</w:t>
            </w: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2,651.2</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7.27</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3,143.2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2,672.6</w:t>
            </w:r>
          </w:p>
        </w:tc>
        <w:tc>
          <w:tcPr>
            <w:tcW w:w="60" w:type="dxa"/>
            <w:vAlign w:val="bottom"/>
          </w:tcPr>
          <w:p>
            <w:pPr>
              <w:spacing w:after="0"/>
              <w:rPr>
                <w:sz w:val="20"/>
                <w:szCs w:val="20"/>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Pr>
          <w:p>
            <w:pPr>
              <w:spacing w:after="0"/>
              <w:rPr>
                <w:sz w:val="23"/>
                <w:szCs w:val="23"/>
                <w:color w:val="auto"/>
              </w:rPr>
            </w:pP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1,297.1</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1,584.4</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contract volume </w:t>
            </w:r>
            <w:r>
              <w:rPr>
                <w:rFonts w:ascii="Times New Roman" w:cs="Times New Roman" w:eastAsia="Times New Roman" w:hAnsi="Times New Roman"/>
                <w:sz w:val="18"/>
                <w:szCs w:val="18"/>
                <w:i w:val="1"/>
                <w:iCs w:val="1"/>
                <w:color w:val="auto"/>
              </w:rPr>
              <w:t>(in millions)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1,620.6</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1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5,309.8</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Clearing and transaction fees </w:t>
            </w:r>
            <w:r>
              <w:rPr>
                <w:rFonts w:ascii="Times New Roman" w:cs="Times New Roman" w:eastAsia="Times New Roman" w:hAnsi="Times New Roman"/>
                <w:sz w:val="18"/>
                <w:szCs w:val="18"/>
                <w:i w:val="1"/>
                <w:iCs w:val="1"/>
                <w:color w:val="auto"/>
              </w:rPr>
              <w:t>(in millions)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1,137.6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3,675.9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0.702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0.666</w:t>
            </w: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0.692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0.689</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changes in clearing and transaction fees based on the changes in total contract volumes and the changes in average rate per contract for futures and options during the third quarter and first nine months of 2025 when compared with the same periods in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95"/>
        </w:trPr>
        <w:tc>
          <w:tcPr>
            <w:tcW w:w="8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due to changes in total contract volume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 due to changes in average rate per contract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clearing and transaction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6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40" w:type="dxa"/>
            <w:vAlign w:val="bottom"/>
          </w:tcPr>
          <w:p>
            <w:pPr>
              <w:spacing w:after="0"/>
              <w:rPr>
                <w:sz w:val="13"/>
                <w:szCs w:val="13"/>
                <w:color w:val="auto"/>
              </w:rPr>
            </w:pPr>
          </w:p>
        </w:tc>
        <w:tc>
          <w:tcPr>
            <w:tcW w:w="216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96"/>
        </w:trPr>
        <w:tc>
          <w:tcPr>
            <w:tcW w:w="476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r>
      <w:tr>
        <w:trPr>
          <w:trHeight w:val="19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13,378</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14,881</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13,877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6,278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7,407</w:t>
            </w:r>
          </w:p>
        </w:tc>
        <w:tc>
          <w:tcPr>
            <w:tcW w:w="11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7,018</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1,088</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1,050</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1,614</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1,696</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2,571</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2,478</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728</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758</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25,322</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28,289</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28,395</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26,877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23,418</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26,199</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26,377</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24,792</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1,096</w:t>
            </w:r>
          </w:p>
        </w:tc>
        <w:tc>
          <w:tcPr>
            <w:tcW w:w="11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1,082</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994</w:t>
            </w:r>
          </w:p>
        </w:tc>
        <w:tc>
          <w:tcPr>
            <w:tcW w:w="1140" w:type="dxa"/>
            <w:vAlign w:val="bottom"/>
            <w:tcBorders>
              <w:bottom w:val="single" w:sz="8" w:color="CCEEFF"/>
            </w:tcBorders>
          </w:tcPr>
          <w:p>
            <w:pPr>
              <w:jc w:val="right"/>
              <w:ind w:right="232"/>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1,003</w:t>
            </w:r>
          </w:p>
        </w:tc>
        <w:tc>
          <w:tcPr>
            <w:tcW w:w="10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25,322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28,289</w:t>
            </w:r>
          </w:p>
        </w:tc>
        <w:tc>
          <w:tcPr>
            <w:tcW w:w="11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28,395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26,877</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20" w:type="dxa"/>
            <w:vAlign w:val="bottom"/>
          </w:tcPr>
          <w:p>
            <w:pPr>
              <w:spacing w:after="0"/>
              <w:rPr>
                <w:sz w:val="20"/>
                <w:szCs w:val="20"/>
                <w:color w:val="auto"/>
              </w:rPr>
            </w:pPr>
          </w:p>
        </w:tc>
      </w:tr>
    </w:tbl>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Market uncertainty remained high through the first half of 2025. Interest rate, equity and foreign exchange markets experienced significant uncertainty surrounding the economic impacts of anticipated and implemented tariffs and the effect they may have on the United States Federal Reserve’s (Federal Reserve) interest rate policy decision. In addition, market uncertainty also remained high within the energy, metals and agricultural commodities markets in the first half of 2025, mainly as a result of new and existing geopolitical tensions, including the anticipation and implementation of tariffs, as well as uncertain weather conditions in 2025. However, in the third quarter of 2025, overall market volatility subsided relative to periods of very high volatility earlier in the year as market uncertainty tapered as a result of consistent inflation data and more clarity surrounding the Federal Reserve's interest rate policy decision. We believe these factors contributed to an increase in volume in the first nine months of 2025 when compared with the same periods in 2024 and lower volume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2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2,725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3,001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1,560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1,456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962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1,111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2,817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3,319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1,900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2,124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1,058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1,126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684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774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 T-Note</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662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750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Ultra T-Bond</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416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438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555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468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3"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 the third quarter of 2025, interest rate contract volume was lower compared to the same period in 2024, due to lower overall market volatility. We believe the lower volatility was a result of more clarity surrounding the Federal Reserve's interest rate policy decision as well as consistent trends in inflation data.</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Overall interest rate contract volume increased in the first nine months of 2025 when compared with the same period in 2024, due to higher overall volatility in early 2025. We believe this was due to market uncertainty surrounding the Federal Reserve's interest rate policy decision as well as mixed inflation data in the first half of 2025. In addition, new and existing geopolitical tensions as well as the potential economic impacts of anticipated and implemented tariffs also led to higher overall volatility in the first half of 2025. We believe these factors contributed to higher overall interest rate volume in the first nine months of 2025 when compared with the same period in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and Cryptocurrency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and cryptocurrency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2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3,454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4,099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(1)%</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1,888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(17)</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2,293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272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(19)</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300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Dow futures and options</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176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(33)</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228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Ether futures and options</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239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n.m.</w:t>
            </w:r>
          </w:p>
        </w:tc>
        <w:tc>
          <w:tcPr>
            <w:tcW w:w="16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146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n.m.</w:t>
            </w: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 futures and options</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86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not meaningful</w:t>
      </w:r>
    </w:p>
    <w:p>
      <w:pPr>
        <w:spacing w:after="0" w:line="9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Equity index contract volume decreased in the third quarter of 2025 when compared with the same period in 2024 due to lower overall equity market volatility. We believe lower market volatility was a result of less uncertainty surrounding the Federal Reserve's interest rate policy decision as well as consistent trends in inflation data.</w:t>
      </w:r>
    </w:p>
    <w:p>
      <w:pPr>
        <w:spacing w:after="0" w:line="6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Overall equity index contract volume increased in the first nine months of 2025 when compared with the same period in 2025, due to higher overall volatility in early 2025. We believe this was due to new and existing geopolitical tensions as well as the potential economic impacts of anticipated and implemented tariffs in the first half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believe volumes for our cryptocurrency products were higher as a result of the broader acceptance of cryptocurrency products.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223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267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(26)</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110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(37)</w:t>
            </w:r>
          </w:p>
        </w:tc>
        <w:tc>
          <w:tcPr>
            <w:tcW w:w="16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r>
    </w:tbl>
    <w:p>
      <w:pPr>
        <w:spacing w:after="0" w:line="18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the third quarter and first nine months of 2025, overall foreign exchange volumes decreased when compared with the same periods in 2024 due to lower market volatility. We believe this was the result of less uncertainty surrounding the global central bank's interest rate policies as well as consistent trends in inflation data, which has led to overall decreases in foreign exchange contract volumes.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6"/>
        </w:trPr>
        <w:tc>
          <w:tcPr>
            <w:tcW w:w="38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493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2 %</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583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347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373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246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bl>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Overall commodity contract volumes increased in the third quarter and first nine months of 2025 when compared with the same periods in 2024. We believe these increases were due to higher overall market volatility as a result of uncertainty surrounding the potential economic impacts of anticipated and implemented tariffs as they relate to the commodities market. In addition, changes in market expectations regarding grain supplies as well as uncertain weather conditions in 2025 also led to increases in volumes. We believe these factors contributed to higher overall commodity volumes in the third quarter and first nine months of 2025 compared with the same periods in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2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1,018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1,251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745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893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358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406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r>
    </w:tbl>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Energy contract volume decreased in the third quarter 2025 when compared with the same period in 2024, which we believe was due to lower overall market volatility. Crude oil volatility subsided as a result of easing geopolitical tensions in the Middle East as well as more clarity surrounding global trade negotiations.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Overall energy contract volume increased in the first nine months of 2025 when compared with the same period in 2024, due to higher overall volatility. In the first half of 2025, crude oil volatility was higher as a result of geopolitical tensions across the globe, a shift in global supply levels, and the potential economic impacts of anticipated and implemented tariffs. Natural gas volatility was higher as a result of uncertain weather conditions and a shift in supplies in the United States in 2025, which impacted prices throughout the year. We believe these factors contributed to higher overall energy volume in the first nine months of 2025 compared with the same periods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577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29 %</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571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112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78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w:t>
            </w:r>
          </w:p>
        </w:tc>
      </w:tr>
    </w:tbl>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third quarter and first nine months of 2025, overall metal contract volumes increased when compared with the same periods in 2024. We believe gold volumes increased as a result of increased price volatility caused by investors using gold as a safe-haven alternative investment due to uncertainty in other markets. The decreases in silver and copper volumes are due to reductions in demand for the metals due to economic instability as well as risk aversion by traders. We believe these factors contributed to higher overall metals volumes in the third quarter and first nine months of 2025 compared with the same periods in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10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average rate per contract increased in the third quarter and first nine months of 2025 when compared with the same periods in 2024. The increases in the average rate per contract were primarily due to higher commodities, energy and metals contract volumes as a percentage of total volumes. In addition, the overall increases in average rate per contract were due to an increase in our fee structure, which went into effect on February 1,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third quarter and first nine months of 2025 include $69.8 million and $215.4 million, respectively, of transaction fees attributable to the cash markets business, compared with $68.5 million and $207.9 million, respectively, in the third quarter and first nine months of 2024. This revenue includes BrokerTec Americas LLC's fixed income volume and EBS's foreign exchange volume.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Pr>
          <w:p>
            <w:pPr>
              <w:spacing w:after="0"/>
              <w:rPr>
                <w:sz w:val="13"/>
                <w:szCs w:val="13"/>
                <w:color w:val="auto"/>
              </w:rPr>
            </w:pPr>
          </w:p>
        </w:tc>
      </w:tr>
      <w:tr>
        <w:trPr>
          <w:trHeight w:val="194"/>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5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39.3</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18 %  $</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112.2</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6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30.5</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103.2</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third quarter and first nine months of 2025 and 2024 were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tcPr>
          <w:p>
            <w:pPr>
              <w:spacing w:after="0"/>
              <w:rPr>
                <w:sz w:val="13"/>
                <w:szCs w:val="13"/>
                <w:color w:val="auto"/>
              </w:rPr>
            </w:pPr>
          </w:p>
        </w:tc>
      </w:tr>
      <w:tr>
        <w:trPr>
          <w:trHeight w:val="194"/>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60" w:type="dxa"/>
            <w:vAlign w:val="bottom"/>
            <w:tcBorders>
              <w:bottom w:val="single" w:sz="8" w:color="auto"/>
            </w:tcBorders>
            <w:gridSpan w:val="2"/>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Repo</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379.4</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80" w:type="dxa"/>
            <w:vAlign w:val="bottom"/>
          </w:tcPr>
          <w:p>
            <w:pPr>
              <w:spacing w:after="0"/>
              <w:rPr>
                <w:sz w:val="19"/>
                <w:szCs w:val="19"/>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292.1</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83.8</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8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56.6</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were higher in the third quarter and first nine months of 2025 when compared with the same periods in 2024 due to higher overall U.S. debt issuances. U.S. debt issuances were significantly higher in the third quarter and first nine months of 2025 as a result of the increase of the debt ceiling in early 2025, which resulted in an increase in U.S. Repo volumes. The increase in the third quarter of 2025 was partially offset by lower volatility within our U.S. Treasury products, as a result of more clarity surrounding the Federal Reserve's interest rate policy decision as well as consistent trends in inflation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at least 10% of our clearing and transaction fees in the first nine months of 2025.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380"/>
        <w:spacing w:after="0" w:line="315" w:lineRule="auto"/>
        <w:rPr>
          <w:sz w:val="20"/>
          <w:szCs w:val="20"/>
          <w:color w:val="auto"/>
        </w:rPr>
      </w:pPr>
      <w:r>
        <w:rPr>
          <w:rFonts w:ascii="Times New Roman" w:cs="Times New Roman" w:eastAsia="Times New Roman" w:hAnsi="Times New Roman"/>
          <w:sz w:val="17"/>
          <w:szCs w:val="17"/>
          <w:i w:val="1"/>
          <w:iCs w:val="1"/>
          <w:color w:val="auto"/>
        </w:rPr>
        <w:t>Market data and information services</w:t>
      </w:r>
      <w:r>
        <w:rPr>
          <w:rFonts w:ascii="Times New Roman" w:cs="Times New Roman" w:eastAsia="Times New Roman" w:hAnsi="Times New Roman"/>
          <w:sz w:val="17"/>
          <w:szCs w:val="17"/>
          <w:color w:val="auto"/>
        </w:rPr>
        <w:t>. During the third quarter and first nine months of 2025, overall market data and information services revenues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when compared with the same periods in 2024, largely due to price increases for certain products as well as higher usage of certain products.</w:t>
      </w:r>
    </w:p>
    <w:p>
      <w:pPr>
        <w:spacing w:after="0" w:line="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31% of our market data and information services revenue in the first nine months of 2025.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3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3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$4.8 million and $41.6 million, respectively, in the third quarter and first nine months of 2025 when compared with the same periods in 2024. The following table shows the estimated impacts of key factors resulting in the changes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2480" w:type="dxa"/>
            <w:vAlign w:val="bottom"/>
            <w:gridSpan w:val="3"/>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140" w:type="dxa"/>
            <w:vAlign w:val="bottom"/>
          </w:tcPr>
          <w:p>
            <w:pPr>
              <w:spacing w:after="0"/>
              <w:rPr>
                <w:sz w:val="18"/>
                <w:szCs w:val="1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6"/>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Expenses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Google Cloud professional fees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third quarter and first nine months of 2025 when compared with the same periods in 2024 were as follows:</w:t>
      </w:r>
    </w:p>
    <w:p>
      <w:pPr>
        <w:spacing w:after="0" w:line="117" w:lineRule="exact"/>
        <w:rPr>
          <w:sz w:val="20"/>
          <w:szCs w:val="20"/>
          <w:color w:val="auto"/>
        </w:rPr>
      </w:pPr>
    </w:p>
    <w:p>
      <w:pPr>
        <w:jc w:val="both"/>
        <w:ind w:left="660" w:right="220" w:hanging="328"/>
        <w:spacing w:after="0" w:line="31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employer taxes expenses were higher as a result of salary increases that went into effect during the first quarter of 2025 as well as an increase in headcount during 2025, which was primarily attributable to additional headcount in the company's international locations.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technology support services expenses were primarily driven by higher software license fees and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fees were higher primarily due to the class action lawsuit litigation in the second and third quarter of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 in the third quarter and first nine months when compared with the same periods in 2024 were as follows:</w:t>
      </w:r>
    </w:p>
    <w:p>
      <w:pPr>
        <w:spacing w:after="0" w:line="117" w:lineRule="exact"/>
        <w:rPr>
          <w:sz w:val="20"/>
          <w:szCs w:val="20"/>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decreases in professional fees related to the Google Cloud transformation project, which began in late 2021, were the result of a shift in need from an overall project consulting focus to a technology migration focus.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expenses decreased during the third quarter and first nine months of 2025 largely due to gains of $10.5 million recognized in the second quarter of 2025 resulting from a reduction in our leased office space.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tcPr>
          <w:p>
            <w:pPr>
              <w:spacing w:after="0"/>
              <w:rPr>
                <w:sz w:val="13"/>
                <w:szCs w:val="13"/>
                <w:color w:val="auto"/>
              </w:rPr>
            </w:pPr>
          </w:p>
        </w:tc>
      </w:tr>
      <w:tr>
        <w:trPr>
          <w:trHeight w:val="194"/>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3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320" w:type="dxa"/>
            <w:vAlign w:val="bottom"/>
            <w:tcBorders>
              <w:bottom w:val="single" w:sz="8" w:color="CCEEFF"/>
            </w:tcBorders>
          </w:tcPr>
          <w:p>
            <w:pPr>
              <w:jc w:val="right"/>
              <w:ind w:right="233"/>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20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3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increased in the third quarter and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2025 when compared with the same periods in 2024 due to higher reinvestment balances, despite decreases in the average rate of return on the reinvestment balances. In the third quarter and first nine months of 2025, earnings from cash performance bond and guaranty fund contributions were $1,514.1 million and $3,875.3 million, respectively, compared with $991.3 million and $3,035.6 million, respectively, in the third quarter and first nine months of 2024. We also recognized lower net realized and unrealized gains on investments in the third quarter and first nine months of 2025.</w:t>
      </w:r>
    </w:p>
    <w:p>
      <w:pPr>
        <w:spacing w:after="0" w:line="7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 Dow Jones Indices LLC business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contributed to increases in equity in net earnings (losses) of unconsolidated subsidiaries in the third quarter and first nine months of 2025 when compared with 2024.</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non-operating income (expense). </w:t>
      </w:r>
      <w:r>
        <w:rPr>
          <w:rFonts w:ascii="Times New Roman" w:cs="Times New Roman" w:eastAsia="Times New Roman" w:hAnsi="Times New Roman"/>
          <w:sz w:val="18"/>
          <w:szCs w:val="18"/>
          <w:color w:val="auto"/>
        </w:rPr>
        <w:t>We recognized higher expenses related to the distribution of interest earned on performance bond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reinvestments to the clearing firms during the third quarter and first nine months of 2025 when compared with the same periods in 2024. In the third quarter and first nine months of 2025, expenses related to the distribution of interest earned on collateral reinvestments were $1,399.2 million and $3,578.5 million, respectively, compared with $922.6 million and $2,829.4 million, respectively, in the third quarter and first nine months of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September 30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22.9 %</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22.4 %</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23.0</w:t>
            </w:r>
          </w:p>
        </w:tc>
      </w:tr>
    </w:tbl>
    <w:p>
      <w:pPr>
        <w:spacing w:after="0" w:line="1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overall effective tax rates remained relatively consistent in the third quarter and first nine months of 2025 when compared with the same periods in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nine months of 2025 when compared with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which was largely due to an increase in trading volume and higher interest earned on reinvestment of collateral, net of distributions. Cash used in investing activities remained relatively consistent in the first nine months of 2025 when compared with the same period in 2024. Cash provided by financing activities was higher during the first nine months of 2025 when compared with the same period in 2024 due to an increase in cash performance bonds and guaranty fund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September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2030, stated rate of 4.40%</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(1)</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100" w:hanging="328"/>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April 2030.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2024, giving effect to share repurchases made and special dividends paid during the term of the agreement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September 30, 2025, guaranty fund contributions available to collateralize the facility totaled $9.5 billion. We have the option to increase the line from $7.0 billion to $10.0 billion with the consent of the agent and lenders providing the additional funds.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 September 30, 2025, we have excess borrowing capacity for general corporate purposes of approximately $2.3 billion under our multi-currency revolving senior credit facility.</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September 30, 2025, the letters of credit totaled $400.0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September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$2.4 billion and $2.9 billion at September 30, 2025 and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w:t>
      </w:r>
    </w:p>
    <w:p>
      <w:pPr>
        <w:spacing w:after="0" w:line="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5, 2024, we announced that our board of directors has approved a share repurchase program under which we are authorized to repurchase up to $3.0 billion of our outstanding Class A common stock, par value $0.01 per share (the common stock), from time to time through open market transactions, block trades, privately negotiated purchase transactions or other purchase techniques and may include purchases effected pursuant to one or more trading plans established pursuant to Rule 10b5-1 under the Exchange Act. The timing of any repurchases and the number of shares repurchased under the share repurchase program are within our discretion and may be affected by various factors, including general market and economic conditions; the market price of the common stock; CME Group’s earnings, financial condition, capital requirements and levels of indebtedness; legal requirements; and other considerations. The share repurchase program has no expiration date, does not obligate us to acquire any particular amount of common stock and may be modified, suspended or terminated at any time. As of September 30, 2025, the maximum remaining value of shares to be repurchased was $2,991.8 million.</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w:t>
      </w:r>
    </w:p>
    <w:p>
      <w:pPr>
        <w:spacing w:after="0" w:line="5"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is not required to lock up customer funds as would otherwise be required under Exchange Act Rule 15c3-3.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2024. Refer to Item 7A. of CME Group’s Annual Report on Form 10-K for the year ended December 31, 2024, filed with the SEC on February 27, 2025, for additional information.</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firstLine="8"/>
        <w:spacing w:after="0" w:line="261"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September 30, 2025,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2024, filed with the SEC on February 27, 2025.</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2024, filed with the SEC on February 27, 2025.</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860" w:type="dxa"/>
            <w:vAlign w:val="bottom"/>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00" w:type="dxa"/>
            <w:vAlign w:val="bottom"/>
          </w:tcPr>
          <w:p>
            <w:pPr>
              <w:spacing w:after="0"/>
              <w:rPr>
                <w:sz w:val="13"/>
                <w:szCs w:val="13"/>
                <w:color w:val="auto"/>
              </w:rPr>
            </w:pPr>
          </w:p>
        </w:tc>
        <w:tc>
          <w:tcPr>
            <w:tcW w:w="20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 Number of Class A</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7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4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46"/>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60" w:type="dxa"/>
            <w:vAlign w:val="bottom"/>
          </w:tcPr>
          <w:p>
            <w:pPr>
              <w:jc w:val="center"/>
              <w:ind w:left="808"/>
              <w:spacing w:after="0" w:line="14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vMerge w:val="continue"/>
          </w:tcPr>
          <w:p>
            <w:pPr>
              <w:spacing w:after="0"/>
              <w:rPr>
                <w:sz w:val="12"/>
                <w:szCs w:val="12"/>
                <w:color w:val="auto"/>
              </w:rPr>
            </w:pPr>
          </w:p>
        </w:tc>
        <w:tc>
          <w:tcPr>
            <w:tcW w:w="204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0" w:type="dxa"/>
            <w:vAlign w:val="bottom"/>
          </w:tcPr>
          <w:p>
            <w:pPr>
              <w:spacing w:after="0"/>
              <w:rPr>
                <w:sz w:val="1"/>
                <w:szCs w:val="1"/>
                <w:color w:val="auto"/>
              </w:rPr>
            </w:pPr>
          </w:p>
        </w:tc>
      </w:tr>
      <w:tr>
        <w:trPr>
          <w:trHeight w:val="193"/>
        </w:trPr>
        <w:tc>
          <w:tcPr>
            <w:tcW w:w="1720" w:type="dxa"/>
            <w:vAlign w:val="bottom"/>
            <w:vMerge w:val="continue"/>
          </w:tcPr>
          <w:p>
            <w:pPr>
              <w:spacing w:after="0"/>
              <w:rPr>
                <w:sz w:val="16"/>
                <w:szCs w:val="16"/>
                <w:color w:val="auto"/>
              </w:rPr>
            </w:pPr>
          </w:p>
        </w:tc>
        <w:tc>
          <w:tcPr>
            <w:tcW w:w="286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7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Maximum Approximate Value of Shares</w:t>
      </w:r>
    </w:p>
    <w:p>
      <w:pPr>
        <w:ind w:left="1080"/>
        <w:spacing w:after="0" w:line="229" w:lineRule="auto"/>
        <w:rPr>
          <w:sz w:val="20"/>
          <w:szCs w:val="20"/>
          <w:color w:val="auto"/>
        </w:rPr>
      </w:pPr>
      <w:r>
        <w:rPr>
          <w:rFonts w:ascii="Times New Roman" w:cs="Times New Roman" w:eastAsia="Times New Roman" w:hAnsi="Times New Roman"/>
          <w:sz w:val="14"/>
          <w:szCs w:val="14"/>
          <w:b w:val="1"/>
          <w:bCs w:val="1"/>
          <w:color w:val="auto"/>
        </w:rPr>
        <w:t>That</w:t>
      </w:r>
    </w:p>
    <w:p>
      <w:pPr>
        <w:ind w:left="540"/>
        <w:spacing w:after="0" w:line="201" w:lineRule="auto"/>
        <w:rPr>
          <w:sz w:val="20"/>
          <w:szCs w:val="20"/>
          <w:color w:val="auto"/>
        </w:rPr>
      </w:pPr>
      <w:r>
        <w:rPr>
          <w:rFonts w:ascii="Times New Roman" w:cs="Times New Roman" w:eastAsia="Times New Roman" w:hAnsi="Times New Roman"/>
          <w:sz w:val="14"/>
          <w:szCs w:val="14"/>
          <w:b w:val="1"/>
          <w:bCs w:val="1"/>
          <w:color w:val="auto"/>
        </w:rPr>
        <w:t>May Yet Be Purchased</w:t>
      </w:r>
    </w:p>
    <w:p>
      <w:pPr>
        <w:jc w:val="center"/>
        <w:ind w:right="40"/>
        <w:spacing w:after="0" w:line="222" w:lineRule="auto"/>
        <w:rPr>
          <w:sz w:val="20"/>
          <w:szCs w:val="20"/>
          <w:color w:val="auto"/>
        </w:rPr>
      </w:pPr>
      <w:r>
        <w:rPr>
          <w:rFonts w:ascii="Times New Roman" w:cs="Times New Roman" w:eastAsia="Times New Roman" w:hAnsi="Times New Roman"/>
          <w:sz w:val="14"/>
          <w:szCs w:val="14"/>
          <w:b w:val="1"/>
          <w:bCs w:val="1"/>
          <w:color w:val="auto"/>
        </w:rPr>
        <w:t>Under the Plans or Programs</w:t>
      </w:r>
      <w:r>
        <w:rPr>
          <w:rFonts w:ascii="Times New Roman" w:cs="Times New Roman" w:eastAsia="Times New Roman" w:hAnsi="Times New Roman"/>
          <w:sz w:val="9"/>
          <w:szCs w:val="9"/>
          <w:b w:val="1"/>
          <w:bCs w:val="1"/>
          <w:color w:val="auto"/>
        </w:rPr>
        <w:t>(1)</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2" w:lineRule="exact"/>
        <w:rPr>
          <w:sz w:val="20"/>
          <w:szCs w:val="20"/>
          <w:color w:val="auto"/>
        </w:rPr>
      </w:pPr>
    </w:p>
    <w:p>
      <w:pPr>
        <w:sectPr>
          <w:pgSz w:w="11900" w:h="16838" w:orient="portrait"/>
          <w:cols w:equalWidth="0" w:num="2">
            <w:col w:w="8340" w:space="400"/>
            <w:col w:w="2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to July 31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274.64</w:t>
            </w:r>
          </w:p>
        </w:tc>
        <w:tc>
          <w:tcPr>
            <w:tcW w:w="3340" w:type="dxa"/>
            <w:vAlign w:val="bottom"/>
            <w:tcBorders>
              <w:top w:val="single" w:sz="8" w:color="auto"/>
            </w:tcBorders>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to August 31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8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273.91</w:t>
            </w:r>
          </w:p>
        </w:tc>
        <w:tc>
          <w:tcPr>
            <w:tcW w:w="33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83,585</w:t>
            </w: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259.14</w:t>
            </w:r>
          </w:p>
        </w:tc>
        <w:tc>
          <w:tcPr>
            <w:tcW w:w="334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2,991.8</w:t>
            </w: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87,503</w:t>
            </w:r>
          </w:p>
        </w:tc>
        <w:tc>
          <w:tcPr>
            <w:tcW w:w="860" w:type="dxa"/>
            <w:vAlign w:val="bottom"/>
          </w:tcPr>
          <w:p>
            <w:pPr>
              <w:jc w:val="right"/>
              <w:ind w:right="626"/>
              <w:spacing w:after="0"/>
              <w:rPr>
                <w:sz w:val="20"/>
                <w:szCs w:val="20"/>
                <w:color w:val="auto"/>
              </w:rPr>
            </w:pPr>
            <w:r>
              <w:rPr>
                <w:rFonts w:ascii="Times New Roman" w:cs="Times New Roman" w:eastAsia="Times New Roman" w:hAnsi="Times New Roman"/>
                <w:sz w:val="12"/>
                <w:szCs w:val="12"/>
                <w:color w:val="auto"/>
                <w:w w:val="99"/>
              </w:rPr>
              <w:t>(2)</w:t>
            </w:r>
          </w:p>
        </w:tc>
        <w:tc>
          <w:tcPr>
            <w:tcW w:w="1100" w:type="dxa"/>
            <w:vAlign w:val="bottom"/>
          </w:tcPr>
          <w:p>
            <w:pPr>
              <w:spacing w:after="0"/>
              <w:rPr>
                <w:sz w:val="19"/>
                <w:szCs w:val="19"/>
                <w:color w:val="auto"/>
              </w:rPr>
            </w:pPr>
          </w:p>
        </w:tc>
        <w:tc>
          <w:tcPr>
            <w:tcW w:w="222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right="340" w:hanging="328"/>
        <w:spacing w:after="0" w:line="266"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2024, CME Group announced that its board of directors approved a share repurchase program under which CME Group is authorized to repurchase up to $3.0 billion of its outstanding Class A common stock, par value $0.01 per share (the common stock). The share repurchase program has no expiration date.</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shares surrendered to satisfy employee tax obligations upon the vesting of restricted stock.</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of the company adopted or terminated a "Rule 10b5-1 trading arrangement" or "non-Rule 10b-5 trading arrangement" as such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Section 302 Certification—Terrence A. Duffy</w:t>
            </w: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Certification—Lynne Fitzpatrick</w:t>
            </w:r>
          </w:p>
        </w:tc>
        <w:tc>
          <w:tcPr>
            <w:tcW w:w="40" w:type="dxa"/>
            <w:vAlign w:val="bottom"/>
          </w:tcPr>
          <w:p>
            <w:pPr>
              <w:spacing w:after="0"/>
              <w:rPr>
                <w:sz w:val="24"/>
                <w:szCs w:val="24"/>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906</w:t>
            </w:r>
          </w:p>
        </w:tc>
        <w:tc>
          <w:tcPr>
            <w:tcW w:w="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Certification</w:t>
            </w:r>
          </w:p>
        </w:tc>
        <w:tc>
          <w:tcPr>
            <w:tcW w:w="1500" w:type="dxa"/>
            <w:vAlign w:val="bottom"/>
            <w:gridSpan w:val="2"/>
          </w:tcPr>
          <w:p>
            <w:pPr>
              <w:spacing w:after="0"/>
              <w:rPr>
                <w:sz w:val="24"/>
                <w:szCs w:val="24"/>
                <w:color w:val="auto"/>
              </w:rPr>
            </w:pPr>
          </w:p>
        </w:tc>
      </w:tr>
    </w:tbl>
    <w:p>
      <w:pPr>
        <w:spacing w:after="0" w:line="130" w:lineRule="exact"/>
        <w:rPr>
          <w:sz w:val="20"/>
          <w:szCs w:val="20"/>
          <w:color w:val="auto"/>
        </w:rPr>
      </w:pPr>
    </w:p>
    <w:p>
      <w:pPr>
        <w:ind w:left="1440" w:right="459" w:hanging="1414"/>
        <w:spacing w:after="0" w:line="220" w:lineRule="auto"/>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September 30, 2025,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included in the Inline XBRL Document Set for Exhibit 101.</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October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Senior Managing Director, President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21"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24,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24, 2025</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Financial Officer</w:t>
            </w:r>
          </w:p>
        </w:tc>
      </w:tr>
    </w:tbl>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September 30, 2025 as filed with the Securities and Exchange Commission on the date hereof (the “Report”), Terrence A. Duffy, as Chief Executive Officer of the Company, and Lynne Fitzpatrick, as President and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24, 2025</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24, 2025</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2025-10-24T13:12:18Z</dcterms:created>
  <dcterms:modified xsi:type="dcterms:W3CDTF">2025-10-24T13:12:18Z</dcterms:modified>
</cp:coreProperties>
</file>