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OR -</w:t>
      </w:r>
    </w:p>
    <w:p>
      <w:pPr>
        <w:spacing w:after="0" w:line="27"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6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001-31553</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CME GROUP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172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36-4459170</w:t>
      </w:r>
    </w:p>
    <w:p>
      <w:pPr>
        <w:spacing w:after="0" w:line="12" w:lineRule="exact"/>
        <w:rPr>
          <w:sz w:val="24"/>
          <w:szCs w:val="24"/>
          <w:color w:val="auto"/>
        </w:rPr>
      </w:pPr>
    </w:p>
    <w:p>
      <w:pPr>
        <w:ind w:left="118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14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1180"/>
        <w:spacing w:after="0"/>
        <w:tabs>
          <w:tab w:leader="none" w:pos="4140" w:val="left"/>
          <w:tab w:leader="none" w:pos="5180" w:val="left"/>
          <w:tab w:leader="none" w:pos="8200" w:val="left"/>
        </w:tabs>
        <w:rPr>
          <w:sz w:val="20"/>
          <w:szCs w:val="20"/>
          <w:color w:val="auto"/>
        </w:rPr>
      </w:pPr>
      <w:r>
        <w:rPr>
          <w:rFonts w:ascii="Times New Roman" w:cs="Times New Roman" w:eastAsia="Times New Roman" w:hAnsi="Times New Roman"/>
          <w:sz w:val="18"/>
          <w:szCs w:val="18"/>
          <w:b w:val="1"/>
          <w:bCs w:val="1"/>
          <w:color w:val="auto"/>
        </w:rPr>
        <w:t>20 South Wacker Drive</w:t>
      </w:r>
      <w:r>
        <w:rPr>
          <w:sz w:val="20"/>
          <w:szCs w:val="20"/>
          <w:color w:val="auto"/>
        </w:rPr>
        <w:tab/>
      </w:r>
      <w:r>
        <w:rPr>
          <w:rFonts w:ascii="Times New Roman" w:cs="Times New Roman" w:eastAsia="Times New Roman" w:hAnsi="Times New Roman"/>
          <w:sz w:val="18"/>
          <w:szCs w:val="18"/>
          <w:b w:val="1"/>
          <w:bCs w:val="1"/>
          <w:color w:val="auto"/>
        </w:rPr>
        <w:t>Chicago</w:t>
      </w:r>
      <w:r>
        <w:rPr>
          <w:sz w:val="20"/>
          <w:szCs w:val="20"/>
          <w:color w:val="auto"/>
        </w:rPr>
        <w:tab/>
      </w:r>
      <w:r>
        <w:rPr>
          <w:rFonts w:ascii="Times New Roman" w:cs="Times New Roman" w:eastAsia="Times New Roman" w:hAnsi="Times New Roman"/>
          <w:sz w:val="18"/>
          <w:szCs w:val="18"/>
          <w:b w:val="1"/>
          <w:bCs w:val="1"/>
          <w:color w:val="auto"/>
        </w:rPr>
        <w:t>Illinois</w:t>
      </w:r>
      <w:r>
        <w:rPr>
          <w:sz w:val="20"/>
          <w:szCs w:val="20"/>
          <w:color w:val="auto"/>
        </w:rPr>
        <w:tab/>
      </w:r>
      <w:r>
        <w:rPr>
          <w:rFonts w:ascii="Times New Roman" w:cs="Times New Roman" w:eastAsia="Times New Roman" w:hAnsi="Times New Roman"/>
          <w:sz w:val="17"/>
          <w:szCs w:val="17"/>
          <w:b w:val="1"/>
          <w:bCs w:val="1"/>
          <w:color w:val="auto"/>
        </w:rPr>
        <w:t>60606</w:t>
      </w:r>
    </w:p>
    <w:p>
      <w:pPr>
        <w:spacing w:after="0" w:line="31" w:lineRule="exact"/>
        <w:rPr>
          <w:sz w:val="24"/>
          <w:szCs w:val="24"/>
          <w:color w:val="auto"/>
        </w:rPr>
      </w:pPr>
    </w:p>
    <w:p>
      <w:pPr>
        <w:ind w:left="186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930-1000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2"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Class A Common Stock</w:t>
            </w:r>
          </w:p>
        </w:tc>
        <w:tc>
          <w:tcPr>
            <w:tcW w:w="68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CME</w:t>
            </w:r>
          </w:p>
        </w:tc>
        <w:tc>
          <w:tcPr>
            <w:tcW w:w="540" w:type="dxa"/>
            <w:vAlign w:val="bottom"/>
          </w:tcPr>
          <w:p>
            <w:pPr>
              <w:spacing w:after="0"/>
              <w:rPr>
                <w:sz w:val="21"/>
                <w:szCs w:val="21"/>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44" w:lineRule="exact"/>
        <w:rPr>
          <w:sz w:val="24"/>
          <w:szCs w:val="24"/>
          <w:color w:val="auto"/>
        </w:rPr>
      </w:pPr>
    </w:p>
    <w:p>
      <w:pPr>
        <w:ind w:right="120" w:firstLine="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80" w:firstLine="1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440" w:val="left"/>
          <w:tab w:leader="none" w:pos="21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7" w:lineRule="exact"/>
        <w:rPr>
          <w:sz w:val="24"/>
          <w:szCs w:val="24"/>
          <w:color w:val="auto"/>
        </w:rPr>
      </w:pPr>
    </w:p>
    <w:p>
      <w:pPr>
        <w:ind w:firstLine="162"/>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2220"/>
        <w:spacing w:after="0" w:line="207" w:lineRule="exact"/>
        <w:tabs>
          <w:tab w:leader="none" w:pos="2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5" w:lineRule="exact"/>
        <w:rPr>
          <w:sz w:val="24"/>
          <w:szCs w:val="24"/>
          <w:color w:val="auto"/>
        </w:rPr>
      </w:pPr>
    </w:p>
    <w:p>
      <w:pPr>
        <w:jc w:val="both"/>
        <w:ind w:right="200"/>
        <w:spacing w:after="0" w:line="254"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April 10, 2024 was as follows: 360,062,233 shares of 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4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b w:val="1"/>
                <w:bCs w:val="1"/>
                <w:color w:val="0000FF"/>
              </w:rPr>
              <w:t>Financial Statements</w:t>
            </w:r>
          </w:p>
        </w:tc>
        <w:tc>
          <w:tcPr>
            <w:tcW w:w="360" w:type="dxa"/>
            <w:vAlign w:val="bottom"/>
            <w:tcBorders>
              <w:top w:val="single" w:sz="8" w:color="0000FF"/>
            </w:tcBorders>
            <w:gridSpan w:val="3"/>
          </w:tcPr>
          <w:p>
            <w:pPr>
              <w:spacing w:after="0"/>
              <w:rPr>
                <w:sz w:val="24"/>
                <w:szCs w:val="24"/>
                <w:color w:val="auto"/>
              </w:rPr>
            </w:pPr>
          </w:p>
        </w:tc>
        <w:tc>
          <w:tcPr>
            <w:tcW w:w="77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7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Consolidated Balance Sheets at March 31, 2024 and December 31, 2023</w:t>
            </w:r>
          </w:p>
        </w:tc>
        <w:tc>
          <w:tcPr>
            <w:tcW w:w="4900" w:type="dxa"/>
            <w:vAlign w:val="bottom"/>
            <w:gridSpan w:val="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5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Quarters Ended March 31, 2024 and 2023</w:t>
            </w:r>
          </w:p>
        </w:tc>
        <w:tc>
          <w:tcPr>
            <w:tcW w:w="4060" w:type="dxa"/>
            <w:vAlign w:val="bottom"/>
            <w:gridSpan w:val="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Quarters Ended March 31, 2024 and 2023</w:t>
            </w:r>
          </w:p>
        </w:tc>
        <w:tc>
          <w:tcPr>
            <w:tcW w:w="3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Equity for the Quarters Ended March 31, 2024 and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Quarters Ended March 31, 2024 and 2023</w:t>
            </w:r>
          </w:p>
        </w:tc>
        <w:tc>
          <w:tcPr>
            <w:tcW w:w="3780" w:type="dxa"/>
            <w:vAlign w:val="bottom"/>
            <w:gridSpan w:val="3"/>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0000FF"/>
              </w:rPr>
              <w:t>Management’s Discussion and Analysis of Financial Condition and Results of Operations</w:t>
            </w: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2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rPr>
              <w:t>Quantitative and Qualitative Disclosures About Market Risk</w:t>
            </w:r>
          </w:p>
        </w:tc>
        <w:tc>
          <w:tcPr>
            <w:tcW w:w="1940" w:type="dxa"/>
            <w:vAlign w:val="bottom"/>
            <w:tcBorders>
              <w:top w:val="single" w:sz="8" w:color="0000FF"/>
            </w:tcBorders>
            <w:gridSpan w:val="5"/>
          </w:tcPr>
          <w:p>
            <w:pPr>
              <w:spacing w:after="0"/>
              <w:rPr>
                <w:sz w:val="22"/>
                <w:szCs w:val="22"/>
                <w:color w:val="auto"/>
              </w:rPr>
            </w:pPr>
          </w:p>
        </w:tc>
        <w:tc>
          <w:tcPr>
            <w:tcW w:w="3460" w:type="dxa"/>
            <w:vAlign w:val="bottom"/>
            <w:gridSpan w:val="2"/>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Controls and Procedures</w:t>
            </w:r>
          </w:p>
        </w:tc>
        <w:tc>
          <w:tcPr>
            <w:tcW w:w="7880" w:type="dxa"/>
            <w:vAlign w:val="bottom"/>
            <w:gridSpan w:val="11"/>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8040" w:type="dxa"/>
            <w:vAlign w:val="bottom"/>
            <w:gridSpan w:val="12"/>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9"/>
              </w:rPr>
              <w:t>Legal Proceedings</w:t>
            </w:r>
          </w:p>
        </w:tc>
        <w:tc>
          <w:tcPr>
            <w:tcW w:w="834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Risk Factors</w:t>
            </w:r>
          </w:p>
        </w:tc>
        <w:tc>
          <w:tcPr>
            <w:tcW w:w="8720" w:type="dxa"/>
            <w:vAlign w:val="bottom"/>
            <w:gridSpan w:val="15"/>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41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b w:val="1"/>
                <w:bCs w:val="1"/>
                <w:color w:val="0000FF"/>
              </w:rPr>
              <w:t>Unregistered Sales of Equity Securities and Use of Proceeds</w:t>
            </w:r>
          </w:p>
        </w:tc>
        <w:tc>
          <w:tcPr>
            <w:tcW w:w="5480" w:type="dxa"/>
            <w:vAlign w:val="bottom"/>
            <w:gridSpan w:val="8"/>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8"/>
              </w:rPr>
              <w:t>Exhibits</w:t>
            </w:r>
          </w:p>
        </w:tc>
        <w:tc>
          <w:tcPr>
            <w:tcW w:w="9020" w:type="dxa"/>
            <w:vAlign w:val="bottom"/>
            <w:gridSpan w:val="1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380" w:type="dxa"/>
            <w:vAlign w:val="bottom"/>
            <w:gridSpan w:val="12"/>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amounts regarding contract volume and average rate per contract are for CME Group’s listed futures and options on futures contracts unless otherwise noted.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13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w:t>
      </w:r>
    </w:p>
    <w:p>
      <w:pPr>
        <w:spacing w:after="0" w:line="1"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trademarks of New York Mercantile Exchange, Inc. COMEX is a trademark of Commodity Exchange, Inc. BrokerTec is a trademark of BrokerTec Americas LLC and EBS is a trademark of EBS Group Limited. OSTTRA is a trademark of MarkitSERV Limited. Dow Jones, Dow Jones Industrial Average, S&amp;P 500 and S&amp;P are service and/or trademarks of Dow Jones Trademark Holdings LLC, Standard &amp; Poor's Financial Services LLC and S&amp;P Dow Jones Indices LLC, as the case may be, and have been licensed for use by Chicago Mercantile Exchange Inc. (CME). All other trademarks are the property of their respective owners.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93" w:lineRule="exact"/>
        <w:rPr>
          <w:sz w:val="20"/>
          <w:szCs w:val="20"/>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53"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63" w:lineRule="exact"/>
        <w:rPr>
          <w:rFonts w:ascii="Times New Roman" w:cs="Times New Roman" w:eastAsia="Times New Roman" w:hAnsi="Times New Roman"/>
          <w:sz w:val="18"/>
          <w:szCs w:val="18"/>
          <w:color w:val="auto"/>
        </w:rPr>
      </w:pPr>
    </w:p>
    <w:p>
      <w:pPr>
        <w:ind w:left="660" w:right="460" w:hanging="328"/>
        <w:spacing w:after="0" w:line="298"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ind w:left="660" w:right="6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63" w:lineRule="exact"/>
        <w:rPr>
          <w:rFonts w:ascii="Times New Roman" w:cs="Times New Roman" w:eastAsia="Times New Roman" w:hAnsi="Times New Roman"/>
          <w:sz w:val="18"/>
          <w:szCs w:val="18"/>
          <w:color w:val="auto"/>
        </w:rPr>
      </w:pPr>
    </w:p>
    <w:p>
      <w:pPr>
        <w:ind w:left="660" w:right="160" w:hanging="328"/>
        <w:spacing w:after="0" w:line="298"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660" w:right="5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0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1"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rely on;</w:t>
      </w:r>
    </w:p>
    <w:p>
      <w:pPr>
        <w:spacing w:after="0" w:line="1"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equity indices, fixed income instruments and foreign exchange rates;</w:t>
      </w:r>
    </w:p>
    <w:p>
      <w:pPr>
        <w:spacing w:after="0" w:line="1"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1" w:lineRule="exact"/>
        <w:rPr>
          <w:rFonts w:ascii="Times New Roman" w:cs="Times New Roman" w:eastAsia="Times New Roman" w:hAnsi="Times New Roman"/>
          <w:sz w:val="18"/>
          <w:szCs w:val="18"/>
          <w:color w:val="auto"/>
        </w:rPr>
      </w:pPr>
    </w:p>
    <w:p>
      <w:pPr>
        <w:ind w:left="660" w:right="78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63" w:lineRule="exact"/>
        <w:rPr>
          <w:rFonts w:ascii="Times New Roman" w:cs="Times New Roman" w:eastAsia="Times New Roman" w:hAnsi="Times New Roman"/>
          <w:sz w:val="18"/>
          <w:szCs w:val="18"/>
          <w:color w:val="auto"/>
        </w:rPr>
      </w:pPr>
    </w:p>
    <w:p>
      <w:pPr>
        <w:ind w:left="660" w:right="20" w:hanging="328"/>
        <w:spacing w:after="0" w:line="287"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and in trade processing/post trade services (OSTTRA), our primary business and distribution partners’ actions and our partnership with Google Cloud;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earnings on cash accounts and collateral that our clearing house holds for its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CME Group pricing and incentive changes;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aggregation services and internalization on trade flow and volumes;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financial impacts from changes to the terms of intellectual property and index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channel partner and customer consolidation and/or concentration;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effective tax rates, borrowing costs or changes in tax policy;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our Annual Report on Form 10-K for the year ended December 31, 2023, filed with the Securities and Exchange Commission on February 28, 2024 and Item 1A. in Part II of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3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CME GROUP INC. AND SUBSIDIARIES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(dollars in millions, except par value data; shares in thousands)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of $7.9 and $7.1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(includes $5.2 in 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90,192.5</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94,890.2</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net of accumulated depreciation and amortization of $958.8 and $931.1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3,050.2</w:t>
            </w: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10,495.3</w:t>
            </w:r>
          </w:p>
        </w:tc>
      </w:tr>
      <w:tr>
        <w:trPr>
          <w:trHeight w:val="229"/>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3,685.6</w:t>
            </w:r>
          </w:p>
        </w:tc>
      </w:tr>
      <w:tr>
        <w:trPr>
          <w:trHeight w:val="248"/>
        </w:trPr>
        <w:tc>
          <w:tcPr>
            <w:tcW w:w="40" w:type="dxa"/>
            <w:vAlign w:val="bottom"/>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129,706.1</w:t>
            </w:r>
          </w:p>
        </w:tc>
      </w:tr>
      <w:tr>
        <w:trPr>
          <w:trHeight w:val="20"/>
        </w:trPr>
        <w:tc>
          <w:tcPr>
            <w:tcW w:w="40" w:type="dxa"/>
            <w:vAlign w:val="bottom"/>
          </w:tcPr>
          <w:p>
            <w:pPr>
              <w:spacing w:after="0" w:line="20" w:lineRule="exact"/>
              <w:rPr>
                <w:sz w:val="1"/>
                <w:szCs w:val="1"/>
                <w:color w:val="auto"/>
              </w:rPr>
            </w:pPr>
          </w:p>
        </w:tc>
        <w:tc>
          <w:tcPr>
            <w:tcW w:w="78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3,133.8</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90,192.5</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93,416.9</w:t>
            </w: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3,425.4</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5,327.7</w:t>
            </w:r>
          </w:p>
        </w:tc>
      </w:tr>
      <w:tr>
        <w:trPr>
          <w:trHeight w:val="230"/>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w:t>
            </w:r>
          </w:p>
        </w:tc>
      </w:tr>
      <w:tr>
        <w:trPr>
          <w:trHeight w:val="223"/>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102,968.2</w:t>
            </w:r>
          </w:p>
        </w:tc>
      </w:tr>
      <w:tr>
        <w:trPr>
          <w:trHeight w:val="142"/>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$0.01 par value, 10,000 shares authorized as of March 31, 2024 and December 31,</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2023; 4,584 issued and outstanding as of March 31, 2024 and December 31, 2023</w:t>
            </w:r>
          </w:p>
        </w:tc>
        <w:tc>
          <w:tcPr>
            <w:tcW w:w="2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at March 31, 2024 and</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December 31, 2023; 359,322 and 359,231 shares issued and outstanding as of March 31, 2024 and</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March 31,</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2024 and December 31, 2023</w:t>
            </w:r>
          </w:p>
        </w:tc>
        <w:tc>
          <w:tcPr>
            <w:tcW w:w="2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22,334.7</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4,455.2</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3"/>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26,737.9</w:t>
            </w:r>
          </w:p>
        </w:tc>
      </w:tr>
      <w:tr>
        <w:trPr>
          <w:trHeight w:val="248"/>
        </w:trPr>
        <w:tc>
          <w:tcPr>
            <w:tcW w:w="4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129,706.1</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80" w:type="dxa"/>
            <w:vAlign w:val="bottom"/>
          </w:tcPr>
          <w:p>
            <w:pPr>
              <w:spacing w:after="0"/>
              <w:rPr>
                <w:sz w:val="16"/>
                <w:szCs w:val="16"/>
                <w:color w:val="auto"/>
              </w:rPr>
            </w:pPr>
          </w:p>
        </w:tc>
      </w:tr>
      <w:tr>
        <w:trPr>
          <w:trHeight w:val="203"/>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r>
      <w:tr>
        <w:trPr>
          <w:trHeight w:val="162"/>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CME Group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of CME Group:</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358,933</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359,313</w:t>
            </w: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6"/>
                <w:szCs w:val="16"/>
                <w:color w:val="auto"/>
              </w:rPr>
            </w:pPr>
          </w:p>
        </w:tc>
      </w:tr>
      <w:tr>
        <w:trPr>
          <w:trHeight w:val="203"/>
        </w:trPr>
        <w:tc>
          <w:tcPr>
            <w:tcW w:w="8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7"/>
                <w:szCs w:val="17"/>
                <w:color w:val="auto"/>
              </w:rPr>
            </w:pPr>
          </w:p>
        </w:tc>
      </w:tr>
      <w:tr>
        <w:trPr>
          <w:trHeight w:val="23"/>
        </w:trPr>
        <w:tc>
          <w:tcPr>
            <w:tcW w:w="8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855.2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securities: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8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76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7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plans: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8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investments: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Reclassification of net unrealized (gains) losses to interest expense and other non-operating income (expense)</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824.7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millions, except per share data; shares in thousands)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1060"/>
        <w:spacing w:after="0" w:line="276" w:lineRule="auto"/>
        <w:rPr>
          <w:sz w:val="20"/>
          <w:szCs w:val="20"/>
          <w:color w:val="auto"/>
        </w:rPr>
      </w:pPr>
      <w:r>
        <w:rPr>
          <w:rFonts w:ascii="Times New Roman" w:cs="Times New Roman" w:eastAsia="Times New Roman" w:hAnsi="Times New Roman"/>
          <w:sz w:val="18"/>
          <w:szCs w:val="18"/>
          <w:color w:val="auto"/>
        </w:rPr>
        <w:t>Balance at December 31, 2023 Net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Dividends on common and preferred stock of $1.15 per share</w:t>
      </w:r>
    </w:p>
    <w:p>
      <w:pPr>
        <w:spacing w:after="0" w:line="10" w:lineRule="exact"/>
        <w:rPr>
          <w:sz w:val="20"/>
          <w:szCs w:val="20"/>
          <w:color w:val="auto"/>
        </w:rPr>
      </w:pPr>
    </w:p>
    <w:p>
      <w:pPr>
        <w:ind w:left="20" w:right="4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20" w:right="1240"/>
        <w:spacing w:after="0" w:line="329" w:lineRule="auto"/>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b w:val="1"/>
          <w:bCs w:val="1"/>
          <w:color w:val="auto"/>
        </w:rPr>
        <w:t>Balance at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0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6"/>
        </w:trPr>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6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26,737.9</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359,322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27,154.2</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-1311275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-1010920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-599440</wp:posOffset>
            </wp:positionV>
            <wp:extent cx="713232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-187960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3300" w:space="160"/>
            <w:col w:w="77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EQUITY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350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9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0" w:type="dxa"/>
            <w:vAlign w:val="bottom"/>
          </w:tcPr>
          <w:p>
            <w:pPr>
              <w:spacing w:after="0"/>
              <w:rPr>
                <w:sz w:val="1"/>
                <w:szCs w:val="1"/>
                <w:color w:val="auto"/>
              </w:rPr>
            </w:pPr>
          </w:p>
        </w:tc>
      </w:tr>
      <w:tr>
        <w:trPr>
          <w:trHeight w:val="148"/>
        </w:trPr>
        <w:tc>
          <w:tcPr>
            <w:tcW w:w="8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6"/>
        </w:trPr>
        <w:tc>
          <w:tcPr>
            <w:tcW w:w="112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8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8240" w:space="480"/>
            <w:col w:w="2420"/>
          </w:cols>
          <w:pgMar w:left="320" w:top="121" w:right="439" w:bottom="1440" w:gutter="0" w:footer="0" w:header="0"/>
        </w:sectPr>
      </w:pPr>
    </w:p>
    <w:p>
      <w:pPr>
        <w:spacing w:after="0" w:line="4" w:lineRule="exact"/>
        <w:rPr>
          <w:sz w:val="20"/>
          <w:szCs w:val="20"/>
          <w:color w:val="auto"/>
        </w:rPr>
      </w:pPr>
    </w:p>
    <w:p>
      <w:pPr>
        <w:ind w:left="120" w:right="760"/>
        <w:spacing w:after="0" w:line="276" w:lineRule="auto"/>
        <w:rPr>
          <w:sz w:val="20"/>
          <w:szCs w:val="20"/>
          <w:color w:val="auto"/>
        </w:rPr>
      </w:pPr>
      <w:r>
        <w:rPr>
          <w:rFonts w:ascii="Times New Roman" w:cs="Times New Roman" w:eastAsia="Times New Roman" w:hAnsi="Times New Roman"/>
          <w:sz w:val="18"/>
          <w:szCs w:val="18"/>
          <w:color w:val="auto"/>
        </w:rPr>
        <w:t>Balance at December 31, 2022 Net income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120"/>
        <w:spacing w:after="0" w:line="234" w:lineRule="auto"/>
        <w:rPr>
          <w:sz w:val="20"/>
          <w:szCs w:val="20"/>
          <w:color w:val="auto"/>
        </w:rPr>
      </w:pPr>
      <w:r>
        <w:rPr>
          <w:rFonts w:ascii="Times New Roman" w:cs="Times New Roman" w:eastAsia="Times New Roman" w:hAnsi="Times New Roman"/>
          <w:sz w:val="18"/>
          <w:szCs w:val="18"/>
          <w:color w:val="auto"/>
        </w:rPr>
        <w:t>Dividends on common stock of $1.10 per share</w:t>
      </w:r>
    </w:p>
    <w:p>
      <w:pPr>
        <w:spacing w:after="0" w:line="10" w:lineRule="exact"/>
        <w:rPr>
          <w:sz w:val="20"/>
          <w:szCs w:val="20"/>
          <w:color w:val="auto"/>
        </w:rPr>
      </w:pPr>
    </w:p>
    <w:p>
      <w:pPr>
        <w:ind w:left="120" w:right="42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120" w:right="940"/>
        <w:spacing w:after="0" w:line="329" w:lineRule="auto"/>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b w:val="1"/>
          <w:bCs w:val="1"/>
          <w:color w:val="auto"/>
        </w:rPr>
        <w:t>Balance at March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358,929</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4,746.8</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26,878.7</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41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358,931</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27,384.4</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-1311275</wp:posOffset>
            </wp:positionV>
            <wp:extent cx="701230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-1010920</wp:posOffset>
            </wp:positionV>
            <wp:extent cx="701230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-599440</wp:posOffset>
            </wp:positionV>
            <wp:extent cx="7012305"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2305" cy="265430"/>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-187960</wp:posOffset>
            </wp:positionV>
            <wp:extent cx="701230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3100" w:space="240"/>
            <w:col w:w="7800"/>
          </w:cols>
          <w:pgMar w:left="320" w:top="121" w:right="439" w:bottom="1440" w:gutter="0" w:footer="0" w:header="0"/>
          <w:type w:val="continuous"/>
        </w:sect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140"/>
          </w:cols>
          <w:pgMar w:left="320" w:top="12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Quarter Ended</w:t>
      </w:r>
    </w:p>
    <w:p>
      <w:pPr>
        <w:spacing w:after="0" w:line="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3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r>
      <w:tr>
        <w:trPr>
          <w:trHeight w:val="236"/>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right="3660"/>
        <w:spacing w:after="0" w:line="292" w:lineRule="auto"/>
        <w:rPr>
          <w:sz w:val="20"/>
          <w:szCs w:val="20"/>
          <w:color w:val="auto"/>
        </w:rPr>
      </w:pPr>
      <w:r>
        <w:rPr>
          <w:rFonts w:ascii="Times New Roman" w:cs="Times New Roman" w:eastAsia="Times New Roman" w:hAnsi="Times New Roman"/>
          <w:sz w:val="18"/>
          <w:szCs w:val="18"/>
          <w:color w:val="auto"/>
        </w:rPr>
        <w:t>Proceeds from maturities of available-for-sale marketable securities Purchases of available-for-sale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Purchases of property, net</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in privately-held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1.7</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(1.2)</w:t>
      </w:r>
    </w:p>
    <w:p>
      <w:pPr>
        <w:spacing w:after="0" w:line="21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7"/>
          <w:szCs w:val="17"/>
          <w:color w:val="auto"/>
        </w:rPr>
        <w:t>(19.8)</w:t>
      </w:r>
    </w:p>
    <w:p>
      <w:pPr>
        <w:spacing w:after="0" w:line="3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(3.5)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24765</wp:posOffset>
            </wp:positionV>
            <wp:extent cx="865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0.7</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(0.3)</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(15.2)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17145</wp:posOffset>
            </wp:positionV>
            <wp:extent cx="8661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580" w:space="720"/>
            <w:col w:w="740" w:space="720"/>
            <w:col w:w="460"/>
          </w:cols>
          <w:pgMar w:left="320" w:top="121" w:right="359" w:bottom="1440" w:gutter="0" w:footer="0" w:header="0"/>
          <w:type w:val="continuous"/>
        </w:sectPr>
      </w:pP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(2,035.6)</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performance bond and guaranty fund contributions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(7,158.5)</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(9,198.5)</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7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Quarter Ended</w:t>
      </w:r>
    </w:p>
    <w:p>
      <w:pPr>
        <w:spacing w:after="0" w:line="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restricted cash and restricted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(8,313.3)</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137,974.3</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129,661.0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restricted cash and restricted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1,565.2</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restricted cash equivalents (performance bonds and guaranty fund contributions)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128,090.7</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129,661.0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proceeds from sale of investments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March 31, 2024 and December 31, 2023 and the results of operations and cash flows for the periods indicated. Quarterly results are not necessarily indicative of results for any subsequent period.</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should be read in conjunction with the consolidated financial statements and notes thereto in CME Group’s Annual Report on Form 10-K for the year ended December 31, 2023, filed with the Securities and Exchange Commission (SEC) on February 28,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electronic trading fees and brokerage commissions, surcharges for privately-negotiated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4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non-cash collateral management, equity membership subscription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for 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non-cash collateral on deposit with the clearing house to meet their minimum performance bond and guaranty fund obligations on the exchange. These fees are calculated based on daily non-cash collateral balances and are billed monthly. This fee revenue is recognized monthly as billed as the customers receive and consume the benefits of the services. The company also has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by product line for the quarters ended March 31, 2024 and 2023:</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94"/>
        </w:trPr>
        <w:tc>
          <w:tcPr>
            <w:tcW w:w="9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r>
      <w:tr>
        <w:trPr>
          <w:trHeight w:val="196"/>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9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first quarter of March 31, 2024 were not materially impacted by any other factors. The balance of contract liabilities was $54.5 million and $13.2 million as of March 31, 2024 and December 31, 2023,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Performance Bonds and Guaranty Fund Contributions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Bonds and Guaranty Fund Contribution Reinvestment. </w:t>
      </w:r>
      <w:r>
        <w:rPr>
          <w:rFonts w:ascii="Times New Roman" w:cs="Times New Roman" w:eastAsia="Times New Roman" w:hAnsi="Times New Roman"/>
          <w:sz w:val="18"/>
          <w:szCs w:val="18"/>
          <w:color w:val="auto"/>
        </w:rPr>
        <w:t>CME reinvests cash performance bonds and guaranty fund contributions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March 31, 2024, CME maintained $86.4 billion within the cash account at the Federal Reserve Bank of Chicago. The cash deposit at the Federal Reserve Bank of Chicago is included within performance bonds and guaranty fund contributions on the consolidated balance sheets. Cash performance bonds and guaranty fund contributions are included as restricted cash and cash equivalents on the consolidated statements of cash flows.</w:t>
      </w:r>
    </w:p>
    <w:p>
      <w:pPr>
        <w:spacing w:after="0" w:line="7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first quarter of 2024 and 2023, earnings from cash performance bond and guaranty fund contributions were $1,036.7 million and $1,256.3 million, respectively. In the first quarter of 2024 and 2023, expense related to the distribution of interest earned on collateral reinvestments were $967.4 million and $1,163.5 million, respectively.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7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Clearing House Contract Settlement. </w:t>
      </w:r>
      <w:r>
        <w:rPr>
          <w:rFonts w:ascii="Times New Roman" w:cs="Times New Roman" w:eastAsia="Times New Roman" w:hAnsi="Times New Roman"/>
          <w:sz w:val="18"/>
          <w:szCs w:val="18"/>
          <w:color w:val="auto"/>
        </w:rPr>
        <w:t>The clearing house marks-to-market open positions at least once a day (twice a day for all futures and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losses, the maximum exposure related to positions other than cleared-only interest rate swap contracts would be one half day of changes in fair value of all open positions, before considering the clearing house’s ability to access defaulting clearing firms' collateral deposits.</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the clearing house transferred an average of approximately $5.2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March 31, 2024 and December 31, 2023. The company does not have a history of significant losses recognized on performance bond collateral as posted by our clearing members,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 and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March 31, 2024 and December 31, 2023:</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1"/>
                <w:szCs w:val="11"/>
                <w:color w:val="auto"/>
              </w:rPr>
            </w:pPr>
          </w:p>
        </w:tc>
        <w:tc>
          <w:tcPr>
            <w:tcW w:w="82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84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76"/>
        </w:trPr>
        <w:tc>
          <w:tcPr>
            <w:tcW w:w="47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Clearing firm, market data and other customer relationships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2,511.5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(2,124.9)</w:t>
            </w:r>
          </w:p>
        </w:tc>
        <w:tc>
          <w:tcPr>
            <w:tcW w:w="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2,569.5</w:t>
            </w: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Technology-related intellectual property</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 – other,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Trading products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17,175.3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0" w:hanging="328"/>
        <w:spacing w:after="0" w:line="269"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intangible assets was $55.2 million and $56.8 million for the quarters ended March 31,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future estimated amortization expense related to amortizable intangible assets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60" w:type="dxa"/>
            <w:vAlign w:val="bottom"/>
          </w:tcPr>
          <w:p>
            <w:pPr>
              <w:spacing w:after="0"/>
              <w:rPr>
                <w:sz w:val="16"/>
                <w:szCs w:val="16"/>
                <w:color w:val="auto"/>
              </w:rPr>
            </w:pPr>
          </w:p>
        </w:tc>
        <w:tc>
          <w:tcPr>
            <w:tcW w:w="1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52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periods ended March 31, 2024 and December 31, 2023</w:t>
      </w:r>
      <w:r>
        <w:rPr>
          <w:rFonts w:ascii="Times New Roman" w:cs="Times New Roman" w:eastAsia="Times New Roman" w:hAnsi="Times New Roman"/>
          <w:sz w:val="16"/>
          <w:szCs w:val="16"/>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23"/>
        </w:trPr>
        <w:tc>
          <w:tcPr>
            <w:tcW w:w="7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left="1074"/>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10,489.6</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Debt</w:t>
            </w: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consisted of the following at March 31, 2024 and December 31, 2023:</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center"/>
              <w:ind w:left="109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center"/>
              <w:ind w:left="109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200" w:hanging="328"/>
        <w:spacing w:after="0" w:line="237"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at March 31, 2024 and December 31,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 stated rate of 3.75%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 stated rate of 2.65%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r>
      <w:tr>
        <w:trPr>
          <w:trHeight w:val="230"/>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million fixed rate notes due September 2043, stated rate of 5.30%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 stated rate of 4.15%</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3,425.4</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right="20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and long-term debt maturities, at par value, were as follows at March 31,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00" w:type="dxa"/>
            <w:vAlign w:val="bottom"/>
          </w:tcPr>
          <w:p>
            <w:pPr>
              <w:spacing w:after="0"/>
              <w:rPr>
                <w:sz w:val="16"/>
                <w:szCs w:val="16"/>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53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Contingencies</w:t>
      </w:r>
    </w:p>
    <w:p>
      <w:pPr>
        <w:spacing w:after="0" w:line="11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No trial date has been set. Given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uncertainty of factors that may potentially affect the resolution of the matter, at this time the company is unable to estimate the reasonably possible loss or range of reasonably possible losses in the unlikely event it were found to be liable at trial. Based on its investigation to date, the company believes that it has strong factual and legal defenses to the claims.</w:t>
      </w:r>
    </w:p>
    <w:p>
      <w:pPr>
        <w:spacing w:after="0" w:line="4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accrual was required for contingent legal and regulatory matters as none were probable and estimable as of March 31, 2024 and December 31, 2023.</w:t>
      </w:r>
    </w:p>
    <w:p>
      <w:pPr>
        <w:spacing w:after="0" w:line="1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Intellectual Property Indemnifications</w:t>
      </w:r>
      <w:r>
        <w:rPr>
          <w:rFonts w:ascii="Times New Roman" w:cs="Times New Roman" w:eastAsia="Times New Roman" w:hAnsi="Times New Roman"/>
          <w:sz w:val="18"/>
          <w:szCs w:val="18"/>
          <w:color w:val="auto"/>
        </w:rPr>
        <w:t>. 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SPAN and SPAN 2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corporate offices. The operating leases have remaining lease terms of up to 14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 center in March 2016. In connection with the sale, the company leased back a portion of the property. The transaction was recognized under the financing method and not as a sale leaseback arrangement.</w:t>
      </w:r>
    </w:p>
    <w:p>
      <w:pPr>
        <w:spacing w:after="0" w:line="4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60" w:type="dxa"/>
            <w:vAlign w:val="bottom"/>
          </w:tcPr>
          <w:p>
            <w:pPr>
              <w:spacing w:after="0"/>
              <w:rPr>
                <w:sz w:val="13"/>
                <w:szCs w:val="13"/>
                <w:color w:val="auto"/>
              </w:rPr>
            </w:pPr>
          </w:p>
        </w:tc>
      </w:tr>
      <w:tr>
        <w:trPr>
          <w:trHeight w:val="194"/>
        </w:trPr>
        <w:tc>
          <w:tcPr>
            <w:tcW w:w="7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r>
      <w:tr>
        <w:trPr>
          <w:trHeight w:val="19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included in other expense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0"/>
        </w:trPr>
        <w:tc>
          <w:tcPr>
            <w:tcW w:w="7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revenue included in other revenue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80" w:type="dxa"/>
            <w:vAlign w:val="bottom"/>
          </w:tcPr>
          <w:p>
            <w:pPr>
              <w:jc w:val="center"/>
              <w:ind w:right="1208"/>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94"/>
        </w:trPr>
        <w:tc>
          <w:tcPr>
            <w:tcW w:w="74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58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2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leases</w:t>
            </w: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264.5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7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333.1</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380.6</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2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60.7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7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57.2</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7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65.7</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432"/>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 as of March 31, 2024 for operating and finance leases:</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7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7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4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6"/>
                <w:szCs w:val="16"/>
                <w:color w:val="auto"/>
              </w:rPr>
            </w:pPr>
          </w:p>
        </w:tc>
        <w:tc>
          <w:tcPr>
            <w:tcW w:w="18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9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Guarantees</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April 2025.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two-year period after April 2025 unless either party provides advance notice of their intent to terminate. CME can maintain collateral in the form of irrevocable, standby letters of credit. At March 31, 2024, CME was contingently liable to SGX on letters of credit totaling $285.0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March 31, 2024 and December 31, 2023.</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nominal and therefore has not recorded any liability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level 2 assets and liabilities generally consist of long-term debt notes. The fair values of the long-term debt notes were based on quoted market prices in an inactive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level 3 assets and liabilities include certain investments that were adjusted to fair value.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and liabilities recorded at fair value on the consolidated balance sheet as of March 31,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The company recognized an unrealized gain on investments of $1.5 million on an equity investment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 The fair value of this investment was estimated to be $10.1 million at March 31, 2024. This fair value assessment was based on quantitative factors, including observable price changes. The fair value measurement of this investment is considered level 3 and non-recurring.</w:t>
      </w:r>
    </w:p>
    <w:p>
      <w:pPr>
        <w:spacing w:after="0" w:line="119"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Long-Term Debt Notes. </w:t>
      </w:r>
      <w:r>
        <w:rPr>
          <w:rFonts w:ascii="Times New Roman" w:cs="Times New Roman" w:eastAsia="Times New Roman" w:hAnsi="Times New Roman"/>
          <w:sz w:val="18"/>
          <w:szCs w:val="18"/>
          <w:color w:val="auto"/>
        </w:rPr>
        <w:t>The following presents the estimated fair values of long-term debt notes, which are carried at amortized cost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The fair values below are classified as level 2 under the fair value hierarchy and were estimated using quoted market prices in inactive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fair values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4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28"/>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2025</w:t>
            </w:r>
          </w:p>
        </w:tc>
        <w:tc>
          <w:tcPr>
            <w:tcW w:w="54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734.9</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54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485.8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w:t>
            </w:r>
          </w:p>
        </w:tc>
        <w:tc>
          <w:tcPr>
            <w:tcW w:w="54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650.3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2043</w:t>
            </w:r>
          </w:p>
        </w:tc>
        <w:tc>
          <w:tcPr>
            <w:tcW w:w="54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758.6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54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615.3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878"/>
        </w:trPr>
        <w:tc>
          <w:tcPr>
            <w:tcW w:w="4640" w:type="dxa"/>
            <w:vAlign w:val="bottom"/>
          </w:tcPr>
          <w:p>
            <w:pPr>
              <w:spacing w:after="0"/>
              <w:rPr>
                <w:sz w:val="24"/>
                <w:szCs w:val="24"/>
                <w:color w:val="auto"/>
              </w:rPr>
            </w:pPr>
          </w:p>
        </w:tc>
        <w:tc>
          <w:tcPr>
            <w:tcW w:w="5460" w:type="dxa"/>
            <w:vAlign w:val="bottom"/>
          </w:tcPr>
          <w:p>
            <w:pPr>
              <w:jc w:val="right"/>
              <w:ind w:right="4293"/>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 Anti-dilutive stock awards were as follows for the periods presented:</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16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r>
      <w:tr>
        <w:trPr>
          <w:trHeight w:val="194"/>
        </w:trPr>
        <w:tc>
          <w:tcPr>
            <w:tcW w:w="8860" w:type="dxa"/>
            <w:vAlign w:val="bottom"/>
          </w:tcPr>
          <w:p>
            <w:pPr>
              <w:spacing w:after="0"/>
              <w:rPr>
                <w:sz w:val="16"/>
                <w:szCs w:val="16"/>
                <w:color w:val="auto"/>
              </w:rPr>
            </w:pPr>
          </w:p>
        </w:tc>
        <w:tc>
          <w:tcPr>
            <w:tcW w:w="1620" w:type="dxa"/>
            <w:vAlign w:val="bottom"/>
            <w:tcBorders>
              <w:bottom w:val="single" w:sz="8" w:color="auto"/>
            </w:tcBorders>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r>
      <w:tr>
        <w:trPr>
          <w:trHeight w:val="190"/>
        </w:trPr>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2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9"/>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8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bottom w:val="single" w:sz="8" w:color="auto"/>
            </w:tcBorders>
          </w:tcPr>
          <w:p>
            <w:pPr>
              <w:spacing w:after="0"/>
              <w:rPr>
                <w:sz w:val="16"/>
                <w:szCs w:val="16"/>
                <w:color w:val="auto"/>
              </w:rPr>
            </w:pPr>
          </w:p>
        </w:tc>
        <w:tc>
          <w:tcPr>
            <w:tcW w:w="8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8"/>
                <w:szCs w:val="18"/>
                <w:i w:val="1"/>
                <w:iCs w:val="1"/>
                <w:color w:val="auto"/>
              </w:rPr>
              <w:t>(in millions)</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earnings allocated to preferred stock</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8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8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Effect of stock options, restricted stock and performance shares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Common Shareholders of CME Group:</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9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The company has determined that there were no subsequent events that met the requirement for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2023, filed with the SEC on February 28, 2024.</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4"/>
        </w:trPr>
        <w:tc>
          <w:tcPr>
            <w:tcW w:w="7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data)</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1,487.9</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1,441.6</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527.9</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243.2</w:t>
            </w:r>
          </w:p>
        </w:tc>
        <w:tc>
          <w:tcPr>
            <w:tcW w:w="2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855.2</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883.8</w:t>
            </w:r>
          </w:p>
        </w:tc>
        <w:tc>
          <w:tcPr>
            <w:tcW w:w="2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892.7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902.4</w:t>
            </w:r>
          </w:p>
        </w:tc>
        <w:tc>
          <w:tcPr>
            <w:tcW w:w="2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60" w:type="dxa"/>
            <w:vAlign w:val="bottom"/>
          </w:tcPr>
          <w:p>
            <w:pPr>
              <w:spacing w:after="0"/>
              <w:rPr>
                <w:sz w:val="23"/>
                <w:szCs w:val="23"/>
                <w:color w:val="auto"/>
              </w:rPr>
            </w:pPr>
          </w:p>
        </w:tc>
      </w:tr>
      <w:tr>
        <w:trPr>
          <w:trHeight w:val="196"/>
        </w:trPr>
        <w:tc>
          <w:tcPr>
            <w:tcW w:w="7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 Contracts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1,608.0</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1,117.8</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0.695</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0.664</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estimate the following net change in clearing and transaction fees based on the change in total contract volume and the change in average rate per contract for futures and options during the first quarter of 2024 when compared with the same period in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23"/>
        </w:trPr>
        <w:tc>
          <w:tcPr>
            <w:tcW w:w="10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a change in total contract volume</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10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due to a change in average rate per contract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5"/>
              </w:rPr>
              <w:t>52.6</w:t>
            </w:r>
          </w:p>
        </w:tc>
      </w:tr>
      <w:tr>
        <w:trPr>
          <w:trHeight w:val="223"/>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clearing and transaction fees</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5"/>
              </w:rPr>
              <w:t>12.2</w:t>
            </w: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Volume</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20" w:type="dxa"/>
            <w:vAlign w:val="bottom"/>
          </w:tcPr>
          <w:p>
            <w:pPr>
              <w:spacing w:after="0"/>
              <w:rPr>
                <w:sz w:val="13"/>
                <w:szCs w:val="13"/>
                <w:color w:val="auto"/>
              </w:rPr>
            </w:pPr>
          </w:p>
        </w:tc>
      </w:tr>
      <w:tr>
        <w:trPr>
          <w:trHeight w:val="196"/>
        </w:trPr>
        <w:tc>
          <w:tcPr>
            <w:tcW w:w="8020" w:type="dxa"/>
            <w:vAlign w:val="bottom"/>
          </w:tcPr>
          <w:p>
            <w:pPr>
              <w:spacing w:after="0"/>
              <w:rPr>
                <w:sz w:val="17"/>
                <w:szCs w:val="17"/>
                <w:color w:val="auto"/>
              </w:rPr>
            </w:pPr>
          </w:p>
        </w:tc>
        <w:tc>
          <w:tcPr>
            <w:tcW w:w="1480" w:type="dxa"/>
            <w:vAlign w:val="bottom"/>
            <w:tcBorders>
              <w:bottom w:val="single" w:sz="8" w:color="auto"/>
            </w:tcBorders>
            <w:gridSpan w:val="3"/>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14,490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7,303</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1,379</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2,083</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649</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26,360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26,873</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23,986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24,170</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1,623</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1,080</w:t>
            </w:r>
          </w:p>
        </w:tc>
        <w:tc>
          <w:tcPr>
            <w:tcW w:w="102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26,873</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20" w:type="dxa"/>
            <w:vAlign w:val="bottom"/>
          </w:tcPr>
          <w:p>
            <w:pPr>
              <w:spacing w:after="0"/>
              <w:rPr>
                <w:sz w:val="20"/>
                <w:szCs w:val="20"/>
                <w:color w:val="auto"/>
              </w:rPr>
            </w:pPr>
          </w:p>
        </w:tc>
      </w:tr>
    </w:tbl>
    <w:p>
      <w:pPr>
        <w:spacing w:after="0" w:line="19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Market volatility within certain financial markets declined throughout the first quarter of 2024 following very high volatility in the first quarter of 2023. Interest rate and equity volatility were elevated due to significant market uncertainty in the first quarter of 2023 following the collapse of two U.S. regional banks as well as uncertainty surrounding the United States Federal Reserve’s (Federal Reserve) interest rate policy decision. The Federal Open Markets Committee (FOMC) raised the federal funds rate multiple times throughout 2023 but has initially signaled the potential for future rate cuts, as a result of easing inflation. Energy and agricultural commodities markets were more volatile in the first quarter of 2024 mainly as a result of uncertain weather conditions, which led to higher volumes within those markets. We believe these factors contributed to total volumes decreasing slightly in the first quarter of 2024 when compared with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 We no longer offer Eurodollar contract trading as of June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Eurodollar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2,661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2,004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926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3,138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1,954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967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671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r>
    </w:tbl>
    <w:p>
      <w:pPr>
        <w:spacing w:after="0" w:line="17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In the first quarter of 2024, overall interest rate contract volume decreased slightly when compared with the same period in 2023. The first quarter of 2023 saw significant interest rate volatility following interest rate hikes by the FOMC as well as market uncertainty following the collapse of two U.S. regional banks. U.S. Treasury volume increased in the first quarter of 2024 when compared with the same period in 2023 due to a shift in market expectations regarding the Federal Reserve's interest rate policy following the FOMC's indication of fewer rate cuts in the near future than previously anticipated.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4"/>
        </w:trPr>
        <w:tc>
          <w:tcPr>
            <w:tcW w:w="7500" w:type="dxa"/>
            <w:vAlign w:val="bottom"/>
          </w:tcPr>
          <w:p>
            <w:pPr>
              <w:spacing w:after="0"/>
              <w:rPr>
                <w:sz w:val="16"/>
                <w:szCs w:val="16"/>
                <w:color w:val="auto"/>
              </w:rPr>
            </w:pP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r>
      <w:tr>
        <w:trPr>
          <w:trHeight w:val="196"/>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16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4,075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400" w:type="dxa"/>
            <w:vAlign w:val="bottom"/>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7"/>
              </w:rPr>
              <w:t>(11)%</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164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2,036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40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16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337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first quarter of 2024, equity index contract volume decreased when compared with the same period in 2023, which we believe was due to lower overall equity volatility. The first quarter of 2023 saw significant market volatility as a result of the regional banking crisis as well as continued uncertainty surrounding the Federal Reserve's interest rate policy decisions. We believe these factors led to lower overall equity contract volume in the first quarter of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4"/>
        </w:trPr>
        <w:tc>
          <w:tcPr>
            <w:tcW w:w="7500" w:type="dxa"/>
            <w:vAlign w:val="bottom"/>
          </w:tcPr>
          <w:p>
            <w:pPr>
              <w:spacing w:after="0"/>
              <w:rPr>
                <w:sz w:val="16"/>
                <w:szCs w:val="16"/>
                <w:color w:val="auto"/>
              </w:rPr>
            </w:pPr>
          </w:p>
        </w:tc>
        <w:tc>
          <w:tcPr>
            <w:tcW w:w="16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r>
      <w:tr>
        <w:trPr>
          <w:trHeight w:val="196"/>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64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257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64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rPr>
              <w:t>184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64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114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64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rPr>
              <w:t>110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r>
    </w:tbl>
    <w:p>
      <w:pPr>
        <w:spacing w:after="0" w:line="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first quarter of 2024, overall foreign exchange volume increased slightly when compared with the same period in 2023. Continued uncertainty surrounding monetary policy expectations from the Federal Reserve and global central banks resulted in slightly higher volume compared with the same period in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agricultural commodity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6"/>
        </w:trPr>
        <w:tc>
          <w:tcPr>
            <w:tcW w:w="7500" w:type="dxa"/>
            <w:vAlign w:val="bottom"/>
          </w:tcPr>
          <w:p>
            <w:pPr>
              <w:spacing w:after="0"/>
              <w:rPr>
                <w:sz w:val="17"/>
                <w:szCs w:val="17"/>
                <w:color w:val="auto"/>
              </w:rPr>
            </w:pP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16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473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164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351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16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214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5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Overall commodity contract volume increased in the first quarter of 2024 when compared with the same period in 2023. We believe this increase is due to higher overall market volatility as a result of a change in market expectations regarding grain supplies as well as weather conditions for 2024. In addition, the first quarter of 2023 saw lower overall volatility within the commodities markets due to risk aversion by market participants following price increases and global trade uncertainty resulting from the conflict between Russia and Ukraine. We believe these factors contributed to higher overall commodity volume in the first quarter of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energy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6"/>
        </w:trPr>
        <w:tc>
          <w:tcPr>
            <w:tcW w:w="7500" w:type="dxa"/>
            <w:vAlign w:val="bottom"/>
          </w:tcPr>
          <w:p>
            <w:pPr>
              <w:spacing w:after="0"/>
              <w:rPr>
                <w:sz w:val="17"/>
                <w:szCs w:val="17"/>
                <w:color w:val="auto"/>
              </w:rPr>
            </w:pP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16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1,084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64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848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16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376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Energy contract volume increased in the first quarter of 2024 when compared with the same period in 2023, which we believe was due to higher overall market volatility. Natural gas volatility was higher as a result of uncertain weather conditions in the U.S., which impacted prices throughout the quarter. In addition, crude oil volatility was slightly higher as a result of ongoing geopolitical issues in the Middle East as well economic uncertainty between the U.S. and China.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6"/>
        </w:trPr>
        <w:tc>
          <w:tcPr>
            <w:tcW w:w="7500" w:type="dxa"/>
            <w:vAlign w:val="bottom"/>
          </w:tcPr>
          <w:p>
            <w:pPr>
              <w:spacing w:after="0"/>
              <w:rPr>
                <w:sz w:val="17"/>
                <w:szCs w:val="17"/>
                <w:color w:val="auto"/>
              </w:rPr>
            </w:pP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6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394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64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137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16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95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r>
    </w:tbl>
    <w:p>
      <w:pPr>
        <w:spacing w:after="0" w:line="15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the first quarter of 2024, overall metal contract volume increased when compared with the same period in 2023, which we believe is due to higher market volatility within the copper market due to increased demand along with supply shortages. We believe this market volatility led to the overall increase in metal contract volume.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Rate per Contract</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average rate per contract increased in the first quarter 2024, when compared with the same period in 2023. The increase in the average rate per contract was primarily due to increases in our fee structure that went into effect on February 1, 2024. The increase is also due to a change in product mix. In the first quarter of 2024, equity index and interest rate contract volumes decreased by 3 percentage points as a percent of total volume, while all other products collectively increased by 3 percentage points. In general, equity index and interest rate products have a lower rate per contract compared with the remaining contracts.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Total clearing and transaction fees revenues in the first quarter of 2024 include $69.1 million of transaction fees attributable to the cash markets business, compared with $75.0 million in the first quarter of 2023. This revenue primarily includes BrokerTec Americas LLC's fixed income volume and EBS's foreign exchange volume.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40" w:type="dxa"/>
            <w:vAlign w:val="bottom"/>
          </w:tcPr>
          <w:p>
            <w:pPr>
              <w:spacing w:after="0"/>
              <w:rPr>
                <w:sz w:val="13"/>
                <w:szCs w:val="13"/>
                <w:color w:val="auto"/>
              </w:rPr>
            </w:pPr>
          </w:p>
        </w:tc>
      </w:tr>
      <w:tr>
        <w:trPr>
          <w:trHeight w:val="194"/>
        </w:trPr>
        <w:tc>
          <w:tcPr>
            <w:tcW w:w="74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3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8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first quarter 2024 and 2023 were as follows: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2"/>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7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billions)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282.3</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340" w:type="dxa"/>
            <w:vAlign w:val="bottom"/>
          </w:tcPr>
          <w:p>
            <w:pPr>
              <w:spacing w:after="0"/>
              <w:rPr>
                <w:sz w:val="19"/>
                <w:szCs w:val="19"/>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102.2</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51.9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Overall average daily notional values and transactions revenue for the cash markets business and spot FX business was lower in the first quarter of 2024 when compared with the same period 2023. We believe the decrease in U.S. Treasury, European Repo, and spot FX volumes were due to lower overall volatility when compared to the first quarter of 2023. The first quarter of 2023 saw higher volatility as a result of the regional banking crisis in the U.S. as well as uncertainty surrounding the Federal Reserve's interest rate policy decision. We believe these factors led to the overall decrease in cash market contract volume.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individual firm represented at approximately 10% of our clearing and transaction fees in the first quarter of 2024.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Market data and information services</w:t>
      </w:r>
      <w:r>
        <w:rPr>
          <w:rFonts w:ascii="Times New Roman" w:cs="Times New Roman" w:eastAsia="Times New Roman" w:hAnsi="Times New Roman"/>
          <w:sz w:val="18"/>
          <w:szCs w:val="18"/>
          <w:color w:val="auto"/>
        </w:rPr>
        <w:t>. During the first quarter of 2024, overall market data and information services revenues increased when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same period in 2023, largely due to price increases for certain products.</w:t>
      </w:r>
    </w:p>
    <w:p>
      <w:pPr>
        <w:spacing w:after="0" w:line="5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approximately 30% of our market data and information services revenue in the first quarter of 2024.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In the first quarter of 2024, the increase in other revenues when compared with the same period in 2023 was largely attributable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custody fees due to a fee increase as well as increases in co-location and other connectivity fees.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6"/>
        </w:trPr>
        <w:tc>
          <w:tcPr>
            <w:tcW w:w="7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$0.4 million in the first quarter of 2024 when compared with the same period in 2023. The following table shows the estimated impacts of key factors resulting in the changes in operating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3"/>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95"/>
        </w:trPr>
        <w:tc>
          <w:tcPr>
            <w:tcW w:w="8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84"/>
        </w:trPr>
        <w:tc>
          <w:tcPr>
            <w:tcW w:w="8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8"/>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8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0" w:type="dxa"/>
            <w:vAlign w:val="bottom"/>
          </w:tcPr>
          <w:p>
            <w:pPr>
              <w:spacing w:after="0"/>
              <w:rPr>
                <w:sz w:val="1"/>
                <w:szCs w:val="1"/>
                <w:color w:val="auto"/>
              </w:rPr>
            </w:pPr>
          </w:p>
        </w:tc>
      </w:tr>
      <w:tr>
        <w:trPr>
          <w:trHeight w:val="22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7"/>
              </w:rPr>
              <w:t>8.3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fees</w:t>
            </w:r>
          </w:p>
        </w:tc>
        <w:tc>
          <w:tcPr>
            <w:tcW w:w="140" w:type="dxa"/>
            <w:vAlign w:val="bottom"/>
          </w:tcPr>
          <w:p>
            <w:pPr>
              <w:spacing w:after="0"/>
              <w:rPr>
                <w:sz w:val="19"/>
                <w:szCs w:val="19"/>
                <w:color w:val="auto"/>
              </w:rPr>
            </w:pPr>
          </w:p>
        </w:tc>
        <w:tc>
          <w:tcPr>
            <w:tcW w:w="920" w:type="dxa"/>
            <w:vAlign w:val="bottom"/>
          </w:tcPr>
          <w:p>
            <w:pPr>
              <w:jc w:val="center"/>
              <w:ind w:left="456"/>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1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140" w:type="dxa"/>
            <w:vAlign w:val="bottom"/>
          </w:tcPr>
          <w:p>
            <w:pPr>
              <w:spacing w:after="0"/>
              <w:rPr>
                <w:sz w:val="19"/>
                <w:szCs w:val="19"/>
                <w:color w:val="auto"/>
              </w:rPr>
            </w:pPr>
          </w:p>
        </w:tc>
        <w:tc>
          <w:tcPr>
            <w:tcW w:w="92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140" w:type="dxa"/>
            <w:vAlign w:val="bottom"/>
          </w:tcPr>
          <w:p>
            <w:pPr>
              <w:spacing w:after="0"/>
              <w:rPr>
                <w:sz w:val="19"/>
                <w:szCs w:val="19"/>
                <w:color w:val="auto"/>
              </w:rPr>
            </w:pPr>
          </w:p>
        </w:tc>
        <w:tc>
          <w:tcPr>
            <w:tcW w:w="92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increase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center"/>
              <w:ind w:left="456"/>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14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operating expenses in the first quarter of 2024 when compared with the same period in 2023 were as follows:</w:t>
      </w:r>
    </w:p>
    <w:p>
      <w:pPr>
        <w:spacing w:after="0" w:line="117" w:lineRule="exact"/>
        <w:rPr>
          <w:sz w:val="20"/>
          <w:szCs w:val="20"/>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expenses related to technology support services were primarily driven by higher software license fees and third party services to support the ongoing Google Cloud transformation project.</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were higher during the first quarter of 2024 when compared to the same period in 2023 primarily due to an increase in volume for certain equity products.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increased largely due to the acceleration of expense related to certain restricted stock and performance award grants.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operating expenses in the first quarter of 2024 when compared with the same period in 2023 were as follows:</w:t>
      </w:r>
    </w:p>
    <w:p>
      <w:pPr>
        <w:spacing w:after="0" w:line="117" w:lineRule="exact"/>
        <w:rPr>
          <w:sz w:val="20"/>
          <w:szCs w:val="20"/>
          <w:color w:val="auto"/>
        </w:rPr>
      </w:pP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building operations expense decreased during the first quarter of 2024 due to lower rent and real estate taxes compared to the first quarter of 2023.</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expense decreased largely due to our performance relative to our 2024 cash earnings target when compared with the same period in 2023.</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professional fees and outside services in the first quarter of 2024 is largely due to a decrease in costs associated with the Google Cloud Migration, which began in late 2021, as well as lower professional services and legal fees during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20" w:type="dxa"/>
            <w:vAlign w:val="bottom"/>
          </w:tcPr>
          <w:p>
            <w:pPr>
              <w:spacing w:after="0"/>
              <w:rPr>
                <w:sz w:val="13"/>
                <w:szCs w:val="13"/>
                <w:color w:val="auto"/>
              </w:rPr>
            </w:pPr>
          </w:p>
        </w:tc>
      </w:tr>
      <w:tr>
        <w:trPr>
          <w:trHeight w:val="194"/>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196"/>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2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2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Earnings from cash performance bond and guaranty fund contributions that are reinvested decreased in the first quarter of 2024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the same period in 2023, due to lower average reinvestment balances. In the first quarter of 2024 and 2023, earnings from cash performance bond and guaranty fund contributions were $1,036.7 million and $1,256.3 million, respectively. We also recognized lower net realized and unrealized gains on investments in the quarter of 2024.</w:t>
      </w:r>
    </w:p>
    <w:p>
      <w:pPr>
        <w:spacing w:after="0" w:line="7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in net earnings (losses) of unconsolidated subsidiaries. </w:t>
      </w:r>
      <w:r>
        <w:rPr>
          <w:rFonts w:ascii="Times New Roman" w:cs="Times New Roman" w:eastAsia="Times New Roman" w:hAnsi="Times New Roman"/>
          <w:sz w:val="18"/>
          <w:szCs w:val="18"/>
          <w:color w:val="auto"/>
        </w:rPr>
        <w:t>Higher income generated from our S&amp;P/Dow Jones Indices LLC (S&amp;P/DJI)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contributed to an increase in equity in net earnings of unconsolidated subsidiaries in the first quarter of 2024 when compared with the same period in 2023.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We recognized lower expense related to the distribution of interest earned on performance bond collateral reinvestments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clearing firms in conjunction with lower interest income earned on our reinvestment during the first quarter of 2024 when compared with the same period in 2023. This was due to a lower reinvestment balance in the first quarter of 2024 compared with the same period in 2023. In the first quarter of 2024 and 2023, expenses related to the distribution of interest earned on collateral reinvestments were $967.4 million and $1,163.5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6"/>
                <w:szCs w:val="16"/>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jc w:val="right"/>
              <w:ind w:right="7239"/>
              <w:spacing w:after="0"/>
              <w:rPr>
                <w:sz w:val="20"/>
                <w:szCs w:val="20"/>
                <w:color w:val="auto"/>
              </w:rPr>
            </w:pPr>
            <w:r>
              <w:rPr>
                <w:rFonts w:ascii="Times New Roman" w:cs="Times New Roman" w:eastAsia="Times New Roman" w:hAnsi="Times New Roman"/>
                <w:sz w:val="18"/>
                <w:szCs w:val="18"/>
                <w:color w:val="auto"/>
                <w:w w:val="99"/>
              </w:rPr>
              <w:t>Quarter ended March 31</w:t>
            </w:r>
          </w:p>
        </w:tc>
        <w:tc>
          <w:tcPr>
            <w:tcW w:w="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7"/>
              </w:rPr>
              <w:t>23.2 %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r>
    </w:tbl>
    <w:p>
      <w:pPr>
        <w:spacing w:after="0" w:line="15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overall effective tax rate remained relatively consistent in the first quarter of 2024 when compared with the same period in 2023. On April 15, 2024, we filed our court case with the U.S. Court of Federal Claims related to our Section 199 deduction.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Sources and Uses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and used by investing activities remained consistent in the first quarter of 2024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the same period in 2023. Cash provided by financing activities was higher during the first quarter of 2024 when compared with the same period in 2023 due to an increase in cash performance bonds and guaranty fund contributions.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summarizes our debt outstanding at March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Fixed rate notes due March 2025, stated rate of 3.00% </w:t>
            </w:r>
            <w:r>
              <w:rPr>
                <w:rFonts w:ascii="Times New Roman" w:cs="Times New Roman" w:eastAsia="Times New Roman" w:hAnsi="Times New Roman"/>
                <w:sz w:val="23"/>
                <w:szCs w:val="23"/>
                <w:color w:val="auto"/>
                <w:vertAlign w:val="superscript"/>
              </w:rPr>
              <w:t>(1)</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2032, stated rate of 2.65%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(2)</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left="660" w:right="80" w:hanging="328"/>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forward-starting interest rate swap agreement that modified the interest obligation associated with these notes so that the interest payable on the notes effectively became fixed at a rate of 3.11%.</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November 2026.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2021,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situations by the clearing house. The facility provides for borrowings of up to $7.0 billion. We may use the proceeds to provide temporary liquidity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unlikely event a clearing firm fails to promptly discharge an obligation to CME Clearing, in the event of a liquidity constraint or default by a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(custodian for our collateral), in the event of a temporary disruption with the domestic payments system that would delay payment of settlement variation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us and our clearing firms, or in other cases as provided by the CME rulebook. Clearing firm guaranty fund contributions received in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or U.S. Treasury securities as well as the performance bond assets (pursuant to the CME rulebook) can be used to collateralize the facility.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guaranty fund contributions available to collateralize the facility totaled $9.7 billion. We have the option to request an increase in the 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$7.0 billion to $10.0 billion. Our 364-day facility contains a requirement that CME remain in compliance with a consolidated tangible net worth test,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defined as CME's consolidated shareholder's equity less intangible assets (as defined in the agreement), of not less than $800.0 million. We currently do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any borrowings outstanding under this facility.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March 31, 2024, we have excess borrowing capacity for general corporate purposes of approximately $2.3 billion under our multi-currency revolving senior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irrevocable standby letters of credit. At March 31, 2024, the letters of credit totaled $285.0 million. We also maintain a $350.0 million line of credit to meet our obligations under this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at March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760" w:type="dxa"/>
            <w:vAlign w:val="bottom"/>
          </w:tcPr>
          <w:p>
            <w:pPr>
              <w:spacing w:after="0"/>
              <w:rPr>
                <w:sz w:val="16"/>
                <w:szCs w:val="16"/>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4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 Global Ratings</w:t>
            </w:r>
          </w:p>
        </w:tc>
        <w:tc>
          <w:tcPr>
            <w:tcW w:w="316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8"/>
                <w:szCs w:val="18"/>
                <w:color w:val="auto"/>
                <w:w w:val="99"/>
              </w:rPr>
              <w:t>A1+</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3160" w:type="dxa"/>
            <w:vAlign w:val="bottom"/>
          </w:tcPr>
          <w:p>
            <w:pPr>
              <w:jc w:val="center"/>
              <w:ind w:left="1139"/>
              <w:spacing w:after="0"/>
              <w:rPr>
                <w:sz w:val="20"/>
                <w:szCs w:val="20"/>
                <w:color w:val="auto"/>
              </w:rPr>
            </w:pPr>
            <w:r>
              <w:rPr>
                <w:rFonts w:ascii="Times New Roman" w:cs="Times New Roman" w:eastAsia="Times New Roman" w:hAnsi="Times New Roman"/>
                <w:sz w:val="18"/>
                <w:szCs w:val="18"/>
                <w:color w:val="auto"/>
                <w:w w:val="94"/>
              </w:rPr>
              <w:t>P1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r>
    </w:tbl>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Liquidity and Cash Management</w:t>
      </w:r>
      <w:r>
        <w:rPr>
          <w:rFonts w:ascii="Times New Roman" w:cs="Times New Roman" w:eastAsia="Times New Roman" w:hAnsi="Times New Roman"/>
          <w:sz w:val="18"/>
          <w:szCs w:val="18"/>
          <w:color w:val="auto"/>
        </w:rPr>
        <w:t>. Cash and cash equivalents totaled $1.4 billion and $2.9 billion at March 31, 2024 and December 31, 2023,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Regulatory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CME is regulated by the CFTC as a Derivatives Clearing Organization (DCO). DCOs are required to maintain capital,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7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w:t>
      </w:r>
    </w:p>
    <w:p>
      <w:pPr>
        <w:spacing w:after="0" w:line="5"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is not required to lock up customer funds as would otherwise be required under Exchange Act Rule 15c3-3.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2023. Refer to Item 7A. of CME Group’s Annual Report on Form 10-K for the year ended December 31, 2023, filed with the SEC on February 28, 2024, for additional information.</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20" w:firstLine="8"/>
        <w:spacing w:after="0" w:line="261"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71" w:lineRule="exact"/>
        <w:rPr>
          <w:rFonts w:ascii="Times New Roman" w:cs="Times New Roman" w:eastAsia="Times New Roman" w:hAnsi="Times New Roman"/>
          <w:sz w:val="18"/>
          <w:szCs w:val="18"/>
          <w:color w:val="auto"/>
        </w:rPr>
      </w:pPr>
    </w:p>
    <w:p>
      <w:pPr>
        <w:ind w:right="80" w:firstLine="8"/>
        <w:spacing w:after="0" w:line="25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March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disclosure under “Legal and Regulatory Matters” in Note 6.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2023, filed with the SEC on February 28, 2024.</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333333"/>
        </w:rPr>
        <w:t>There have been no material changes in the company's risk factors from those disclosed in the company's Annual Report on Form 10-K for the year ended December 31, 2023, filed with the SEC on February 28, 2024.</w:t>
      </w:r>
    </w:p>
    <w:p>
      <w:pPr>
        <w:spacing w:after="0" w:line="11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 Total Number of Class A</w:t>
            </w:r>
          </w:p>
        </w:tc>
        <w:tc>
          <w:tcPr>
            <w:tcW w:w="26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 Maximum Number (or Approximate</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Total Number of</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64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264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98"/>
        </w:trPr>
        <w:tc>
          <w:tcPr>
            <w:tcW w:w="292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6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to January 31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202.66</w:t>
            </w:r>
          </w:p>
        </w:tc>
        <w:tc>
          <w:tcPr>
            <w:tcW w:w="21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to February 28</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Pr>
          <w:p>
            <w:pPr>
              <w:spacing w:after="0"/>
              <w:rPr>
                <w:sz w:val="19"/>
                <w:szCs w:val="19"/>
                <w:color w:val="auto"/>
              </w:rPr>
            </w:pPr>
          </w:p>
        </w:tc>
        <w:tc>
          <w:tcPr>
            <w:tcW w:w="14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209.24</w:t>
            </w:r>
          </w:p>
        </w:tc>
        <w:tc>
          <w:tcPr>
            <w:tcW w:w="21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to March 31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51,774</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217.52</w:t>
            </w:r>
          </w:p>
        </w:tc>
        <w:tc>
          <w:tcPr>
            <w:tcW w:w="21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57,233</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6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10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consist of an aggregate of 57,233 shares of Class A common stock surrendered in the first quarter of 2024 to satisfy employees’ tax obligations upon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3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0" w:type="dxa"/>
            <w:vAlign w:val="bottom"/>
            <w:gridSpan w:val="8"/>
          </w:tcPr>
          <w:p>
            <w:pPr>
              <w:ind w:left="20"/>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CME Group Inc,'s Fourth Amended and Restated Omnibus Stock Plan (As amended and restated effective March</w:t>
              </w:r>
            </w:hyperlink>
          </w:p>
        </w:tc>
      </w:tr>
      <w:tr>
        <w:trPr>
          <w:trHeight w:val="155"/>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80" w:type="dxa"/>
            <w:vAlign w:val="bottom"/>
            <w:tcBorders>
              <w:top w:val="single" w:sz="8" w:color="0000FF"/>
            </w:tcBorders>
            <w:gridSpan w:val="7"/>
          </w:tcPr>
          <w:p>
            <w:pPr>
              <w:ind w:left="20"/>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1, 2024) (incorporated by reference to Exhibit 10.1 to CME Group Inc.’s Current Report on Form 8-K, filed with</w:t>
              </w:r>
            </w:hyperlink>
          </w:p>
        </w:tc>
        <w:tc>
          <w:tcPr>
            <w:tcW w:w="20" w:type="dxa"/>
            <w:vAlign w:val="bottom"/>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ind w:left="20"/>
              <w:spacing w:after="0" w:line="156" w:lineRule="exact"/>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the SEC on March 7, 2024).</w:t>
              </w:r>
            </w:hyperlink>
          </w:p>
        </w:tc>
        <w:tc>
          <w:tcPr>
            <w:tcW w:w="6100" w:type="dxa"/>
            <w:vAlign w:val="bottom"/>
            <w:tcBorders>
              <w:top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8"/>
              </w:rPr>
              <w:t>Section 302 Certification—Terrence A. Duffy</w:t>
            </w:r>
          </w:p>
        </w:tc>
        <w:tc>
          <w:tcPr>
            <w:tcW w:w="4880" w:type="dxa"/>
            <w:vAlign w:val="bottom"/>
            <w:gridSpan w:val="3"/>
          </w:tcPr>
          <w:p>
            <w:pPr>
              <w:spacing w:after="0"/>
              <w:rPr>
                <w:sz w:val="24"/>
                <w:szCs w:val="24"/>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302</w:t>
            </w:r>
          </w:p>
        </w:tc>
        <w:tc>
          <w:tcPr>
            <w:tcW w:w="24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Certification—Lynne Fitzpatrick</w:t>
            </w:r>
          </w:p>
        </w:tc>
        <w:tc>
          <w:tcPr>
            <w:tcW w:w="4920" w:type="dxa"/>
            <w:vAlign w:val="bottom"/>
            <w:gridSpan w:val="4"/>
          </w:tcPr>
          <w:p>
            <w:pPr>
              <w:spacing w:after="0"/>
              <w:rPr>
                <w:sz w:val="24"/>
                <w:szCs w:val="24"/>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906</w:t>
            </w:r>
          </w:p>
        </w:tc>
        <w:tc>
          <w:tcPr>
            <w:tcW w:w="9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Certification</w:t>
            </w:r>
          </w:p>
        </w:tc>
        <w:tc>
          <w:tcPr>
            <w:tcW w:w="6380" w:type="dxa"/>
            <w:vAlign w:val="bottom"/>
            <w:gridSpan w:val="6"/>
          </w:tcPr>
          <w:p>
            <w:pPr>
              <w:spacing w:after="0"/>
              <w:rPr>
                <w:sz w:val="24"/>
                <w:szCs w:val="24"/>
                <w:color w:val="auto"/>
              </w:rPr>
            </w:pPr>
          </w:p>
        </w:tc>
      </w:tr>
    </w:tbl>
    <w:p>
      <w:pPr>
        <w:spacing w:after="0" w:line="130" w:lineRule="exact"/>
        <w:rPr>
          <w:sz w:val="20"/>
          <w:szCs w:val="20"/>
          <w:color w:val="auto"/>
        </w:rPr>
      </w:pPr>
    </w:p>
    <w:p>
      <w:pPr>
        <w:ind w:left="1440" w:right="399" w:hanging="1414"/>
        <w:spacing w:after="0" w:line="220" w:lineRule="auto"/>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CME Group Inc.’s Quarterly Report on Form 10-Q for the quarterly period ended March 31, 2024, formatted in Inline XBRL (Xtensible Business Reporting Language): (i) the Consolidated Balance Sheets, (ii) the Consolidated Statements of Income, (iii) the Consolidated Statements of Comprehensive Income, (iv) the Consolidated Statements of Equity, (v) the Consolidated Statements of Cash Flows and (vi) Notes to Unaudited Consolidated Financial Statements, tagged as blocks of text.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Cover Page Interactive Data File included in the Inline XBRL Document Set for Exhibit 101.</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52" w:lineRule="exact"/>
        <w:rPr>
          <w:sz w:val="20"/>
          <w:szCs w:val="20"/>
          <w:color w:val="auto"/>
        </w:rPr>
      </w:pPr>
    </w:p>
    <w:p>
      <w:pPr>
        <w:ind w:left="1440" w:hanging="1414"/>
        <w:spacing w:after="0"/>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CME Group Inc.</w:t>
      </w:r>
    </w:p>
    <w:p>
      <w:pPr>
        <w:ind w:left="510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Dated: May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0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Lynne Fitzpatrick</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Senior Managing Director and Chief Financial Officer</w:t>
      </w:r>
    </w:p>
    <w:p>
      <w:pPr>
        <w:spacing w:after="0" w:line="1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Financial Offer and</w:t>
      </w:r>
    </w:p>
    <w:p>
      <w:pPr>
        <w:ind w:left="7640"/>
        <w:spacing w:after="0"/>
        <w:rPr>
          <w:sz w:val="20"/>
          <w:szCs w:val="20"/>
          <w:color w:val="auto"/>
        </w:rPr>
      </w:pPr>
      <w:r>
        <w:rPr>
          <w:rFonts w:ascii="Times New Roman" w:cs="Times New Roman" w:eastAsia="Times New Roman" w:hAnsi="Times New Roman"/>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121"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 2024</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Terrence A. Duffy</w:t>
            </w:r>
          </w:p>
        </w:tc>
      </w:tr>
      <w:tr>
        <w:trPr>
          <w:trHeight w:val="218"/>
        </w:trPr>
        <w:tc>
          <w:tcPr>
            <w:tcW w:w="562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Terrence A. Duffy</w:t>
            </w:r>
          </w:p>
        </w:tc>
      </w:tr>
      <w:tr>
        <w:trPr>
          <w:trHeight w:val="234"/>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Lynne Fitzpatrick, certify that:</w:t>
      </w:r>
    </w:p>
    <w:p>
      <w:pPr>
        <w:spacing w:after="0" w:line="104" w:lineRule="exact"/>
        <w:rPr>
          <w:sz w:val="20"/>
          <w:szCs w:val="20"/>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Dated: May 1, 2024</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Lynne Fitzpatrick</w:t>
            </w:r>
          </w:p>
        </w:tc>
      </w:tr>
      <w:tr>
        <w:trPr>
          <w:trHeight w:val="218"/>
        </w:trPr>
        <w:tc>
          <w:tcPr>
            <w:tcW w:w="57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Lynne Fitzpatrick</w:t>
            </w:r>
          </w:p>
        </w:tc>
      </w:tr>
      <w:tr>
        <w:trPr>
          <w:trHeight w:val="234"/>
        </w:trPr>
        <w:tc>
          <w:tcPr>
            <w:tcW w:w="57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180" w:firstLine="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CME Group Inc. (the “Company”) for the quarter ended March 31, 2024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00" w:hanging="264"/>
        <w:spacing w:after="0"/>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480" w:firstLine="176"/>
        <w:spacing w:after="0" w:line="282" w:lineRule="auto"/>
        <w:tabs>
          <w:tab w:leader="none" w:pos="10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 Terrence A. Duffy</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2024</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Lynne Fitzpatrick</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2024</w:t>
      </w:r>
    </w:p>
    <w:p>
      <w:pPr>
        <w:spacing w:after="0" w:line="90" w:lineRule="exact"/>
        <w:rPr>
          <w:sz w:val="20"/>
          <w:szCs w:val="20"/>
          <w:color w:val="auto"/>
        </w:rPr>
      </w:pPr>
    </w:p>
    <w:p>
      <w:pPr>
        <w:ind w:right="600" w:firstLine="177"/>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40" w:lineRule="exact"/>
        <w:rPr>
          <w:sz w:val="20"/>
          <w:szCs w:val="20"/>
          <w:color w:val="auto"/>
        </w:rPr>
      </w:pPr>
    </w:p>
    <w:p>
      <w:pPr>
        <w:ind w:right="120" w:firstLine="17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lowerRoman"/>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0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5"/>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4" Type="http://schemas.openxmlformats.org/officeDocument/2006/relationships/hyperlink" Target="https://www.sec.gov/Archives/edgar/data/1156375/000119312524062191/d1438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2024-05-01T13:03:40Z</dcterms:created>
  <dcterms:modified xsi:type="dcterms:W3CDTF">2024-05-01T13:03:40Z</dcterms:modified>
</cp:coreProperties>
</file>