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4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42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GAER SAMUEL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17" w:lineRule="auto"/>
        <w:rPr>
          <w:sz w:val="20"/>
          <w:szCs w:val="20"/>
          <w:color w:val="auto"/>
        </w:rPr>
      </w:pPr>
      <w:r>
        <w:rPr>
          <w:rFonts w:ascii="Arial" w:cs="Arial" w:eastAsia="Arial" w:hAnsi="Arial"/>
          <w:sz w:val="17"/>
          <w:szCs w:val="17"/>
          <w:color w:val="0000FF"/>
        </w:rPr>
        <w:t>ONE NORTH END AVENUE WORLD FINANCIAL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NYMEX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08/22/2008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Chief Information Officer, EVP</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2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10282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jc w:val="right"/>
              <w:ind w:right="7"/>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2,800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32"/>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7,600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32"/>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2,873</w:t>
            </w:r>
            <w:r>
              <w:rPr>
                <w:rFonts w:ascii="Arial" w:cs="Arial" w:eastAsia="Arial" w:hAnsi="Arial"/>
                <w:sz w:val="22"/>
                <w:szCs w:val="22"/>
                <w:color w:val="008000"/>
                <w:w w:val="85"/>
                <w:vertAlign w:val="superscript"/>
              </w:rPr>
              <w:t>(5)</w:t>
            </w:r>
          </w:p>
        </w:tc>
        <w:tc>
          <w:tcPr>
            <w:tcW w:w="58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81.15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4,727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4,727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32"/>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left="10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jc w:val="center"/>
              <w:ind w:right="148"/>
              <w:spacing w:after="0"/>
              <w:rPr>
                <w:sz w:val="20"/>
                <w:szCs w:val="20"/>
                <w:color w:val="auto"/>
              </w:rPr>
            </w:pPr>
            <w:r>
              <w:rPr>
                <w:rFonts w:ascii="Arial" w:cs="Arial" w:eastAsia="Arial" w:hAnsi="Arial"/>
                <w:sz w:val="11"/>
                <w:szCs w:val="11"/>
                <w:color w:val="008000"/>
                <w:w w:val="88"/>
              </w:rPr>
              <w:t>(3)</w:t>
            </w: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7,600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ind w:right="379"/>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7,600</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right"/>
              <w:ind w:right="167"/>
              <w:spacing w:after="0"/>
              <w:rPr>
                <w:sz w:val="20"/>
                <w:szCs w:val="20"/>
                <w:color w:val="auto"/>
              </w:rPr>
            </w:pPr>
            <w:r>
              <w:rPr>
                <w:rFonts w:ascii="Arial" w:cs="Arial" w:eastAsia="Arial" w:hAnsi="Arial"/>
                <w:sz w:val="13"/>
                <w:szCs w:val="13"/>
                <w:color w:val="0000FF"/>
                <w:w w:val="98"/>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59</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(7)</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56,250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(8)</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11/17/2014</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2"/>
              <w:spacing w:after="0"/>
              <w:rPr>
                <w:sz w:val="20"/>
                <w:szCs w:val="20"/>
                <w:color w:val="auto"/>
              </w:rPr>
            </w:pPr>
            <w:r>
              <w:rPr>
                <w:rFonts w:ascii="Arial" w:cs="Arial" w:eastAsia="Arial" w:hAnsi="Arial"/>
                <w:sz w:val="17"/>
                <w:szCs w:val="17"/>
                <w:color w:val="0000FF"/>
                <w:w w:val="92"/>
              </w:rPr>
              <w:t>56,250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(4)</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67"/>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118.97</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(9)</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16,900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w w:val="91"/>
              </w:rPr>
              <w:t>(10)</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01/09/2016</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2"/>
              <w:spacing w:after="0"/>
              <w:rPr>
                <w:sz w:val="20"/>
                <w:szCs w:val="20"/>
                <w:color w:val="auto"/>
              </w:rPr>
            </w:pPr>
            <w:r>
              <w:rPr>
                <w:rFonts w:ascii="Arial" w:cs="Arial" w:eastAsia="Arial" w:hAnsi="Arial"/>
                <w:sz w:val="17"/>
                <w:szCs w:val="17"/>
                <w:color w:val="0000FF"/>
                <w:w w:val="92"/>
              </w:rPr>
              <w:t>16,900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(4)</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67"/>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by and among CME Group Inc., CMEG NY Inc., NYMEX Holdings, Inc. and New York Mercantile Exchange, Inc. (the "Merger Agreement"), each share of NYMEX Holdings common stock was converted into the right to receive either (a) $81.16 in cash or (b) 0.2378 of CME Group Inc. Class A common stock, subject to proration to preserve the mandatory aggregate cash consideration amount of approximately $3.4 billion, after taking into account all of the elections made by all of the NYMEX Holdings stockholders.</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NYMEX Holdings, Inc.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accelerated vesting of the restricted stock units is due to the consummation of the transaction between CME Group Inc., CMEG NY Inc., NYMEX Holdings, Inc. and New York Mercantile Exchange, Inc.</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Gaer surrendered shares to the Company in order to fulfill tax withholding obligations upon the vesting of restricted stock on August 22, 2008.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Merger Agreement at an exchange ratio of 0.2378 shares of CME Group Inc. Class A common stock for each share of NYMEX Holdings, Inc.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13,376 shares of CME Group Class A common stock at an exercise price of $248.11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November 17, 2007, subject to additional terms contained in the grant and, if applicable, other contracts.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4,018 shares of CME Group Class A common stock at an exercise price of $500.30 per share.</w:t>
      </w:r>
    </w:p>
    <w:p>
      <w:pPr>
        <w:spacing w:after="0" w:line="51" w:lineRule="exact"/>
        <w:rPr>
          <w:rFonts w:ascii="Arial" w:cs="Arial" w:eastAsia="Arial" w:hAnsi="Arial"/>
          <w:sz w:val="13"/>
          <w:szCs w:val="13"/>
          <w:color w:val="008000"/>
        </w:rPr>
      </w:pPr>
    </w:p>
    <w:p>
      <w:pPr>
        <w:ind w:left="240" w:hanging="192"/>
        <w:spacing w:after="0"/>
        <w:tabs>
          <w:tab w:leader="none" w:pos="2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January 9, 2009, subject to additional terms contained in the grant and, if applicable, other contracts.</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/s/Samuel Gaer</w:t>
            </w:r>
          </w:p>
        </w:tc>
        <w:tc>
          <w:tcPr>
            <w:tcW w:w="1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08/27/2008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3437"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2019-12-17T14:01:17Z</dcterms:created>
  <dcterms:modified xsi:type="dcterms:W3CDTF">2019-12-17T14:01:17Z</dcterms:modified>
</cp:coreProperties>
</file>