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21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211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20" w:space="340"/>
            <w:col w:w="8860"/>
          </w:cols>
          <w:pgMar w:left="240" w:top="225" w:right="139" w:bottom="5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Shifrin Kenneth David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17" w:lineRule="auto"/>
        <w:rPr>
          <w:sz w:val="20"/>
          <w:szCs w:val="20"/>
          <w:color w:val="auto"/>
        </w:rPr>
      </w:pPr>
      <w:r>
        <w:rPr>
          <w:rFonts w:ascii="Arial" w:cs="Arial" w:eastAsia="Arial" w:hAnsi="Arial"/>
          <w:sz w:val="17"/>
          <w:szCs w:val="17"/>
          <w:color w:val="0000FF"/>
        </w:rPr>
        <w:t>ONE NORTH END AVENUE WORLD FINANCIAL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94"/>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NYMEX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08/22/2008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564"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29"/>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10282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jc w:val="right"/>
              <w:ind w:right="9"/>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6,850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31"/>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6,850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0000FF"/>
                <w:w w:val="85"/>
              </w:rPr>
              <w:t>2,316</w:t>
            </w:r>
            <w:r>
              <w:rPr>
                <w:rFonts w:ascii="Arial" w:cs="Arial" w:eastAsia="Arial" w:hAnsi="Arial"/>
                <w:sz w:val="22"/>
                <w:szCs w:val="22"/>
                <w:color w:val="008000"/>
                <w:w w:val="85"/>
                <w:vertAlign w:val="superscript"/>
              </w:rPr>
              <w:t>(4)</w:t>
            </w: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81.15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4,534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4,534</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131"/>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left="10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vMerge w:val="restart"/>
          </w:tcPr>
          <w:p>
            <w:pPr>
              <w:jc w:val="center"/>
              <w:ind w:right="150"/>
              <w:spacing w:after="0"/>
              <w:rPr>
                <w:sz w:val="20"/>
                <w:szCs w:val="20"/>
                <w:color w:val="auto"/>
              </w:rPr>
            </w:pPr>
            <w:r>
              <w:rPr>
                <w:rFonts w:ascii="Arial" w:cs="Arial" w:eastAsia="Arial" w:hAnsi="Arial"/>
                <w:sz w:val="11"/>
                <w:szCs w:val="11"/>
                <w:color w:val="008000"/>
                <w:w w:val="88"/>
              </w:rPr>
              <w:t>(2)</w:t>
            </w: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ind w:right="379"/>
              <w:spacing w:after="0" w:line="148"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6,850</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jc w:val="right"/>
              <w:ind w:right="169"/>
              <w:spacing w:after="0"/>
              <w:rPr>
                <w:sz w:val="20"/>
                <w:szCs w:val="20"/>
                <w:color w:val="auto"/>
              </w:rPr>
            </w:pPr>
            <w:r>
              <w:rPr>
                <w:rFonts w:ascii="Arial" w:cs="Arial" w:eastAsia="Arial" w:hAnsi="Arial"/>
                <w:sz w:val="13"/>
                <w:szCs w:val="13"/>
                <w:color w:val="0000FF"/>
                <w:w w:val="98"/>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59</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17"/>
                <w:szCs w:val="17"/>
                <w:color w:val="auto"/>
              </w:rPr>
            </w:pPr>
          </w:p>
        </w:tc>
        <w:tc>
          <w:tcPr>
            <w:tcW w:w="760" w:type="dxa"/>
            <w:vAlign w:val="bottom"/>
            <w:gridSpan w:val="2"/>
          </w:tcPr>
          <w:p>
            <w:pPr>
              <w:jc w:val="center"/>
              <w:ind w:right="259"/>
              <w:spacing w:after="0" w:line="199"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(6)</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48,750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(7)</w:t>
            </w:r>
          </w:p>
        </w:tc>
        <w:tc>
          <w:tcPr>
            <w:tcW w:w="780" w:type="dxa"/>
            <w:vAlign w:val="bottom"/>
            <w:gridSpan w:val="2"/>
          </w:tcPr>
          <w:p>
            <w:pPr>
              <w:jc w:val="center"/>
              <w:spacing w:after="0"/>
              <w:rPr>
                <w:sz w:val="20"/>
                <w:szCs w:val="20"/>
                <w:color w:val="auto"/>
              </w:rPr>
            </w:pPr>
            <w:r>
              <w:rPr>
                <w:rFonts w:ascii="Arial" w:cs="Arial" w:eastAsia="Arial" w:hAnsi="Arial"/>
                <w:sz w:val="13"/>
                <w:szCs w:val="13"/>
                <w:color w:val="0000FF"/>
                <w:w w:val="92"/>
              </w:rPr>
              <w:t>11/17/2014</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1"/>
              <w:spacing w:after="0"/>
              <w:rPr>
                <w:sz w:val="20"/>
                <w:szCs w:val="20"/>
                <w:color w:val="auto"/>
              </w:rPr>
            </w:pPr>
            <w:r>
              <w:rPr>
                <w:rFonts w:ascii="Arial" w:cs="Arial" w:eastAsia="Arial" w:hAnsi="Arial"/>
                <w:sz w:val="17"/>
                <w:szCs w:val="17"/>
                <w:color w:val="0000FF"/>
                <w:w w:val="92"/>
              </w:rPr>
              <w:t>48,750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69"/>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118.97</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17"/>
                <w:szCs w:val="17"/>
                <w:color w:val="auto"/>
              </w:rPr>
            </w:pPr>
          </w:p>
        </w:tc>
        <w:tc>
          <w:tcPr>
            <w:tcW w:w="760" w:type="dxa"/>
            <w:vAlign w:val="bottom"/>
            <w:gridSpan w:val="2"/>
          </w:tcPr>
          <w:p>
            <w:pPr>
              <w:jc w:val="center"/>
              <w:ind w:right="259"/>
              <w:spacing w:after="0" w:line="199"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(8)</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16,900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(9)</w:t>
            </w:r>
          </w:p>
        </w:tc>
        <w:tc>
          <w:tcPr>
            <w:tcW w:w="780" w:type="dxa"/>
            <w:vAlign w:val="bottom"/>
            <w:gridSpan w:val="2"/>
          </w:tcPr>
          <w:p>
            <w:pPr>
              <w:jc w:val="center"/>
              <w:spacing w:after="0"/>
              <w:rPr>
                <w:sz w:val="20"/>
                <w:szCs w:val="20"/>
                <w:color w:val="auto"/>
              </w:rPr>
            </w:pPr>
            <w:r>
              <w:rPr>
                <w:rFonts w:ascii="Arial" w:cs="Arial" w:eastAsia="Arial" w:hAnsi="Arial"/>
                <w:sz w:val="13"/>
                <w:szCs w:val="13"/>
                <w:color w:val="0000FF"/>
                <w:w w:val="92"/>
              </w:rPr>
              <w:t>01/09/2016</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1"/>
              <w:spacing w:after="0"/>
              <w:rPr>
                <w:sz w:val="20"/>
                <w:szCs w:val="20"/>
                <w:color w:val="auto"/>
              </w:rPr>
            </w:pPr>
            <w:r>
              <w:rPr>
                <w:rFonts w:ascii="Arial" w:cs="Arial" w:eastAsia="Arial" w:hAnsi="Arial"/>
                <w:sz w:val="17"/>
                <w:szCs w:val="17"/>
                <w:color w:val="0000FF"/>
                <w:w w:val="92"/>
              </w:rPr>
              <w:t>16,900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69"/>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NYMEX Holdings, Inc.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accelerated vesting of the restricted stock units is due to the consummation of the transaction between CME Group Inc., CMEG NY Inc., NYMEX Holdings, Inc. and New York Mercantile Exchange, Inc.</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Shifrin surrendered shares to the Company in order to fulfill tax withholding obligations upon the vesting of restricted stock on August 22, 2008.</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merger agreement by and among CME Group Inc., CMEG NY Inc., NYMEX Holdings, Inc. and New York Mercantile Exchange, Inc. at an exchange ratio of 0.2378 shares of CME Group Inc. Class A common stock for each share of NYMEX Holdings, Inc.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options to purchase 11,592 shares of CME Group Class A common stock at an exercise price of $248.11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four equal annual installments beginning on November 17, 2007, subject to additional terms contained in the grant and, if applicable, other contracts.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options to purchase 4,018 shares of CME Group Class A common stock at an exercise price of $500.30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four equal annual installments beginning on January 9, 2009, subject to additional terms contained in the grant and, if applicable, other contracts.</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/s/Kenneth D. Shifrin</w:t>
            </w:r>
          </w:p>
        </w:tc>
        <w:tc>
          <w:tcPr>
            <w:tcW w:w="8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08/27/2008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919" TargetMode="External"/><Relationship Id="rId13" Type="http://schemas.openxmlformats.org/officeDocument/2006/relationships/hyperlink" Target="http://www.sec.gov/cgi-bin/browse-edgar?action=getcompany&amp;CIK=00011050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2019-12-17T14:04:11Z</dcterms:created>
  <dcterms:modified xsi:type="dcterms:W3CDTF">2019-12-17T14:04:11Z</dcterms:modified>
</cp:coreProperties>
</file>