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38" w:lineRule="exact"/>
        <w:rPr>
          <w:sz w:val="24"/>
          <w:szCs w:val="24"/>
          <w:color w:val="auto"/>
        </w:rPr>
      </w:pPr>
    </w:p>
    <w:p>
      <w:pPr>
        <w:ind w:left="3920"/>
        <w:spacing w:after="0"/>
        <w:rPr>
          <w:sz w:val="20"/>
          <w:szCs w:val="20"/>
          <w:color w:val="auto"/>
        </w:rPr>
      </w:pPr>
      <w:r>
        <w:rPr>
          <w:rFonts w:ascii="Arial" w:cs="Arial" w:eastAsia="Arial" w:hAnsi="Arial"/>
          <w:sz w:val="13"/>
          <w:szCs w:val="13"/>
          <w:color w:val="auto"/>
        </w:rPr>
        <w:t>_________________________________________________________</w:t>
      </w:r>
    </w:p>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10-Q</w:t>
      </w:r>
    </w:p>
    <w:p>
      <w:pPr>
        <w:spacing w:after="0" w:line="76" w:lineRule="exact"/>
        <w:rPr>
          <w:sz w:val="24"/>
          <w:szCs w:val="24"/>
          <w:color w:val="auto"/>
        </w:rPr>
      </w:pPr>
    </w:p>
    <w:p>
      <w:pPr>
        <w:ind w:left="3920"/>
        <w:spacing w:after="0"/>
        <w:rPr>
          <w:sz w:val="20"/>
          <w:szCs w:val="20"/>
          <w:color w:val="auto"/>
        </w:rPr>
      </w:pPr>
      <w:r>
        <w:rPr>
          <w:rFonts w:ascii="Arial" w:cs="Arial" w:eastAsia="Arial" w:hAnsi="Arial"/>
          <w:sz w:val="13"/>
          <w:szCs w:val="13"/>
          <w:color w:val="auto"/>
        </w:rPr>
        <w:t>_________________________________________________________</w:t>
      </w:r>
    </w:p>
    <w:p>
      <w:pPr>
        <w:spacing w:after="0" w:line="7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351" w:lineRule="exact"/>
        <w:rPr>
          <w:sz w:val="24"/>
          <w:szCs w:val="24"/>
          <w:color w:val="auto"/>
        </w:rPr>
      </w:pPr>
    </w:p>
    <w:p>
      <w:pPr>
        <w:ind w:left="720" w:right="200" w:hanging="685"/>
        <w:spacing w:after="0" w:line="256" w:lineRule="auto"/>
        <w:tabs>
          <w:tab w:leader="none" w:pos="7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4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March 31, 2013</w:t>
      </w:r>
    </w:p>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 OR -</w:t>
      </w:r>
    </w:p>
    <w:p>
      <w:pPr>
        <w:spacing w:after="0" w:line="176" w:lineRule="exact"/>
        <w:rPr>
          <w:sz w:val="24"/>
          <w:szCs w:val="24"/>
          <w:color w:val="auto"/>
        </w:rPr>
      </w:pPr>
    </w:p>
    <w:p>
      <w:pPr>
        <w:ind w:left="720" w:right="180" w:hanging="685"/>
        <w:spacing w:after="0" w:line="256"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37" w:lineRule="exact"/>
        <w:rPr>
          <w:sz w:val="24"/>
          <w:szCs w:val="24"/>
          <w:color w:val="auto"/>
        </w:rPr>
      </w:pPr>
    </w:p>
    <w:p>
      <w:pPr>
        <w:ind w:left="376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001-31553</w:t>
      </w:r>
    </w:p>
    <w:p>
      <w:pPr>
        <w:spacing w:after="0" w:line="101"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CME GROUP INC.</w:t>
      </w:r>
    </w:p>
    <w:p>
      <w:pPr>
        <w:spacing w:after="0" w:line="13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25" w:lineRule="exact"/>
        <w:rPr>
          <w:sz w:val="24"/>
          <w:szCs w:val="24"/>
          <w:color w:val="auto"/>
        </w:rPr>
      </w:pPr>
    </w:p>
    <w:tbl>
      <w:tblPr>
        <w:tblLayout w:type="fixed"/>
        <w:tblInd w:w="1240" w:type="dxa"/>
        <w:tblCellMar>
          <w:top w:w="0" w:type="dxa"/>
          <w:left w:w="0" w:type="dxa"/>
          <w:bottom w:w="0" w:type="dxa"/>
          <w:right w:w="0" w:type="dxa"/>
        </w:tblCellMar>
      </w:tblPr>
      <w:tr>
        <w:trPr>
          <w:trHeight w:val="234"/>
        </w:trPr>
        <w:tc>
          <w:tcPr>
            <w:tcW w:w="6520" w:type="dxa"/>
            <w:vAlign w:val="bottom"/>
          </w:tcPr>
          <w:p>
            <w:pPr>
              <w:jc w:val="center"/>
              <w:ind w:right="3300"/>
              <w:spacing w:after="0"/>
              <w:rPr>
                <w:sz w:val="20"/>
                <w:szCs w:val="20"/>
                <w:color w:val="auto"/>
              </w:rPr>
            </w:pPr>
            <w:r>
              <w:rPr>
                <w:rFonts w:ascii="Arial" w:cs="Arial" w:eastAsia="Arial" w:hAnsi="Arial"/>
                <w:sz w:val="18"/>
                <w:szCs w:val="18"/>
                <w:b w:val="1"/>
                <w:bCs w:val="1"/>
                <w:color w:val="auto"/>
                <w:w w:val="93"/>
              </w:rPr>
              <w:t>Delaware</w:t>
            </w:r>
          </w:p>
        </w:tc>
        <w:tc>
          <w:tcPr>
            <w:tcW w:w="1540" w:type="dxa"/>
            <w:vAlign w:val="bottom"/>
          </w:tcPr>
          <w:p>
            <w:pPr>
              <w:jc w:val="right"/>
              <w:ind w:right="41"/>
              <w:spacing w:after="0"/>
              <w:rPr>
                <w:sz w:val="20"/>
                <w:szCs w:val="20"/>
                <w:color w:val="auto"/>
              </w:rPr>
            </w:pPr>
            <w:r>
              <w:rPr>
                <w:rFonts w:ascii="Arial" w:cs="Arial" w:eastAsia="Arial" w:hAnsi="Arial"/>
                <w:sz w:val="18"/>
                <w:szCs w:val="18"/>
                <w:b w:val="1"/>
                <w:bCs w:val="1"/>
                <w:color w:val="auto"/>
              </w:rPr>
              <w:t>36-4459170</w:t>
            </w:r>
          </w:p>
        </w:tc>
      </w:tr>
      <w:tr>
        <w:trPr>
          <w:trHeight w:val="180"/>
        </w:trPr>
        <w:tc>
          <w:tcPr>
            <w:tcW w:w="6520" w:type="dxa"/>
            <w:vAlign w:val="bottom"/>
          </w:tcPr>
          <w:p>
            <w:pPr>
              <w:jc w:val="center"/>
              <w:ind w:right="3300"/>
              <w:spacing w:after="0"/>
              <w:rPr>
                <w:sz w:val="20"/>
                <w:szCs w:val="20"/>
                <w:color w:val="auto"/>
              </w:rPr>
            </w:pPr>
            <w:r>
              <w:rPr>
                <w:rFonts w:ascii="Arial" w:cs="Arial" w:eastAsia="Arial" w:hAnsi="Arial"/>
                <w:sz w:val="14"/>
                <w:szCs w:val="14"/>
                <w:b w:val="1"/>
                <w:bCs w:val="1"/>
                <w:color w:val="auto"/>
                <w:w w:val="92"/>
              </w:rPr>
              <w:t>(State or other jurisdiction of</w:t>
            </w:r>
          </w:p>
        </w:tc>
        <w:tc>
          <w:tcPr>
            <w:tcW w:w="1540" w:type="dxa"/>
            <w:vAlign w:val="bottom"/>
          </w:tcPr>
          <w:p>
            <w:pPr>
              <w:jc w:val="center"/>
              <w:ind w:left="34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6520" w:type="dxa"/>
            <w:vAlign w:val="bottom"/>
          </w:tcPr>
          <w:p>
            <w:pPr>
              <w:jc w:val="center"/>
              <w:ind w:right="3300"/>
              <w:spacing w:after="0"/>
              <w:rPr>
                <w:sz w:val="20"/>
                <w:szCs w:val="20"/>
                <w:color w:val="auto"/>
              </w:rPr>
            </w:pPr>
            <w:r>
              <w:rPr>
                <w:rFonts w:ascii="Arial" w:cs="Arial" w:eastAsia="Arial" w:hAnsi="Arial"/>
                <w:sz w:val="14"/>
                <w:szCs w:val="14"/>
                <w:b w:val="1"/>
                <w:bCs w:val="1"/>
                <w:color w:val="auto"/>
                <w:w w:val="93"/>
              </w:rPr>
              <w:t>incorporation or organization)</w:t>
            </w:r>
          </w:p>
        </w:tc>
        <w:tc>
          <w:tcPr>
            <w:tcW w:w="1540" w:type="dxa"/>
            <w:vAlign w:val="bottom"/>
          </w:tcPr>
          <w:p>
            <w:pPr>
              <w:jc w:val="center"/>
              <w:ind w:left="341"/>
              <w:spacing w:after="0"/>
              <w:rPr>
                <w:sz w:val="20"/>
                <w:szCs w:val="20"/>
                <w:color w:val="auto"/>
              </w:rPr>
            </w:pPr>
            <w:r>
              <w:rPr>
                <w:rFonts w:ascii="Arial" w:cs="Arial" w:eastAsia="Arial" w:hAnsi="Arial"/>
                <w:sz w:val="14"/>
                <w:szCs w:val="14"/>
                <w:b w:val="1"/>
                <w:bCs w:val="1"/>
                <w:color w:val="auto"/>
                <w:w w:val="94"/>
              </w:rPr>
              <w:t>Identification No.)</w:t>
            </w:r>
          </w:p>
        </w:tc>
      </w:tr>
      <w:tr>
        <w:trPr>
          <w:trHeight w:val="431"/>
        </w:trPr>
        <w:tc>
          <w:tcPr>
            <w:tcW w:w="6520" w:type="dxa"/>
            <w:vAlign w:val="bottom"/>
          </w:tcPr>
          <w:p>
            <w:pPr>
              <w:jc w:val="center"/>
              <w:ind w:right="3300"/>
              <w:spacing w:after="0"/>
              <w:rPr>
                <w:sz w:val="20"/>
                <w:szCs w:val="20"/>
                <w:color w:val="auto"/>
              </w:rPr>
            </w:pPr>
            <w:r>
              <w:rPr>
                <w:rFonts w:ascii="Arial" w:cs="Arial" w:eastAsia="Arial" w:hAnsi="Arial"/>
                <w:sz w:val="18"/>
                <w:szCs w:val="18"/>
                <w:b w:val="1"/>
                <w:bCs w:val="1"/>
                <w:color w:val="auto"/>
                <w:w w:val="91"/>
              </w:rPr>
              <w:t>20 South Wacker Drive, Chicago, Illinois</w:t>
            </w:r>
          </w:p>
        </w:tc>
        <w:tc>
          <w:tcPr>
            <w:tcW w:w="1540" w:type="dxa"/>
            <w:vAlign w:val="bottom"/>
          </w:tcPr>
          <w:p>
            <w:pPr>
              <w:jc w:val="right"/>
              <w:ind w:right="261"/>
              <w:spacing w:after="0"/>
              <w:rPr>
                <w:sz w:val="20"/>
                <w:szCs w:val="20"/>
                <w:color w:val="auto"/>
              </w:rPr>
            </w:pPr>
            <w:r>
              <w:rPr>
                <w:rFonts w:ascii="Arial" w:cs="Arial" w:eastAsia="Arial" w:hAnsi="Arial"/>
                <w:sz w:val="18"/>
                <w:szCs w:val="18"/>
                <w:b w:val="1"/>
                <w:bCs w:val="1"/>
                <w:color w:val="auto"/>
              </w:rPr>
              <w:t>60606</w:t>
            </w:r>
          </w:p>
        </w:tc>
      </w:tr>
      <w:tr>
        <w:trPr>
          <w:trHeight w:val="218"/>
        </w:trPr>
        <w:tc>
          <w:tcPr>
            <w:tcW w:w="6520" w:type="dxa"/>
            <w:vAlign w:val="bottom"/>
          </w:tcPr>
          <w:p>
            <w:pPr>
              <w:jc w:val="center"/>
              <w:ind w:right="330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540" w:type="dxa"/>
            <w:vAlign w:val="bottom"/>
          </w:tcPr>
          <w:p>
            <w:pPr>
              <w:jc w:val="center"/>
              <w:ind w:left="341"/>
              <w:spacing w:after="0"/>
              <w:rPr>
                <w:sz w:val="20"/>
                <w:szCs w:val="20"/>
                <w:color w:val="auto"/>
              </w:rPr>
            </w:pPr>
            <w:r>
              <w:rPr>
                <w:rFonts w:ascii="Arial" w:cs="Arial" w:eastAsia="Arial" w:hAnsi="Arial"/>
                <w:sz w:val="14"/>
                <w:szCs w:val="14"/>
                <w:b w:val="1"/>
                <w:bCs w:val="1"/>
                <w:color w:val="auto"/>
                <w:w w:val="98"/>
              </w:rPr>
              <w:t>(Zip Code)</w:t>
            </w:r>
          </w:p>
        </w:tc>
      </w:tr>
      <w:tr>
        <w:trPr>
          <w:trHeight w:val="282"/>
        </w:trPr>
        <w:tc>
          <w:tcPr>
            <w:tcW w:w="6520" w:type="dxa"/>
            <w:vAlign w:val="bottom"/>
          </w:tcPr>
          <w:p>
            <w:pPr>
              <w:jc w:val="right"/>
              <w:ind w:right="1400"/>
              <w:spacing w:after="0"/>
              <w:rPr>
                <w:sz w:val="20"/>
                <w:szCs w:val="20"/>
                <w:color w:val="auto"/>
              </w:rPr>
            </w:pPr>
            <w:r>
              <w:rPr>
                <w:rFonts w:ascii="Arial" w:cs="Arial" w:eastAsia="Arial" w:hAnsi="Arial"/>
                <w:sz w:val="18"/>
                <w:szCs w:val="18"/>
                <w:b w:val="1"/>
                <w:bCs w:val="1"/>
                <w:color w:val="auto"/>
              </w:rPr>
              <w:t>(312) 930-1000</w:t>
            </w:r>
          </w:p>
        </w:tc>
        <w:tc>
          <w:tcPr>
            <w:tcW w:w="1540" w:type="dxa"/>
            <w:vAlign w:val="bottom"/>
          </w:tcPr>
          <w:p>
            <w:pPr>
              <w:spacing w:after="0"/>
              <w:rPr>
                <w:sz w:val="24"/>
                <w:szCs w:val="24"/>
                <w:color w:val="auto"/>
              </w:rPr>
            </w:pPr>
          </w:p>
        </w:tc>
      </w:tr>
      <w:tr>
        <w:trPr>
          <w:trHeight w:val="272"/>
        </w:trPr>
        <w:tc>
          <w:tcPr>
            <w:tcW w:w="6520" w:type="dxa"/>
            <w:vAlign w:val="bottom"/>
          </w:tcPr>
          <w:p>
            <w:pPr>
              <w:jc w:val="center"/>
              <w:ind w:left="234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540" w:type="dxa"/>
            <w:vAlign w:val="bottom"/>
          </w:tcPr>
          <w:p>
            <w:pPr>
              <w:spacing w:after="0"/>
              <w:rPr>
                <w:sz w:val="23"/>
                <w:szCs w:val="23"/>
                <w:color w:val="auto"/>
              </w:rPr>
            </w:pPr>
          </w:p>
        </w:tc>
      </w:tr>
    </w:tbl>
    <w:p>
      <w:pPr>
        <w:spacing w:after="0" w:line="124" w:lineRule="exact"/>
        <w:rPr>
          <w:sz w:val="24"/>
          <w:szCs w:val="24"/>
          <w:color w:val="auto"/>
        </w:rPr>
      </w:pPr>
    </w:p>
    <w:p>
      <w:pPr>
        <w:jc w:val="center"/>
        <w:ind w:right="40"/>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145"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264" w:lineRule="exact"/>
        <w:rPr>
          <w:sz w:val="24"/>
          <w:szCs w:val="24"/>
          <w:color w:val="auto"/>
        </w:rPr>
      </w:pPr>
    </w:p>
    <w:p>
      <w:pPr>
        <w:ind w:left="1180"/>
        <w:spacing w:after="0"/>
        <w:tabs>
          <w:tab w:leader="none" w:pos="7780" w:val="left"/>
          <w:tab w:leader="none" w:pos="8920" w:val="left"/>
        </w:tabs>
        <w:rPr>
          <w:sz w:val="20"/>
          <w:szCs w:val="20"/>
          <w:color w:val="auto"/>
        </w:rPr>
      </w:pPr>
      <w:r>
        <w:rPr>
          <w:rFonts w:ascii="Arial" w:cs="Arial" w:eastAsia="Arial" w:hAnsi="Arial"/>
          <w:sz w:val="14"/>
          <w:szCs w:val="14"/>
          <w:color w:val="auto"/>
        </w:rPr>
        <w:t>Large accelerated filer x</w:t>
      </w:r>
      <w:r>
        <w:rPr>
          <w:sz w:val="20"/>
          <w:szCs w:val="20"/>
          <w:color w:val="auto"/>
        </w:rPr>
        <w:tab/>
      </w:r>
      <w:r>
        <w:rPr>
          <w:rFonts w:ascii="Arial" w:cs="Arial" w:eastAsia="Arial" w:hAnsi="Arial"/>
          <w:sz w:val="14"/>
          <w:szCs w:val="14"/>
          <w:color w:val="auto"/>
        </w:rPr>
        <w:t>Accelerated filer</w:t>
        <w:tab/>
        <w:t>o</w:t>
      </w:r>
    </w:p>
    <w:p>
      <w:pPr>
        <w:spacing w:after="0" w:line="231" w:lineRule="exact"/>
        <w:rPr>
          <w:sz w:val="24"/>
          <w:szCs w:val="24"/>
          <w:color w:val="auto"/>
        </w:rPr>
      </w:pPr>
    </w:p>
    <w:p>
      <w:pPr>
        <w:ind w:left="1180"/>
        <w:spacing w:after="0"/>
        <w:tabs>
          <w:tab w:leader="none" w:pos="2520" w:val="left"/>
          <w:tab w:leader="none" w:pos="7780" w:val="left"/>
        </w:tabs>
        <w:rPr>
          <w:sz w:val="20"/>
          <w:szCs w:val="20"/>
          <w:color w:val="auto"/>
        </w:rPr>
      </w:pPr>
      <w:r>
        <w:rPr>
          <w:rFonts w:ascii="Arial" w:cs="Arial" w:eastAsia="Arial" w:hAnsi="Arial"/>
          <w:sz w:val="14"/>
          <w:szCs w:val="14"/>
          <w:color w:val="auto"/>
        </w:rPr>
        <w:t>Non-accelerated filer</w:t>
        <w:tab/>
        <w:t>o (Do not check if a smaller reporting company)</w:t>
      </w:r>
      <w:r>
        <w:rPr>
          <w:sz w:val="20"/>
          <w:szCs w:val="20"/>
          <w:color w:val="auto"/>
        </w:rPr>
        <w:tab/>
      </w:r>
      <w:r>
        <w:rPr>
          <w:rFonts w:ascii="Arial" w:cs="Arial" w:eastAsia="Arial" w:hAnsi="Arial"/>
          <w:sz w:val="13"/>
          <w:szCs w:val="13"/>
          <w:color w:val="auto"/>
        </w:rPr>
        <w:t>Smaller reporting company o</w:t>
      </w:r>
    </w:p>
    <w:p>
      <w:pPr>
        <w:spacing w:after="0" w:line="94" w:lineRule="exact"/>
        <w:rPr>
          <w:sz w:val="24"/>
          <w:szCs w:val="24"/>
          <w:color w:val="auto"/>
        </w:rPr>
      </w:pPr>
    </w:p>
    <w:p>
      <w:pPr>
        <w:ind w:left="40"/>
        <w:spacing w:after="0" w:line="207" w:lineRule="exact"/>
        <w:tabs>
          <w:tab w:leader="none" w:pos="8380" w:val="left"/>
          <w:tab w:leader="none" w:pos="908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150" w:lineRule="exact"/>
        <w:rPr>
          <w:sz w:val="24"/>
          <w:szCs w:val="24"/>
          <w:color w:val="auto"/>
        </w:rPr>
      </w:pPr>
    </w:p>
    <w:p>
      <w:pPr>
        <w:ind w:right="80"/>
        <w:spacing w:after="0" w:line="312" w:lineRule="auto"/>
        <w:rPr>
          <w:sz w:val="20"/>
          <w:szCs w:val="20"/>
          <w:color w:val="auto"/>
        </w:rPr>
      </w:pPr>
      <w:r>
        <w:rPr>
          <w:rFonts w:ascii="Arial" w:cs="Arial" w:eastAsia="Arial" w:hAnsi="Arial"/>
          <w:sz w:val="16"/>
          <w:szCs w:val="16"/>
          <w:color w:val="auto"/>
        </w:rPr>
        <w:t>The number of shares outstanding of each of the registrant’s classes of common stock as of April 17, 2013 was as follows: 333,886,383 shares of Class A common stock, $0.01 par value; 625 shares of Class B common stock, Class B-1, $0.01 par value; 813 shares of Class B common stock, Class B-2, $0.01 par value; 1,287 shares of Class B common stock, Class B-3, $0.01 par value; and 413 shares of Class B common stock, Class B-4, $0.01 par value.</w:t>
      </w:r>
    </w:p>
    <w:p>
      <w:pPr>
        <w:sectPr>
          <w:pgSz w:w="11900" w:h="16838" w:orient="portrait"/>
          <w:cols w:equalWidth="0" w:num="1">
            <w:col w:w="11420"/>
          </w:cols>
          <w:pgMar w:left="240" w:top="233" w:right="239" w:bottom="1440" w:gutter="0" w:footer="0" w:header="0"/>
        </w:sectPr>
      </w:pPr>
    </w:p>
    <w:p>
      <w:pPr>
        <w:spacing w:after="0" w:line="200" w:lineRule="exact"/>
        <w:rPr>
          <w:sz w:val="24"/>
          <w:szCs w:val="24"/>
          <w:color w:val="auto"/>
        </w:rPr>
      </w:pPr>
    </w:p>
    <w:p>
      <w:pPr>
        <w:spacing w:after="0" w:line="325"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233" w:right="239" w:bottom="1440" w:gutter="0" w:footer="0" w:header="0"/>
          <w:type w:val="continuous"/>
        </w:sectPr>
      </w:pPr>
    </w:p>
    <w:bookmarkStart w:id="1" w:name="page2"/>
    <w:bookmarkEnd w:id="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CME GROUP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00" w:lineRule="exact"/>
        <w:rPr>
          <w:sz w:val="20"/>
          <w:szCs w:val="20"/>
          <w:color w:val="auto"/>
        </w:rPr>
      </w:pPr>
    </w:p>
    <w:p>
      <w:pPr>
        <w:spacing w:after="0" w:line="291"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56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513"/>
        </w:trPr>
        <w:tc>
          <w:tcPr>
            <w:tcW w:w="2760" w:type="dxa"/>
            <w:vAlign w:val="bottom"/>
            <w:tcBorders>
              <w:bottom w:val="single" w:sz="8" w:color="0000FF"/>
            </w:tcBorders>
            <w:gridSpan w:val="10"/>
          </w:tcPr>
          <w:p>
            <w:pPr>
              <w:spacing w:after="0"/>
              <w:rPr>
                <w:rFonts w:ascii="Arial" w:cs="Arial" w:eastAsia="Arial" w:hAnsi="Arial"/>
                <w:sz w:val="16"/>
                <w:szCs w:val="16"/>
                <w:b w:val="1"/>
                <w:bCs w:val="1"/>
                <w:color w:val="0000FF"/>
              </w:rPr>
            </w:pPr>
            <w:hyperlink w:anchor="page2">
              <w:r>
                <w:rPr>
                  <w:rFonts w:ascii="Arial" w:cs="Arial" w:eastAsia="Arial" w:hAnsi="Arial"/>
                  <w:sz w:val="16"/>
                  <w:szCs w:val="16"/>
                  <w:b w:val="1"/>
                  <w:bCs w:val="1"/>
                  <w:color w:val="0000FF"/>
                </w:rPr>
                <w:t>PART I. FINANCIAL INFORMATION</w:t>
              </w:r>
            </w:hyperlink>
          </w:p>
        </w:tc>
        <w:tc>
          <w:tcPr>
            <w:tcW w:w="8060" w:type="dxa"/>
            <w:vAlign w:val="bottom"/>
            <w:gridSpan w:val="10"/>
          </w:tcPr>
          <w:p>
            <w:pPr>
              <w:spacing w:after="0"/>
              <w:rPr>
                <w:sz w:val="24"/>
                <w:szCs w:val="24"/>
                <w:color w:val="auto"/>
              </w:rPr>
            </w:pPr>
          </w:p>
        </w:tc>
        <w:tc>
          <w:tcPr>
            <w:tcW w:w="560" w:type="dxa"/>
            <w:vAlign w:val="bottom"/>
          </w:tcPr>
          <w:p>
            <w:pPr>
              <w:jc w:val="right"/>
              <w:spacing w:after="0"/>
              <w:rPr>
                <w:rFonts w:ascii="Arial" w:cs="Arial" w:eastAsia="Arial" w:hAnsi="Arial"/>
                <w:sz w:val="18"/>
                <w:szCs w:val="18"/>
                <w:color w:val="auto"/>
              </w:rPr>
            </w:pPr>
            <w:hyperlink w:anchor="page2">
              <w:r>
                <w:rPr>
                  <w:rFonts w:ascii="Arial" w:cs="Arial" w:eastAsia="Arial" w:hAnsi="Arial"/>
                  <w:sz w:val="18"/>
                  <w:szCs w:val="18"/>
                  <w:color w:val="auto"/>
                </w:rPr>
                <w:t>3</w:t>
              </w:r>
            </w:hyperlink>
          </w:p>
        </w:tc>
        <w:tc>
          <w:tcPr>
            <w:tcW w:w="0" w:type="dxa"/>
            <w:vAlign w:val="bottom"/>
          </w:tcPr>
          <w:p>
            <w:pPr>
              <w:spacing w:after="0"/>
              <w:rPr>
                <w:sz w:val="1"/>
                <w:szCs w:val="1"/>
                <w:color w:val="auto"/>
              </w:rPr>
            </w:pPr>
          </w:p>
        </w:tc>
      </w:tr>
      <w:tr>
        <w:trPr>
          <w:trHeight w:val="385"/>
        </w:trPr>
        <w:tc>
          <w:tcPr>
            <w:tcW w:w="920" w:type="dxa"/>
            <w:vAlign w:val="bottom"/>
          </w:tcPr>
          <w:p>
            <w:pPr>
              <w:spacing w:after="0"/>
              <w:rPr>
                <w:sz w:val="20"/>
                <w:szCs w:val="20"/>
                <w:color w:val="auto"/>
              </w:rPr>
            </w:pPr>
            <w:r>
              <w:rPr>
                <w:rFonts w:ascii="Arial" w:cs="Arial" w:eastAsia="Arial" w:hAnsi="Arial"/>
                <w:sz w:val="16"/>
                <w:szCs w:val="16"/>
                <w:b w:val="1"/>
                <w:bCs w:val="1"/>
                <w:color w:val="auto"/>
              </w:rPr>
              <w:t>Item 1.</w:t>
            </w:r>
          </w:p>
        </w:tc>
        <w:tc>
          <w:tcPr>
            <w:tcW w:w="9900" w:type="dxa"/>
            <w:vAlign w:val="bottom"/>
            <w:gridSpan w:val="19"/>
          </w:tcPr>
          <w:p>
            <w:pPr>
              <w:spacing w:after="0"/>
              <w:rPr>
                <w:rFonts w:ascii="Arial" w:cs="Arial" w:eastAsia="Arial" w:hAnsi="Arial"/>
                <w:sz w:val="16"/>
                <w:szCs w:val="16"/>
                <w:b w:val="1"/>
                <w:bCs w:val="1"/>
                <w:color w:val="0000FF"/>
              </w:rPr>
            </w:pPr>
            <w:hyperlink w:anchor="page4">
              <w:r>
                <w:rPr>
                  <w:rFonts w:ascii="Arial" w:cs="Arial" w:eastAsia="Arial" w:hAnsi="Arial"/>
                  <w:sz w:val="16"/>
                  <w:szCs w:val="16"/>
                  <w:b w:val="1"/>
                  <w:bCs w:val="1"/>
                  <w:color w:val="0000FF"/>
                </w:rPr>
                <w:t>Financial Statements</w:t>
              </w:r>
            </w:hyperlink>
          </w:p>
        </w:tc>
        <w:tc>
          <w:tcPr>
            <w:tcW w:w="560" w:type="dxa"/>
            <w:vAlign w:val="bottom"/>
          </w:tcPr>
          <w:p>
            <w:pPr>
              <w:jc w:val="right"/>
              <w:spacing w:after="0"/>
              <w:rPr>
                <w:rFonts w:ascii="Arial" w:cs="Arial" w:eastAsia="Arial" w:hAnsi="Arial"/>
                <w:sz w:val="18"/>
                <w:szCs w:val="18"/>
                <w:color w:val="auto"/>
              </w:rPr>
            </w:pPr>
            <w:hyperlink w:anchor="page4">
              <w:r>
                <w:rPr>
                  <w:rFonts w:ascii="Arial" w:cs="Arial" w:eastAsia="Arial" w:hAnsi="Arial"/>
                  <w:sz w:val="18"/>
                  <w:szCs w:val="18"/>
                  <w:color w:val="auto"/>
                </w:rPr>
                <w:t>5</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560" w:type="dxa"/>
            <w:vAlign w:val="bottom"/>
            <w:vMerge w:val="restart"/>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5</w:t>
              </w:r>
            </w:hyperlink>
          </w:p>
        </w:tc>
        <w:tc>
          <w:tcPr>
            <w:tcW w:w="0" w:type="dxa"/>
            <w:vAlign w:val="bottom"/>
          </w:tcPr>
          <w:p>
            <w:pPr>
              <w:spacing w:after="0" w:line="20" w:lineRule="exact"/>
              <w:rPr>
                <w:sz w:val="1"/>
                <w:szCs w:val="1"/>
                <w:color w:val="auto"/>
              </w:rPr>
            </w:pPr>
          </w:p>
        </w:tc>
      </w:tr>
      <w:tr>
        <w:trPr>
          <w:trHeight w:val="372"/>
        </w:trPr>
        <w:tc>
          <w:tcPr>
            <w:tcW w:w="920" w:type="dxa"/>
            <w:vAlign w:val="bottom"/>
          </w:tcPr>
          <w:p>
            <w:pPr>
              <w:spacing w:after="0"/>
              <w:rPr>
                <w:sz w:val="24"/>
                <w:szCs w:val="24"/>
                <w:color w:val="auto"/>
              </w:rPr>
            </w:pPr>
          </w:p>
        </w:tc>
        <w:tc>
          <w:tcPr>
            <w:tcW w:w="4700" w:type="dxa"/>
            <w:vAlign w:val="bottom"/>
            <w:tcBorders>
              <w:bottom w:val="single" w:sz="8" w:color="0000FF"/>
            </w:tcBorders>
            <w:gridSpan w:val="13"/>
          </w:tcPr>
          <w:p>
            <w:pPr>
              <w:spacing w:after="0"/>
              <w:rPr>
                <w:rFonts w:ascii="Arial" w:cs="Arial" w:eastAsia="Arial" w:hAnsi="Arial"/>
                <w:sz w:val="16"/>
                <w:szCs w:val="16"/>
                <w:color w:val="0000FF"/>
                <w:w w:val="90"/>
              </w:rPr>
            </w:pPr>
            <w:hyperlink w:anchor="page5">
              <w:r>
                <w:rPr>
                  <w:rFonts w:ascii="Arial" w:cs="Arial" w:eastAsia="Arial" w:hAnsi="Arial"/>
                  <w:sz w:val="16"/>
                  <w:szCs w:val="16"/>
                  <w:color w:val="0000FF"/>
                  <w:w w:val="90"/>
                </w:rPr>
                <w:t xml:space="preserve">Consolidated Balance Sheets at March 31, 2013 and December 31, </w:t>
              </w:r>
            </w:hyperlink>
            <w:r>
              <w:rPr>
                <w:rFonts w:ascii="Arial" w:cs="Arial" w:eastAsia="Arial" w:hAnsi="Arial"/>
                <w:sz w:val="16"/>
                <w:szCs w:val="16"/>
                <w:color w:val="0000FF"/>
                <w:w w:val="90"/>
              </w:rPr>
              <w:t>2012</w:t>
            </w:r>
          </w:p>
        </w:tc>
        <w:tc>
          <w:tcPr>
            <w:tcW w:w="5200" w:type="dxa"/>
            <w:vAlign w:val="bottom"/>
            <w:gridSpan w:val="6"/>
          </w:tcPr>
          <w:p>
            <w:pPr>
              <w:spacing w:after="0"/>
              <w:rPr>
                <w:sz w:val="24"/>
                <w:szCs w:val="24"/>
                <w:color w:val="auto"/>
              </w:rPr>
            </w:pPr>
          </w:p>
        </w:tc>
        <w:tc>
          <w:tcPr>
            <w:tcW w:w="5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920" w:type="dxa"/>
            <w:vAlign w:val="bottom"/>
          </w:tcPr>
          <w:p>
            <w:pPr>
              <w:spacing w:after="0"/>
              <w:rPr>
                <w:sz w:val="24"/>
                <w:szCs w:val="24"/>
                <w:color w:val="auto"/>
              </w:rPr>
            </w:pPr>
          </w:p>
        </w:tc>
        <w:tc>
          <w:tcPr>
            <w:tcW w:w="5540" w:type="dxa"/>
            <w:vAlign w:val="bottom"/>
            <w:tcBorders>
              <w:bottom w:val="single" w:sz="8" w:color="0000FF"/>
            </w:tcBorders>
            <w:gridSpan w:val="15"/>
          </w:tcPr>
          <w:p>
            <w:pPr>
              <w:spacing w:after="0"/>
              <w:rPr>
                <w:rFonts w:ascii="Arial" w:cs="Arial" w:eastAsia="Arial" w:hAnsi="Arial"/>
                <w:sz w:val="16"/>
                <w:szCs w:val="16"/>
                <w:color w:val="0000FF"/>
                <w:w w:val="90"/>
              </w:rPr>
            </w:pPr>
            <w:hyperlink w:anchor="page5">
              <w:r>
                <w:rPr>
                  <w:rFonts w:ascii="Arial" w:cs="Arial" w:eastAsia="Arial" w:hAnsi="Arial"/>
                  <w:sz w:val="16"/>
                  <w:szCs w:val="16"/>
                  <w:color w:val="0000FF"/>
                  <w:w w:val="90"/>
                </w:rPr>
                <w:t xml:space="preserve">Consolidated Statements of Income for the Quarters Ended </w:t>
              </w:r>
            </w:hyperlink>
            <w:r>
              <w:rPr>
                <w:rFonts w:ascii="Arial" w:cs="Arial" w:eastAsia="Arial" w:hAnsi="Arial"/>
                <w:sz w:val="16"/>
                <w:szCs w:val="16"/>
                <w:color w:val="0000FF"/>
                <w:w w:val="90"/>
              </w:rPr>
              <w:t>March 31, 2013 and 2012</w:t>
            </w:r>
          </w:p>
        </w:tc>
        <w:tc>
          <w:tcPr>
            <w:tcW w:w="4360" w:type="dxa"/>
            <w:vAlign w:val="bottom"/>
            <w:gridSpan w:val="4"/>
          </w:tcPr>
          <w:p>
            <w:pPr>
              <w:spacing w:after="0"/>
              <w:rPr>
                <w:sz w:val="24"/>
                <w:szCs w:val="24"/>
                <w:color w:val="auto"/>
              </w:rPr>
            </w:pPr>
          </w:p>
        </w:tc>
        <w:tc>
          <w:tcPr>
            <w:tcW w:w="560" w:type="dxa"/>
            <w:vAlign w:val="bottom"/>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6</w:t>
              </w:r>
            </w:hyperlink>
          </w:p>
        </w:tc>
        <w:tc>
          <w:tcPr>
            <w:tcW w:w="0" w:type="dxa"/>
            <w:vAlign w:val="bottom"/>
          </w:tcPr>
          <w:p>
            <w:pPr>
              <w:spacing w:after="0"/>
              <w:rPr>
                <w:sz w:val="1"/>
                <w:szCs w:val="1"/>
                <w:color w:val="auto"/>
              </w:rPr>
            </w:pPr>
          </w:p>
        </w:tc>
      </w:tr>
      <w:tr>
        <w:trPr>
          <w:trHeight w:val="372"/>
        </w:trPr>
        <w:tc>
          <w:tcPr>
            <w:tcW w:w="920" w:type="dxa"/>
            <w:vAlign w:val="bottom"/>
          </w:tcPr>
          <w:p>
            <w:pPr>
              <w:spacing w:after="0"/>
              <w:rPr>
                <w:sz w:val="24"/>
                <w:szCs w:val="24"/>
                <w:color w:val="auto"/>
              </w:rPr>
            </w:pPr>
          </w:p>
        </w:tc>
        <w:tc>
          <w:tcPr>
            <w:tcW w:w="6600" w:type="dxa"/>
            <w:vAlign w:val="bottom"/>
            <w:tcBorders>
              <w:bottom w:val="single" w:sz="8" w:color="0000FF"/>
            </w:tcBorders>
            <w:gridSpan w:val="18"/>
          </w:tcPr>
          <w:p>
            <w:pPr>
              <w:spacing w:after="0"/>
              <w:rPr>
                <w:rFonts w:ascii="Arial" w:cs="Arial" w:eastAsia="Arial" w:hAnsi="Arial"/>
                <w:sz w:val="16"/>
                <w:szCs w:val="16"/>
                <w:color w:val="0000FF"/>
                <w:w w:val="90"/>
              </w:rPr>
            </w:pPr>
            <w:hyperlink w:anchor="page6">
              <w:r>
                <w:rPr>
                  <w:rFonts w:ascii="Arial" w:cs="Arial" w:eastAsia="Arial" w:hAnsi="Arial"/>
                  <w:sz w:val="16"/>
                  <w:szCs w:val="16"/>
                  <w:color w:val="0000FF"/>
                  <w:w w:val="90"/>
                </w:rPr>
                <w:t>Consolidated Statements of Comprehensive Income for the Quarters Ended March 31, 2013 and 2012</w:t>
              </w:r>
            </w:hyperlink>
          </w:p>
        </w:tc>
        <w:tc>
          <w:tcPr>
            <w:tcW w:w="3300" w:type="dxa"/>
            <w:vAlign w:val="bottom"/>
          </w:tcPr>
          <w:p>
            <w:pPr>
              <w:spacing w:after="0"/>
              <w:rPr>
                <w:sz w:val="24"/>
                <w:szCs w:val="24"/>
                <w:color w:val="auto"/>
              </w:rPr>
            </w:pPr>
          </w:p>
        </w:tc>
        <w:tc>
          <w:tcPr>
            <w:tcW w:w="560" w:type="dxa"/>
            <w:vAlign w:val="bottom"/>
          </w:tcPr>
          <w:p>
            <w:pPr>
              <w:jc w:val="right"/>
              <w:spacing w:after="0"/>
              <w:rPr>
                <w:rFonts w:ascii="Arial" w:cs="Arial" w:eastAsia="Arial" w:hAnsi="Arial"/>
                <w:sz w:val="18"/>
                <w:szCs w:val="18"/>
                <w:color w:val="auto"/>
              </w:rPr>
            </w:pPr>
            <w:hyperlink w:anchor="page6">
              <w:r>
                <w:rPr>
                  <w:rFonts w:ascii="Arial" w:cs="Arial" w:eastAsia="Arial" w:hAnsi="Arial"/>
                  <w:sz w:val="18"/>
                  <w:szCs w:val="18"/>
                  <w:color w:val="auto"/>
                </w:rPr>
                <w:t>7</w:t>
              </w:r>
            </w:hyperlink>
          </w:p>
        </w:tc>
        <w:tc>
          <w:tcPr>
            <w:tcW w:w="0" w:type="dxa"/>
            <w:vAlign w:val="bottom"/>
          </w:tcPr>
          <w:p>
            <w:pPr>
              <w:spacing w:after="0"/>
              <w:rPr>
                <w:sz w:val="1"/>
                <w:szCs w:val="1"/>
                <w:color w:val="auto"/>
              </w:rPr>
            </w:pPr>
          </w:p>
        </w:tc>
      </w:tr>
      <w:tr>
        <w:trPr>
          <w:trHeight w:val="372"/>
        </w:trPr>
        <w:tc>
          <w:tcPr>
            <w:tcW w:w="920" w:type="dxa"/>
            <w:vAlign w:val="bottom"/>
          </w:tcPr>
          <w:p>
            <w:pPr>
              <w:spacing w:after="0"/>
              <w:rPr>
                <w:sz w:val="24"/>
                <w:szCs w:val="24"/>
                <w:color w:val="auto"/>
              </w:rPr>
            </w:pPr>
          </w:p>
        </w:tc>
        <w:tc>
          <w:tcPr>
            <w:tcW w:w="5480" w:type="dxa"/>
            <w:vAlign w:val="bottom"/>
            <w:tcBorders>
              <w:bottom w:val="single" w:sz="8" w:color="0000FF"/>
            </w:tcBorders>
            <w:gridSpan w:val="14"/>
          </w:tcPr>
          <w:p>
            <w:pPr>
              <w:spacing w:after="0"/>
              <w:rPr>
                <w:rFonts w:ascii="Arial" w:cs="Arial" w:eastAsia="Arial" w:hAnsi="Arial"/>
                <w:sz w:val="16"/>
                <w:szCs w:val="16"/>
                <w:color w:val="0000FF"/>
                <w:w w:val="91"/>
              </w:rPr>
            </w:pPr>
            <w:hyperlink w:anchor="page7">
              <w:r>
                <w:rPr>
                  <w:rFonts w:ascii="Arial" w:cs="Arial" w:eastAsia="Arial" w:hAnsi="Arial"/>
                  <w:sz w:val="16"/>
                  <w:szCs w:val="16"/>
                  <w:color w:val="0000FF"/>
                  <w:w w:val="91"/>
                </w:rPr>
                <w:t xml:space="preserve">Consolidated Statements of Equity for the Quarters Ended March 31, 2013 and </w:t>
              </w:r>
            </w:hyperlink>
            <w:r>
              <w:rPr>
                <w:rFonts w:ascii="Arial" w:cs="Arial" w:eastAsia="Arial" w:hAnsi="Arial"/>
                <w:sz w:val="16"/>
                <w:szCs w:val="16"/>
                <w:color w:val="0000FF"/>
                <w:w w:val="91"/>
              </w:rPr>
              <w:t>2012</w:t>
            </w:r>
          </w:p>
        </w:tc>
        <w:tc>
          <w:tcPr>
            <w:tcW w:w="4420" w:type="dxa"/>
            <w:vAlign w:val="bottom"/>
            <w:gridSpan w:val="5"/>
          </w:tcPr>
          <w:p>
            <w:pPr>
              <w:spacing w:after="0"/>
              <w:rPr>
                <w:sz w:val="24"/>
                <w:szCs w:val="24"/>
                <w:color w:val="auto"/>
              </w:rPr>
            </w:pPr>
          </w:p>
        </w:tc>
        <w:tc>
          <w:tcPr>
            <w:tcW w:w="560" w:type="dxa"/>
            <w:vAlign w:val="bottom"/>
          </w:tcPr>
          <w:p>
            <w:pPr>
              <w:jc w:val="right"/>
              <w:spacing w:after="0"/>
              <w:rPr>
                <w:rFonts w:ascii="Arial" w:cs="Arial" w:eastAsia="Arial" w:hAnsi="Arial"/>
                <w:sz w:val="18"/>
                <w:szCs w:val="18"/>
                <w:color w:val="auto"/>
              </w:rPr>
            </w:pPr>
            <w:hyperlink w:anchor="page7">
              <w:r>
                <w:rPr>
                  <w:rFonts w:ascii="Arial" w:cs="Arial" w:eastAsia="Arial" w:hAnsi="Arial"/>
                  <w:sz w:val="18"/>
                  <w:szCs w:val="18"/>
                  <w:color w:val="auto"/>
                </w:rPr>
                <w:t>8</w:t>
              </w:r>
            </w:hyperlink>
          </w:p>
        </w:tc>
        <w:tc>
          <w:tcPr>
            <w:tcW w:w="0" w:type="dxa"/>
            <w:vAlign w:val="bottom"/>
          </w:tcPr>
          <w:p>
            <w:pPr>
              <w:spacing w:after="0"/>
              <w:rPr>
                <w:sz w:val="1"/>
                <w:szCs w:val="1"/>
                <w:color w:val="auto"/>
              </w:rPr>
            </w:pPr>
          </w:p>
        </w:tc>
      </w:tr>
      <w:tr>
        <w:trPr>
          <w:trHeight w:val="372"/>
        </w:trPr>
        <w:tc>
          <w:tcPr>
            <w:tcW w:w="920" w:type="dxa"/>
            <w:vAlign w:val="bottom"/>
          </w:tcPr>
          <w:p>
            <w:pPr>
              <w:spacing w:after="0"/>
              <w:rPr>
                <w:sz w:val="24"/>
                <w:szCs w:val="24"/>
                <w:color w:val="auto"/>
              </w:rPr>
            </w:pPr>
          </w:p>
        </w:tc>
        <w:tc>
          <w:tcPr>
            <w:tcW w:w="9900" w:type="dxa"/>
            <w:vAlign w:val="bottom"/>
            <w:gridSpan w:val="19"/>
          </w:tcPr>
          <w:p>
            <w:pPr>
              <w:spacing w:after="0"/>
              <w:rPr>
                <w:rFonts w:ascii="Arial" w:cs="Arial" w:eastAsia="Arial" w:hAnsi="Arial"/>
                <w:sz w:val="16"/>
                <w:szCs w:val="16"/>
                <w:color w:val="0000FF"/>
              </w:rPr>
            </w:pPr>
            <w:hyperlink w:anchor="page9">
              <w:r>
                <w:rPr>
                  <w:rFonts w:ascii="Arial" w:cs="Arial" w:eastAsia="Arial" w:hAnsi="Arial"/>
                  <w:sz w:val="16"/>
                  <w:szCs w:val="16"/>
                  <w:color w:val="0000FF"/>
                </w:rPr>
                <w:t xml:space="preserve">Consolidated Statements of Cash Flows for the Quarters Ended </w:t>
              </w:r>
            </w:hyperlink>
            <w:r>
              <w:rPr>
                <w:rFonts w:ascii="Arial" w:cs="Arial" w:eastAsia="Arial" w:hAnsi="Arial"/>
                <w:sz w:val="16"/>
                <w:szCs w:val="16"/>
                <w:color w:val="0000FF"/>
              </w:rPr>
              <w:t>March 31, 2013 and 2012</w:t>
            </w:r>
          </w:p>
        </w:tc>
        <w:tc>
          <w:tcPr>
            <w:tcW w:w="560" w:type="dxa"/>
            <w:vAlign w:val="bottom"/>
          </w:tcPr>
          <w:p>
            <w:pPr>
              <w:jc w:val="right"/>
              <w:spacing w:after="0"/>
              <w:rPr>
                <w:rFonts w:ascii="Arial" w:cs="Arial" w:eastAsia="Arial" w:hAnsi="Arial"/>
                <w:sz w:val="18"/>
                <w:szCs w:val="18"/>
                <w:color w:val="auto"/>
              </w:rPr>
            </w:pPr>
            <w:hyperlink w:anchor="page9">
              <w:r>
                <w:rPr>
                  <w:rFonts w:ascii="Arial" w:cs="Arial" w:eastAsia="Arial" w:hAnsi="Arial"/>
                  <w:sz w:val="18"/>
                  <w:szCs w:val="18"/>
                  <w:color w:val="auto"/>
                </w:rPr>
                <w:t>10</w:t>
              </w:r>
            </w:hyperlink>
          </w:p>
        </w:tc>
        <w:tc>
          <w:tcPr>
            <w:tcW w:w="0" w:type="dxa"/>
            <w:vAlign w:val="bottom"/>
          </w:tcPr>
          <w:p>
            <w:pPr>
              <w:spacing w:after="0"/>
              <w:rPr>
                <w:sz w:val="1"/>
                <w:szCs w:val="1"/>
                <w:color w:val="auto"/>
              </w:rPr>
            </w:pPr>
          </w:p>
        </w:tc>
      </w:tr>
      <w:tr>
        <w:trPr>
          <w:trHeight w:val="372"/>
        </w:trPr>
        <w:tc>
          <w:tcPr>
            <w:tcW w:w="920" w:type="dxa"/>
            <w:vAlign w:val="bottom"/>
          </w:tcPr>
          <w:p>
            <w:pPr>
              <w:spacing w:after="0"/>
              <w:rPr>
                <w:sz w:val="24"/>
                <w:szCs w:val="24"/>
                <w:color w:val="auto"/>
              </w:rPr>
            </w:pPr>
          </w:p>
        </w:tc>
        <w:tc>
          <w:tcPr>
            <w:tcW w:w="5800" w:type="dxa"/>
            <w:vAlign w:val="bottom"/>
            <w:tcBorders>
              <w:top w:val="single" w:sz="8" w:color="0000FF"/>
            </w:tcBorders>
            <w:gridSpan w:val="16"/>
          </w:tcPr>
          <w:p>
            <w:pPr>
              <w:spacing w:after="0"/>
              <w:rPr>
                <w:rFonts w:ascii="Arial" w:cs="Arial" w:eastAsia="Arial" w:hAnsi="Arial"/>
                <w:sz w:val="16"/>
                <w:szCs w:val="16"/>
                <w:color w:val="0000FF"/>
              </w:rPr>
            </w:pPr>
            <w:hyperlink w:anchor="page10">
              <w:r>
                <w:rPr>
                  <w:rFonts w:ascii="Arial" w:cs="Arial" w:eastAsia="Arial" w:hAnsi="Arial"/>
                  <w:sz w:val="16"/>
                  <w:szCs w:val="16"/>
                  <w:color w:val="0000FF"/>
                </w:rPr>
                <w:t>Notes to Unaudited Consolidated Financial Statements</w:t>
              </w:r>
            </w:hyperlink>
          </w:p>
        </w:tc>
        <w:tc>
          <w:tcPr>
            <w:tcW w:w="4100" w:type="dxa"/>
            <w:vAlign w:val="bottom"/>
            <w:gridSpan w:val="3"/>
          </w:tcPr>
          <w:p>
            <w:pPr>
              <w:spacing w:after="0"/>
              <w:rPr>
                <w:sz w:val="24"/>
                <w:szCs w:val="24"/>
                <w:color w:val="auto"/>
              </w:rPr>
            </w:pPr>
          </w:p>
        </w:tc>
        <w:tc>
          <w:tcPr>
            <w:tcW w:w="560" w:type="dxa"/>
            <w:vAlign w:val="bottom"/>
          </w:tcPr>
          <w:p>
            <w:pPr>
              <w:jc w:val="right"/>
              <w:spacing w:after="0"/>
              <w:rPr>
                <w:rFonts w:ascii="Arial" w:cs="Arial" w:eastAsia="Arial" w:hAnsi="Arial"/>
                <w:sz w:val="18"/>
                <w:szCs w:val="18"/>
                <w:color w:val="auto"/>
              </w:rPr>
            </w:pPr>
            <w:hyperlink w:anchor="page10">
              <w:r>
                <w:rPr>
                  <w:rFonts w:ascii="Arial" w:cs="Arial" w:eastAsia="Arial" w:hAnsi="Arial"/>
                  <w:sz w:val="18"/>
                  <w:szCs w:val="18"/>
                  <w:color w:val="auto"/>
                </w:rPr>
                <w:t>11</w:t>
              </w:r>
            </w:hyperlink>
          </w:p>
        </w:tc>
        <w:tc>
          <w:tcPr>
            <w:tcW w:w="0" w:type="dxa"/>
            <w:vAlign w:val="bottom"/>
          </w:tcPr>
          <w:p>
            <w:pPr>
              <w:spacing w:after="0"/>
              <w:rPr>
                <w:sz w:val="1"/>
                <w:szCs w:val="1"/>
                <w:color w:val="auto"/>
              </w:rPr>
            </w:pPr>
          </w:p>
        </w:tc>
      </w:tr>
      <w:tr>
        <w:trPr>
          <w:trHeight w:val="20"/>
        </w:trPr>
        <w:tc>
          <w:tcPr>
            <w:tcW w:w="920" w:type="dxa"/>
            <w:vAlign w:val="bottom"/>
            <w:vMerge w:val="restart"/>
          </w:tcPr>
          <w:p>
            <w:pPr>
              <w:spacing w:after="0"/>
              <w:rPr>
                <w:sz w:val="20"/>
                <w:szCs w:val="20"/>
                <w:color w:val="auto"/>
              </w:rPr>
            </w:pPr>
            <w:r>
              <w:rPr>
                <w:rFonts w:ascii="Arial" w:cs="Arial" w:eastAsia="Arial" w:hAnsi="Arial"/>
                <w:sz w:val="16"/>
                <w:szCs w:val="16"/>
                <w:b w:val="1"/>
                <w:bCs w:val="1"/>
                <w:color w:val="auto"/>
              </w:rPr>
              <w:t>Item 2.</w:t>
            </w: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2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gridSpan w:val="5"/>
          </w:tcPr>
          <w:p>
            <w:pPr>
              <w:spacing w:after="0" w:line="20" w:lineRule="exact"/>
              <w:rPr>
                <w:sz w:val="1"/>
                <w:szCs w:val="1"/>
                <w:color w:val="auto"/>
              </w:rPr>
            </w:pPr>
          </w:p>
        </w:tc>
        <w:tc>
          <w:tcPr>
            <w:tcW w:w="3760" w:type="dxa"/>
            <w:vAlign w:val="bottom"/>
            <w:gridSpan w:val="2"/>
          </w:tcPr>
          <w:p>
            <w:pPr>
              <w:spacing w:after="0" w:line="20" w:lineRule="exact"/>
              <w:rPr>
                <w:sz w:val="1"/>
                <w:szCs w:val="1"/>
                <w:color w:val="auto"/>
              </w:rPr>
            </w:pPr>
          </w:p>
        </w:tc>
        <w:tc>
          <w:tcPr>
            <w:tcW w:w="560" w:type="dxa"/>
            <w:vAlign w:val="bottom"/>
            <w:vMerge w:val="restart"/>
          </w:tcPr>
          <w:p>
            <w:pPr>
              <w:jc w:val="right"/>
              <w:spacing w:after="0"/>
              <w:rPr>
                <w:rFonts w:ascii="Arial" w:cs="Arial" w:eastAsia="Arial" w:hAnsi="Arial"/>
                <w:sz w:val="18"/>
                <w:szCs w:val="18"/>
                <w:color w:val="auto"/>
              </w:rPr>
            </w:pPr>
            <w:hyperlink w:anchor="page17">
              <w:r>
                <w:rPr>
                  <w:rFonts w:ascii="Arial" w:cs="Arial" w:eastAsia="Arial" w:hAnsi="Arial"/>
                  <w:sz w:val="18"/>
                  <w:szCs w:val="18"/>
                  <w:color w:val="auto"/>
                </w:rPr>
                <w:t>18</w:t>
              </w:r>
            </w:hyperlink>
          </w:p>
        </w:tc>
        <w:tc>
          <w:tcPr>
            <w:tcW w:w="0" w:type="dxa"/>
            <w:vAlign w:val="bottom"/>
          </w:tcPr>
          <w:p>
            <w:pPr>
              <w:spacing w:after="0" w:line="20" w:lineRule="exact"/>
              <w:rPr>
                <w:sz w:val="1"/>
                <w:szCs w:val="1"/>
                <w:color w:val="auto"/>
              </w:rPr>
            </w:pPr>
          </w:p>
        </w:tc>
      </w:tr>
      <w:tr>
        <w:trPr>
          <w:trHeight w:val="372"/>
        </w:trPr>
        <w:tc>
          <w:tcPr>
            <w:tcW w:w="920" w:type="dxa"/>
            <w:vAlign w:val="bottom"/>
            <w:vMerge w:val="continue"/>
          </w:tcPr>
          <w:p>
            <w:pPr>
              <w:spacing w:after="0"/>
              <w:rPr>
                <w:sz w:val="24"/>
                <w:szCs w:val="24"/>
                <w:color w:val="auto"/>
              </w:rPr>
            </w:pPr>
          </w:p>
        </w:tc>
        <w:tc>
          <w:tcPr>
            <w:tcW w:w="9900" w:type="dxa"/>
            <w:vAlign w:val="bottom"/>
            <w:gridSpan w:val="19"/>
          </w:tcPr>
          <w:p>
            <w:pPr>
              <w:spacing w:after="0"/>
              <w:rPr>
                <w:rFonts w:ascii="Arial" w:cs="Arial" w:eastAsia="Arial" w:hAnsi="Arial"/>
                <w:sz w:val="16"/>
                <w:szCs w:val="16"/>
                <w:b w:val="1"/>
                <w:bCs w:val="1"/>
                <w:color w:val="0000FF"/>
              </w:rPr>
            </w:pPr>
            <w:hyperlink w:anchor="page17">
              <w:r>
                <w:rPr>
                  <w:rFonts w:ascii="Arial" w:cs="Arial" w:eastAsia="Arial" w:hAnsi="Arial"/>
                  <w:sz w:val="16"/>
                  <w:szCs w:val="16"/>
                  <w:b w:val="1"/>
                  <w:bCs w:val="1"/>
                  <w:color w:val="0000FF"/>
                </w:rPr>
                <w:t>Management’s Discussion and Analysis of Financial Condition and Results of Operations</w:t>
              </w:r>
            </w:hyperlink>
          </w:p>
        </w:tc>
        <w:tc>
          <w:tcPr>
            <w:tcW w:w="5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6"/>
                <w:szCs w:val="16"/>
                <w:b w:val="1"/>
                <w:bCs w:val="1"/>
                <w:color w:val="auto"/>
              </w:rPr>
              <w:t>Item 3.</w:t>
            </w:r>
          </w:p>
        </w:tc>
        <w:tc>
          <w:tcPr>
            <w:tcW w:w="4200" w:type="dxa"/>
            <w:vAlign w:val="bottom"/>
            <w:tcBorders>
              <w:top w:val="single" w:sz="8" w:color="0000FF"/>
              <w:bottom w:val="single" w:sz="8" w:color="0000FF"/>
            </w:tcBorders>
            <w:gridSpan w:val="12"/>
          </w:tcPr>
          <w:p>
            <w:pPr>
              <w:spacing w:after="0"/>
              <w:rPr>
                <w:rFonts w:ascii="Arial" w:cs="Arial" w:eastAsia="Arial" w:hAnsi="Arial"/>
                <w:sz w:val="16"/>
                <w:szCs w:val="16"/>
                <w:b w:val="1"/>
                <w:bCs w:val="1"/>
                <w:color w:val="0000FF"/>
                <w:w w:val="92"/>
              </w:rPr>
            </w:pPr>
            <w:hyperlink w:anchor="page25">
              <w:r>
                <w:rPr>
                  <w:rFonts w:ascii="Arial" w:cs="Arial" w:eastAsia="Arial" w:hAnsi="Arial"/>
                  <w:sz w:val="16"/>
                  <w:szCs w:val="16"/>
                  <w:b w:val="1"/>
                  <w:bCs w:val="1"/>
                  <w:color w:val="0000FF"/>
                  <w:w w:val="92"/>
                </w:rPr>
                <w:t>Quantitative and Qualitative Disclosures About Market Risk</w:t>
              </w:r>
            </w:hyperlink>
          </w:p>
        </w:tc>
        <w:tc>
          <w:tcPr>
            <w:tcW w:w="1940" w:type="dxa"/>
            <w:vAlign w:val="bottom"/>
            <w:tcBorders>
              <w:top w:val="single" w:sz="8" w:color="0000FF"/>
            </w:tcBorders>
            <w:gridSpan w:val="5"/>
          </w:tcPr>
          <w:p>
            <w:pPr>
              <w:spacing w:after="0"/>
              <w:rPr>
                <w:sz w:val="24"/>
                <w:szCs w:val="24"/>
                <w:color w:val="auto"/>
              </w:rPr>
            </w:pPr>
          </w:p>
        </w:tc>
        <w:tc>
          <w:tcPr>
            <w:tcW w:w="3760" w:type="dxa"/>
            <w:vAlign w:val="bottom"/>
            <w:gridSpan w:val="2"/>
          </w:tcPr>
          <w:p>
            <w:pPr>
              <w:spacing w:after="0"/>
              <w:rPr>
                <w:sz w:val="24"/>
                <w:szCs w:val="24"/>
                <w:color w:val="auto"/>
              </w:rPr>
            </w:pPr>
          </w:p>
        </w:tc>
        <w:tc>
          <w:tcPr>
            <w:tcW w:w="560" w:type="dxa"/>
            <w:vAlign w:val="bottom"/>
          </w:tcPr>
          <w:p>
            <w:pPr>
              <w:jc w:val="right"/>
              <w:spacing w:after="0"/>
              <w:rPr>
                <w:rFonts w:ascii="Arial" w:cs="Arial" w:eastAsia="Arial" w:hAnsi="Arial"/>
                <w:sz w:val="18"/>
                <w:szCs w:val="18"/>
                <w:color w:val="auto"/>
              </w:rPr>
            </w:pPr>
            <w:hyperlink w:anchor="page25">
              <w:r>
                <w:rPr>
                  <w:rFonts w:ascii="Arial" w:cs="Arial" w:eastAsia="Arial" w:hAnsi="Arial"/>
                  <w:sz w:val="18"/>
                  <w:szCs w:val="18"/>
                  <w:color w:val="auto"/>
                </w:rPr>
                <w:t>25</w:t>
              </w:r>
            </w:hyperlink>
          </w:p>
        </w:tc>
        <w:tc>
          <w:tcPr>
            <w:tcW w:w="0" w:type="dxa"/>
            <w:vAlign w:val="bottom"/>
          </w:tcPr>
          <w:p>
            <w:pPr>
              <w:spacing w:after="0"/>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6"/>
                <w:szCs w:val="16"/>
                <w:b w:val="1"/>
                <w:bCs w:val="1"/>
                <w:color w:val="auto"/>
              </w:rPr>
              <w:t>Item 4.</w:t>
            </w:r>
          </w:p>
        </w:tc>
        <w:tc>
          <w:tcPr>
            <w:tcW w:w="1720" w:type="dxa"/>
            <w:vAlign w:val="bottom"/>
            <w:tcBorders>
              <w:bottom w:val="single" w:sz="8" w:color="0000FF"/>
            </w:tcBorders>
            <w:gridSpan w:val="8"/>
          </w:tcPr>
          <w:p>
            <w:pPr>
              <w:spacing w:after="0"/>
              <w:rPr>
                <w:rFonts w:ascii="Arial" w:cs="Arial" w:eastAsia="Arial" w:hAnsi="Arial"/>
                <w:sz w:val="16"/>
                <w:szCs w:val="16"/>
                <w:b w:val="1"/>
                <w:bCs w:val="1"/>
                <w:color w:val="0000FF"/>
                <w:w w:val="88"/>
              </w:rPr>
            </w:pPr>
            <w:hyperlink w:anchor="page25">
              <w:r>
                <w:rPr>
                  <w:rFonts w:ascii="Arial" w:cs="Arial" w:eastAsia="Arial" w:hAnsi="Arial"/>
                  <w:sz w:val="16"/>
                  <w:szCs w:val="16"/>
                  <w:b w:val="1"/>
                  <w:bCs w:val="1"/>
                  <w:color w:val="0000FF"/>
                  <w:w w:val="88"/>
                </w:rPr>
                <w:t>Controls and Procedures</w:t>
              </w:r>
            </w:hyperlink>
          </w:p>
        </w:tc>
        <w:tc>
          <w:tcPr>
            <w:tcW w:w="8180" w:type="dxa"/>
            <w:vAlign w:val="bottom"/>
            <w:gridSpan w:val="11"/>
          </w:tcPr>
          <w:p>
            <w:pPr>
              <w:spacing w:after="0"/>
              <w:rPr>
                <w:sz w:val="24"/>
                <w:szCs w:val="24"/>
                <w:color w:val="auto"/>
              </w:rPr>
            </w:pPr>
          </w:p>
        </w:tc>
        <w:tc>
          <w:tcPr>
            <w:tcW w:w="560" w:type="dxa"/>
            <w:vAlign w:val="bottom"/>
          </w:tcPr>
          <w:p>
            <w:pPr>
              <w:jc w:val="right"/>
              <w:spacing w:after="0"/>
              <w:rPr>
                <w:rFonts w:ascii="Arial" w:cs="Arial" w:eastAsia="Arial" w:hAnsi="Arial"/>
                <w:sz w:val="18"/>
                <w:szCs w:val="18"/>
                <w:color w:val="auto"/>
              </w:rPr>
            </w:pPr>
            <w:hyperlink w:anchor="page25">
              <w:r>
                <w:rPr>
                  <w:rFonts w:ascii="Arial" w:cs="Arial" w:eastAsia="Arial" w:hAnsi="Arial"/>
                  <w:sz w:val="18"/>
                  <w:szCs w:val="18"/>
                  <w:color w:val="auto"/>
                </w:rPr>
                <w:t>25</w:t>
              </w:r>
            </w:hyperlink>
          </w:p>
        </w:tc>
        <w:tc>
          <w:tcPr>
            <w:tcW w:w="0" w:type="dxa"/>
            <w:vAlign w:val="bottom"/>
          </w:tcPr>
          <w:p>
            <w:pPr>
              <w:spacing w:after="0"/>
              <w:rPr>
                <w:sz w:val="1"/>
                <w:szCs w:val="1"/>
                <w:color w:val="auto"/>
              </w:rPr>
            </w:pPr>
          </w:p>
        </w:tc>
      </w:tr>
      <w:tr>
        <w:trPr>
          <w:trHeight w:val="358"/>
        </w:trPr>
        <w:tc>
          <w:tcPr>
            <w:tcW w:w="10820" w:type="dxa"/>
            <w:vAlign w:val="bottom"/>
            <w:gridSpan w:val="20"/>
          </w:tcPr>
          <w:p>
            <w:pPr>
              <w:spacing w:after="0"/>
              <w:rPr>
                <w:rFonts w:ascii="Arial" w:cs="Arial" w:eastAsia="Arial" w:hAnsi="Arial"/>
                <w:sz w:val="16"/>
                <w:szCs w:val="16"/>
                <w:b w:val="1"/>
                <w:bCs w:val="1"/>
                <w:color w:val="0000FF"/>
              </w:rPr>
            </w:pPr>
            <w:hyperlink w:anchor="page25">
              <w:r>
                <w:rPr>
                  <w:rFonts w:ascii="Arial" w:cs="Arial" w:eastAsia="Arial" w:hAnsi="Arial"/>
                  <w:sz w:val="16"/>
                  <w:szCs w:val="16"/>
                  <w:b w:val="1"/>
                  <w:bCs w:val="1"/>
                  <w:color w:val="0000FF"/>
                </w:rPr>
                <w:t>PART II. OTHER INFORMATION</w:t>
              </w:r>
            </w:hyperlink>
          </w:p>
        </w:tc>
        <w:tc>
          <w:tcPr>
            <w:tcW w:w="560" w:type="dxa"/>
            <w:vAlign w:val="bottom"/>
          </w:tcPr>
          <w:p>
            <w:pPr>
              <w:jc w:val="right"/>
              <w:spacing w:after="0"/>
              <w:rPr>
                <w:rFonts w:ascii="Arial" w:cs="Arial" w:eastAsia="Arial" w:hAnsi="Arial"/>
                <w:sz w:val="18"/>
                <w:szCs w:val="18"/>
                <w:color w:val="auto"/>
              </w:rPr>
            </w:pPr>
            <w:hyperlink w:anchor="page25">
              <w:r>
                <w:rPr>
                  <w:rFonts w:ascii="Arial" w:cs="Arial" w:eastAsia="Arial" w:hAnsi="Arial"/>
                  <w:sz w:val="18"/>
                  <w:szCs w:val="18"/>
                  <w:color w:val="auto"/>
                </w:rPr>
                <w:t>26</w:t>
              </w:r>
            </w:hyperlink>
          </w:p>
        </w:tc>
        <w:tc>
          <w:tcPr>
            <w:tcW w:w="0" w:type="dxa"/>
            <w:vAlign w:val="bottom"/>
          </w:tcPr>
          <w:p>
            <w:pPr>
              <w:spacing w:after="0"/>
              <w:rPr>
                <w:sz w:val="1"/>
                <w:szCs w:val="1"/>
                <w:color w:val="auto"/>
              </w:rPr>
            </w:pPr>
          </w:p>
        </w:tc>
      </w:tr>
      <w:tr>
        <w:trPr>
          <w:trHeight w:val="385"/>
        </w:trPr>
        <w:tc>
          <w:tcPr>
            <w:tcW w:w="920" w:type="dxa"/>
            <w:vAlign w:val="bottom"/>
            <w:tcBorders>
              <w:top w:val="single" w:sz="8" w:color="0000FF"/>
            </w:tcBorders>
          </w:tcPr>
          <w:p>
            <w:pPr>
              <w:spacing w:after="0"/>
              <w:rPr>
                <w:sz w:val="20"/>
                <w:szCs w:val="20"/>
                <w:color w:val="auto"/>
              </w:rPr>
            </w:pPr>
            <w:r>
              <w:rPr>
                <w:rFonts w:ascii="Arial" w:cs="Arial" w:eastAsia="Arial" w:hAnsi="Arial"/>
                <w:sz w:val="16"/>
                <w:szCs w:val="16"/>
                <w:b w:val="1"/>
                <w:bCs w:val="1"/>
                <w:color w:val="auto"/>
              </w:rPr>
              <w:t>Item 1.</w:t>
            </w:r>
          </w:p>
        </w:tc>
        <w:tc>
          <w:tcPr>
            <w:tcW w:w="1260" w:type="dxa"/>
            <w:vAlign w:val="bottom"/>
            <w:tcBorders>
              <w:top w:val="single" w:sz="8" w:color="0000FF"/>
              <w:bottom w:val="single" w:sz="8" w:color="0000FF"/>
            </w:tcBorders>
            <w:gridSpan w:val="4"/>
          </w:tcPr>
          <w:p>
            <w:pPr>
              <w:spacing w:after="0"/>
              <w:rPr>
                <w:rFonts w:ascii="Arial" w:cs="Arial" w:eastAsia="Arial" w:hAnsi="Arial"/>
                <w:sz w:val="16"/>
                <w:szCs w:val="16"/>
                <w:b w:val="1"/>
                <w:bCs w:val="1"/>
                <w:color w:val="0000FF"/>
                <w:w w:val="87"/>
              </w:rPr>
            </w:pPr>
            <w:hyperlink w:anchor="page26">
              <w:r>
                <w:rPr>
                  <w:rFonts w:ascii="Arial" w:cs="Arial" w:eastAsia="Arial" w:hAnsi="Arial"/>
                  <w:sz w:val="16"/>
                  <w:szCs w:val="16"/>
                  <w:b w:val="1"/>
                  <w:bCs w:val="1"/>
                  <w:color w:val="0000FF"/>
                  <w:w w:val="87"/>
                </w:rPr>
                <w:t>Legal Proceedings</w:t>
              </w:r>
            </w:hyperlink>
          </w:p>
        </w:tc>
        <w:tc>
          <w:tcPr>
            <w:tcW w:w="300" w:type="dxa"/>
            <w:vAlign w:val="bottom"/>
            <w:tcBorders>
              <w:top w:val="single" w:sz="8" w:color="0000FF"/>
            </w:tcBorders>
            <w:gridSpan w:val="2"/>
          </w:tcPr>
          <w:p>
            <w:pPr>
              <w:spacing w:after="0"/>
              <w:rPr>
                <w:sz w:val="24"/>
                <w:szCs w:val="24"/>
                <w:color w:val="auto"/>
              </w:rPr>
            </w:pPr>
          </w:p>
        </w:tc>
        <w:tc>
          <w:tcPr>
            <w:tcW w:w="8340" w:type="dxa"/>
            <w:vAlign w:val="bottom"/>
            <w:gridSpan w:val="13"/>
          </w:tcPr>
          <w:p>
            <w:pPr>
              <w:spacing w:after="0"/>
              <w:rPr>
                <w:sz w:val="24"/>
                <w:szCs w:val="24"/>
                <w:color w:val="auto"/>
              </w:rPr>
            </w:pPr>
          </w:p>
        </w:tc>
        <w:tc>
          <w:tcPr>
            <w:tcW w:w="560" w:type="dxa"/>
            <w:vAlign w:val="bottom"/>
          </w:tcPr>
          <w:p>
            <w:pPr>
              <w:jc w:val="right"/>
              <w:spacing w:after="0"/>
              <w:rPr>
                <w:rFonts w:ascii="Arial" w:cs="Arial" w:eastAsia="Arial" w:hAnsi="Arial"/>
                <w:sz w:val="18"/>
                <w:szCs w:val="18"/>
                <w:color w:val="auto"/>
              </w:rPr>
            </w:pPr>
            <w:hyperlink w:anchor="page26">
              <w:r>
                <w:rPr>
                  <w:rFonts w:ascii="Arial" w:cs="Arial" w:eastAsia="Arial" w:hAnsi="Arial"/>
                  <w:sz w:val="18"/>
                  <w:szCs w:val="18"/>
                  <w:color w:val="auto"/>
                </w:rPr>
                <w:t>26</w:t>
              </w:r>
            </w:hyperlink>
          </w:p>
        </w:tc>
        <w:tc>
          <w:tcPr>
            <w:tcW w:w="0" w:type="dxa"/>
            <w:vAlign w:val="bottom"/>
          </w:tcPr>
          <w:p>
            <w:pPr>
              <w:spacing w:after="0"/>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6"/>
                <w:szCs w:val="16"/>
                <w:b w:val="1"/>
                <w:bCs w:val="1"/>
                <w:color w:val="auto"/>
              </w:rPr>
              <w:t>Item 1A.</w:t>
            </w:r>
          </w:p>
        </w:tc>
        <w:tc>
          <w:tcPr>
            <w:tcW w:w="880" w:type="dxa"/>
            <w:vAlign w:val="bottom"/>
            <w:tcBorders>
              <w:bottom w:val="single" w:sz="8" w:color="0000FF"/>
            </w:tcBorders>
            <w:gridSpan w:val="3"/>
          </w:tcPr>
          <w:p>
            <w:pPr>
              <w:spacing w:after="0"/>
              <w:rPr>
                <w:rFonts w:ascii="Arial" w:cs="Arial" w:eastAsia="Arial" w:hAnsi="Arial"/>
                <w:sz w:val="16"/>
                <w:szCs w:val="16"/>
                <w:b w:val="1"/>
                <w:bCs w:val="1"/>
                <w:color w:val="0000FF"/>
                <w:w w:val="89"/>
              </w:rPr>
            </w:pPr>
            <w:hyperlink w:anchor="page26">
              <w:r>
                <w:rPr>
                  <w:rFonts w:ascii="Arial" w:cs="Arial" w:eastAsia="Arial" w:hAnsi="Arial"/>
                  <w:sz w:val="16"/>
                  <w:szCs w:val="16"/>
                  <w:b w:val="1"/>
                  <w:bCs w:val="1"/>
                  <w:color w:val="0000FF"/>
                  <w:w w:val="89"/>
                </w:rPr>
                <w:t>Risk Factors</w:t>
              </w:r>
            </w:hyperlink>
          </w:p>
        </w:tc>
        <w:tc>
          <w:tcPr>
            <w:tcW w:w="9020" w:type="dxa"/>
            <w:vAlign w:val="bottom"/>
            <w:gridSpan w:val="16"/>
          </w:tcPr>
          <w:p>
            <w:pPr>
              <w:spacing w:after="0"/>
              <w:rPr>
                <w:sz w:val="24"/>
                <w:szCs w:val="24"/>
                <w:color w:val="auto"/>
              </w:rPr>
            </w:pPr>
          </w:p>
        </w:tc>
        <w:tc>
          <w:tcPr>
            <w:tcW w:w="560" w:type="dxa"/>
            <w:vAlign w:val="bottom"/>
          </w:tcPr>
          <w:p>
            <w:pPr>
              <w:jc w:val="right"/>
              <w:spacing w:after="0"/>
              <w:rPr>
                <w:rFonts w:ascii="Arial" w:cs="Arial" w:eastAsia="Arial" w:hAnsi="Arial"/>
                <w:sz w:val="18"/>
                <w:szCs w:val="18"/>
                <w:color w:val="auto"/>
              </w:rPr>
            </w:pPr>
            <w:hyperlink w:anchor="page26">
              <w:r>
                <w:rPr>
                  <w:rFonts w:ascii="Arial" w:cs="Arial" w:eastAsia="Arial" w:hAnsi="Arial"/>
                  <w:sz w:val="18"/>
                  <w:szCs w:val="18"/>
                  <w:color w:val="auto"/>
                </w:rPr>
                <w:t>26</w:t>
              </w:r>
            </w:hyperlink>
          </w:p>
        </w:tc>
        <w:tc>
          <w:tcPr>
            <w:tcW w:w="0" w:type="dxa"/>
            <w:vAlign w:val="bottom"/>
          </w:tcPr>
          <w:p>
            <w:pPr>
              <w:spacing w:after="0"/>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6"/>
                <w:szCs w:val="16"/>
                <w:b w:val="1"/>
                <w:bCs w:val="1"/>
                <w:color w:val="auto"/>
              </w:rPr>
              <w:t>Item 2.</w:t>
            </w:r>
          </w:p>
        </w:tc>
        <w:tc>
          <w:tcPr>
            <w:tcW w:w="9900" w:type="dxa"/>
            <w:vAlign w:val="bottom"/>
            <w:gridSpan w:val="19"/>
          </w:tcPr>
          <w:p>
            <w:pPr>
              <w:spacing w:after="0"/>
              <w:rPr>
                <w:rFonts w:ascii="Arial" w:cs="Arial" w:eastAsia="Arial" w:hAnsi="Arial"/>
                <w:sz w:val="16"/>
                <w:szCs w:val="16"/>
                <w:b w:val="1"/>
                <w:bCs w:val="1"/>
                <w:color w:val="0000FF"/>
              </w:rPr>
            </w:pPr>
            <w:hyperlink w:anchor="page26">
              <w:r>
                <w:rPr>
                  <w:rFonts w:ascii="Arial" w:cs="Arial" w:eastAsia="Arial" w:hAnsi="Arial"/>
                  <w:sz w:val="16"/>
                  <w:szCs w:val="16"/>
                  <w:b w:val="1"/>
                  <w:bCs w:val="1"/>
                  <w:color w:val="0000FF"/>
                </w:rPr>
                <w:t>Unregistered Sales of Equity Securities and Use of Proceeds</w:t>
              </w:r>
            </w:hyperlink>
          </w:p>
        </w:tc>
        <w:tc>
          <w:tcPr>
            <w:tcW w:w="560" w:type="dxa"/>
            <w:vAlign w:val="bottom"/>
          </w:tcPr>
          <w:p>
            <w:pPr>
              <w:jc w:val="right"/>
              <w:spacing w:after="0"/>
              <w:rPr>
                <w:rFonts w:ascii="Arial" w:cs="Arial" w:eastAsia="Arial" w:hAnsi="Arial"/>
                <w:sz w:val="18"/>
                <w:szCs w:val="18"/>
                <w:color w:val="auto"/>
              </w:rPr>
            </w:pPr>
            <w:hyperlink w:anchor="page26">
              <w:r>
                <w:rPr>
                  <w:rFonts w:ascii="Arial" w:cs="Arial" w:eastAsia="Arial" w:hAnsi="Arial"/>
                  <w:sz w:val="18"/>
                  <w:szCs w:val="18"/>
                  <w:color w:val="auto"/>
                </w:rPr>
                <w:t>26</w:t>
              </w:r>
            </w:hyperlink>
          </w:p>
        </w:tc>
        <w:tc>
          <w:tcPr>
            <w:tcW w:w="0" w:type="dxa"/>
            <w:vAlign w:val="bottom"/>
          </w:tcPr>
          <w:p>
            <w:pPr>
              <w:spacing w:after="0"/>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6"/>
                <w:szCs w:val="16"/>
                <w:b w:val="1"/>
                <w:bCs w:val="1"/>
                <w:color w:val="auto"/>
              </w:rPr>
              <w:t>Item 4.</w:t>
            </w:r>
          </w:p>
        </w:tc>
        <w:tc>
          <w:tcPr>
            <w:tcW w:w="4100" w:type="dxa"/>
            <w:vAlign w:val="bottom"/>
            <w:tcBorders>
              <w:top w:val="single" w:sz="8" w:color="0000FF"/>
            </w:tcBorders>
            <w:gridSpan w:val="11"/>
          </w:tcPr>
          <w:p>
            <w:pPr>
              <w:spacing w:after="0"/>
              <w:rPr>
                <w:rFonts w:ascii="Arial" w:cs="Arial" w:eastAsia="Arial" w:hAnsi="Arial"/>
                <w:sz w:val="16"/>
                <w:szCs w:val="16"/>
                <w:b w:val="1"/>
                <w:bCs w:val="1"/>
                <w:color w:val="0000FF"/>
              </w:rPr>
            </w:pPr>
            <w:hyperlink w:anchor="page26">
              <w:r>
                <w:rPr>
                  <w:rFonts w:ascii="Arial" w:cs="Arial" w:eastAsia="Arial" w:hAnsi="Arial"/>
                  <w:sz w:val="16"/>
                  <w:szCs w:val="16"/>
                  <w:b w:val="1"/>
                  <w:bCs w:val="1"/>
                  <w:color w:val="0000FF"/>
                </w:rPr>
                <w:t>Mine Safety Disclosures</w:t>
              </w:r>
            </w:hyperlink>
          </w:p>
        </w:tc>
        <w:tc>
          <w:tcPr>
            <w:tcW w:w="5800" w:type="dxa"/>
            <w:vAlign w:val="bottom"/>
            <w:gridSpan w:val="8"/>
          </w:tcPr>
          <w:p>
            <w:pPr>
              <w:spacing w:after="0"/>
              <w:rPr>
                <w:sz w:val="24"/>
                <w:szCs w:val="24"/>
                <w:color w:val="auto"/>
              </w:rPr>
            </w:pPr>
          </w:p>
        </w:tc>
        <w:tc>
          <w:tcPr>
            <w:tcW w:w="560" w:type="dxa"/>
            <w:vAlign w:val="bottom"/>
          </w:tcPr>
          <w:p>
            <w:pPr>
              <w:jc w:val="right"/>
              <w:spacing w:after="0"/>
              <w:rPr>
                <w:rFonts w:ascii="Arial" w:cs="Arial" w:eastAsia="Arial" w:hAnsi="Arial"/>
                <w:sz w:val="18"/>
                <w:szCs w:val="18"/>
                <w:color w:val="auto"/>
              </w:rPr>
            </w:pPr>
            <w:hyperlink w:anchor="page26">
              <w:r>
                <w:rPr>
                  <w:rFonts w:ascii="Arial" w:cs="Arial" w:eastAsia="Arial" w:hAnsi="Arial"/>
                  <w:sz w:val="18"/>
                  <w:szCs w:val="18"/>
                  <w:color w:val="auto"/>
                </w:rPr>
                <w:t>26</w:t>
              </w:r>
            </w:hyperlink>
          </w:p>
        </w:tc>
        <w:tc>
          <w:tcPr>
            <w:tcW w:w="0" w:type="dxa"/>
            <w:vAlign w:val="bottom"/>
          </w:tcPr>
          <w:p>
            <w:pPr>
              <w:spacing w:after="0"/>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6"/>
                <w:szCs w:val="16"/>
                <w:b w:val="1"/>
                <w:bCs w:val="1"/>
                <w:color w:val="auto"/>
              </w:rPr>
              <w:t>Item 6.</w:t>
            </w:r>
          </w:p>
        </w:tc>
        <w:tc>
          <w:tcPr>
            <w:tcW w:w="1640" w:type="dxa"/>
            <w:vAlign w:val="bottom"/>
            <w:tcBorders>
              <w:top w:val="single" w:sz="8" w:color="0000FF"/>
            </w:tcBorders>
            <w:gridSpan w:val="7"/>
          </w:tcPr>
          <w:p>
            <w:pPr>
              <w:spacing w:after="0"/>
              <w:rPr>
                <w:rFonts w:ascii="Arial" w:cs="Arial" w:eastAsia="Arial" w:hAnsi="Arial"/>
                <w:sz w:val="16"/>
                <w:szCs w:val="16"/>
                <w:b w:val="1"/>
                <w:bCs w:val="1"/>
                <w:color w:val="0000FF"/>
              </w:rPr>
            </w:pPr>
            <w:hyperlink w:anchor="page27">
              <w:r>
                <w:rPr>
                  <w:rFonts w:ascii="Arial" w:cs="Arial" w:eastAsia="Arial" w:hAnsi="Arial"/>
                  <w:sz w:val="16"/>
                  <w:szCs w:val="16"/>
                  <w:b w:val="1"/>
                  <w:bCs w:val="1"/>
                  <w:color w:val="0000FF"/>
                </w:rPr>
                <w:t>Exhibits</w:t>
              </w:r>
            </w:hyperlink>
          </w:p>
        </w:tc>
        <w:tc>
          <w:tcPr>
            <w:tcW w:w="8260" w:type="dxa"/>
            <w:vAlign w:val="bottom"/>
            <w:gridSpan w:val="12"/>
          </w:tcPr>
          <w:p>
            <w:pPr>
              <w:spacing w:after="0"/>
              <w:rPr>
                <w:sz w:val="24"/>
                <w:szCs w:val="24"/>
                <w:color w:val="auto"/>
              </w:rPr>
            </w:pPr>
          </w:p>
        </w:tc>
        <w:tc>
          <w:tcPr>
            <w:tcW w:w="560" w:type="dxa"/>
            <w:vAlign w:val="bottom"/>
          </w:tcPr>
          <w:p>
            <w:pPr>
              <w:jc w:val="right"/>
              <w:spacing w:after="0"/>
              <w:rPr>
                <w:rFonts w:ascii="Arial" w:cs="Arial" w:eastAsia="Arial" w:hAnsi="Arial"/>
                <w:sz w:val="18"/>
                <w:szCs w:val="18"/>
                <w:color w:val="auto"/>
              </w:rPr>
            </w:pPr>
            <w:hyperlink w:anchor="page27">
              <w:r>
                <w:rPr>
                  <w:rFonts w:ascii="Arial" w:cs="Arial" w:eastAsia="Arial" w:hAnsi="Arial"/>
                  <w:sz w:val="18"/>
                  <w:szCs w:val="18"/>
                  <w:color w:val="auto"/>
                </w:rPr>
                <w:t>27</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9340" w:type="dxa"/>
            <w:vAlign w:val="bottom"/>
            <w:gridSpan w:val="17"/>
          </w:tcPr>
          <w:p>
            <w:pPr>
              <w:spacing w:after="0" w:line="20" w:lineRule="exact"/>
              <w:rPr>
                <w:sz w:val="1"/>
                <w:szCs w:val="1"/>
                <w:color w:val="auto"/>
              </w:rPr>
            </w:pPr>
          </w:p>
        </w:tc>
        <w:tc>
          <w:tcPr>
            <w:tcW w:w="560" w:type="dxa"/>
            <w:vAlign w:val="bottom"/>
            <w:vMerge w:val="restart"/>
          </w:tcPr>
          <w:p>
            <w:pPr>
              <w:jc w:val="right"/>
              <w:spacing w:after="0"/>
              <w:rPr>
                <w:rFonts w:ascii="Arial" w:cs="Arial" w:eastAsia="Arial" w:hAnsi="Arial"/>
                <w:sz w:val="18"/>
                <w:szCs w:val="18"/>
                <w:color w:val="auto"/>
              </w:rPr>
            </w:pPr>
            <w:hyperlink w:anchor="page28">
              <w:r>
                <w:rPr>
                  <w:rFonts w:ascii="Arial" w:cs="Arial" w:eastAsia="Arial" w:hAnsi="Arial"/>
                  <w:sz w:val="18"/>
                  <w:szCs w:val="18"/>
                  <w:color w:val="auto"/>
                </w:rPr>
                <w:t>28</w:t>
              </w:r>
            </w:hyperlink>
          </w:p>
        </w:tc>
        <w:tc>
          <w:tcPr>
            <w:tcW w:w="0" w:type="dxa"/>
            <w:vAlign w:val="bottom"/>
          </w:tcPr>
          <w:p>
            <w:pPr>
              <w:spacing w:after="0" w:line="20" w:lineRule="exact"/>
              <w:rPr>
                <w:sz w:val="1"/>
                <w:szCs w:val="1"/>
                <w:color w:val="auto"/>
              </w:rPr>
            </w:pPr>
          </w:p>
        </w:tc>
      </w:tr>
      <w:tr>
        <w:trPr>
          <w:trHeight w:val="358"/>
        </w:trPr>
        <w:tc>
          <w:tcPr>
            <w:tcW w:w="1040" w:type="dxa"/>
            <w:vAlign w:val="bottom"/>
            <w:tcBorders>
              <w:bottom w:val="single" w:sz="8" w:color="0000FF"/>
            </w:tcBorders>
            <w:gridSpan w:val="2"/>
          </w:tcPr>
          <w:p>
            <w:pPr>
              <w:spacing w:after="0"/>
              <w:rPr>
                <w:rFonts w:ascii="Arial" w:cs="Arial" w:eastAsia="Arial" w:hAnsi="Arial"/>
                <w:sz w:val="16"/>
                <w:szCs w:val="16"/>
                <w:b w:val="1"/>
                <w:bCs w:val="1"/>
                <w:color w:val="0000FF"/>
                <w:w w:val="97"/>
              </w:rPr>
            </w:pPr>
            <w:hyperlink w:anchor="page28">
              <w:r>
                <w:rPr>
                  <w:rFonts w:ascii="Arial" w:cs="Arial" w:eastAsia="Arial" w:hAnsi="Arial"/>
                  <w:sz w:val="16"/>
                  <w:szCs w:val="16"/>
                  <w:b w:val="1"/>
                  <w:bCs w:val="1"/>
                  <w:color w:val="0000FF"/>
                  <w:w w:val="97"/>
                </w:rPr>
                <w:t>SIGNATURES</w:t>
              </w:r>
            </w:hyperlink>
          </w:p>
        </w:tc>
        <w:tc>
          <w:tcPr>
            <w:tcW w:w="9780" w:type="dxa"/>
            <w:vAlign w:val="bottom"/>
            <w:gridSpan w:val="18"/>
          </w:tcPr>
          <w:p>
            <w:pPr>
              <w:spacing w:after="0"/>
              <w:rPr>
                <w:sz w:val="24"/>
                <w:szCs w:val="24"/>
                <w:color w:val="auto"/>
              </w:rPr>
            </w:pPr>
          </w:p>
        </w:tc>
        <w:tc>
          <w:tcPr>
            <w:tcW w:w="5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520"/>
        </w:trPr>
        <w:tc>
          <w:tcPr>
            <w:tcW w:w="920" w:type="dxa"/>
            <w:vAlign w:val="bottom"/>
          </w:tcPr>
          <w:p>
            <w:pPr>
              <w:spacing w:after="0"/>
              <w:rPr>
                <w:sz w:val="24"/>
                <w:szCs w:val="24"/>
                <w:color w:val="auto"/>
              </w:rPr>
            </w:pPr>
          </w:p>
        </w:tc>
        <w:tc>
          <w:tcPr>
            <w:tcW w:w="5480" w:type="dxa"/>
            <w:vAlign w:val="bottom"/>
            <w:gridSpan w:val="14"/>
          </w:tcPr>
          <w:p>
            <w:pPr>
              <w:ind w:left="470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Terms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All references to “options” or “options contracts” in the text of this document refer to options on futures contracts.</w:t>
      </w:r>
    </w:p>
    <w:p>
      <w:pPr>
        <w:spacing w:after="0" w:line="17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Unless otherwise indicated, references to CME Group Inc. (CME Group) products include references to exchange-traded products on one of its regulated exchanges: Chicago Mercantile Exchange Inc. (CME), Board of Trade of the City of Chicago, Inc. (CBOT), New York Mercantile Exchange, Inc. (NYMEX), Commodity Exchange, Inc. (COMEX) and The Board of Trade of Kansas City, Missouri, Inc. (KCBT). Products listed on these exchanges are subject to the rules and regulations of the particular exchange and the applicable rulebook should be consulted. Unless otherwise indicated, references to NYMEX include its subsidiary, COMEX.</w:t>
      </w:r>
    </w:p>
    <w:p>
      <w:pPr>
        <w:spacing w:after="0" w:line="134"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Further information about CME Group and its products can be found at http://www.cmegroup.com. Information made available on our Web site does not constitute a part of this Quarterly Report on Form 10-Q.</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Contract Volume and Average Rate per Contract</w:t>
      </w:r>
    </w:p>
    <w:p>
      <w:pPr>
        <w:spacing w:after="0" w:line="175"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All amounts regarding contract volume and average rate per contract exclude our credit default swaps, interest rate swaps and CME Clearing Europe contracts.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 Information</w:t>
      </w:r>
    </w:p>
    <w:p>
      <w:pPr>
        <w:spacing w:after="0" w:line="17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CME Group is a trademark of CME Group Inc. The Globe logo, CME, Chicago Mercantile Exchange, Globex, E-mini, Green Exchange, The Green Exchange and Design, and GreenX are trademarks of Chicago Mercantile Exchange Inc. CBOT and Chicago Board of Trade are trademarks of Board of Trade of the City of Chicago, Inc. NYMEX, New York Mercantile Exchange and ClearPort are trademarks of New York Mercantile Exchange, Inc. COMEX is a trademark of Commodity Exchange, Inc. KCBT and Kansas City Board of Trade are trademarks of The Board of Trade of Kansas City, Missouri, Inc. Dow Jones, Dow Jones Industrial Average, S&amp;P 500, and S&amp;P are service and/or trademarks of Dow Jones Trademark Holdings LLC, Standard &amp; Poor's Financial Services LLC and S&amp;P/Dow Jones Indices LLC, as the case may be, and have been licensed for use by Chicago Mercantile Exchange Inc. All other trademarks are the property of their respective owners.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75" w:lineRule="exact"/>
        <w:rPr>
          <w:sz w:val="20"/>
          <w:szCs w:val="20"/>
          <w:color w:val="auto"/>
        </w:rPr>
      </w:pPr>
    </w:p>
    <w:p>
      <w:pPr>
        <w:ind w:right="200"/>
        <w:spacing w:after="0" w:line="290" w:lineRule="auto"/>
        <w:rPr>
          <w:sz w:val="20"/>
          <w:szCs w:val="20"/>
          <w:color w:val="auto"/>
        </w:rPr>
      </w:pPr>
      <w:r>
        <w:rPr>
          <w:rFonts w:ascii="Arial" w:cs="Arial" w:eastAsia="Arial" w:hAnsi="Arial"/>
          <w:sz w:val="16"/>
          <w:szCs w:val="16"/>
          <w:color w:val="auto"/>
        </w:rPr>
        <w:t>From time to time, in this Quarterly Report on Form 10-Q as well as in other written reports and verbal statements, we discuss our expectations regarding future performance. These forward-looking statements are identified by their use of terms and phrases such as “believe,” “anticipate,” “could,” “estimate,” “intend,” “may,” “plan,” “expect” and similar expressions, including references to assumptions. These forward-looking statements are based on currently available competitive, financial and economic data, current expectations, estimates, forecasts and projections about the industries in which we operate and management's beliefs and assumptions. These statements are not guarantees of future performance and involve risks, uncertainties and assumptions that are difficult to predict. Therefore, actual outcomes and results may differ materially from what is expressed or implied in any forward-looking statements. We want to caution you not to place undue reliance on any forward-looking statements. We undertake no obligation to publicly update any forward-looking statements, whether as a result of new information, future events or otherwise. Among the factors that might affect our performance are:</w:t>
      </w:r>
    </w:p>
    <w:p>
      <w:pPr>
        <w:spacing w:after="0" w:line="31" w:lineRule="exact"/>
        <w:rPr>
          <w:sz w:val="20"/>
          <w:szCs w:val="20"/>
          <w:color w:val="auto"/>
        </w:rPr>
      </w:pPr>
    </w:p>
    <w:p>
      <w:pPr>
        <w:ind w:left="660" w:right="2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increasing competition by foreign and domestic entities, including increased competition from new entrants into our markets and consolidation of existing entities;</w:t>
      </w:r>
    </w:p>
    <w:p>
      <w:pPr>
        <w:spacing w:after="0" w:line="62" w:lineRule="exact"/>
        <w:rPr>
          <w:rFonts w:ascii="Arial" w:cs="Arial" w:eastAsia="Arial" w:hAnsi="Arial"/>
          <w:sz w:val="18"/>
          <w:szCs w:val="18"/>
          <w:color w:val="auto"/>
        </w:rPr>
      </w:pPr>
    </w:p>
    <w:p>
      <w:pPr>
        <w:ind w:left="660" w:right="40" w:hanging="328"/>
        <w:spacing w:after="0" w:line="308"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keep pace with rapid technological developments, including our ability to complete the development, implementation and maintenance of the enhanced functionality required by our customers while ensuring that such technology is not vulnerable to security risks;</w:t>
      </w:r>
    </w:p>
    <w:p>
      <w:pPr>
        <w:spacing w:after="0" w:line="38" w:lineRule="exact"/>
        <w:rPr>
          <w:rFonts w:ascii="Arial" w:cs="Arial" w:eastAsia="Arial" w:hAnsi="Arial"/>
          <w:sz w:val="17"/>
          <w:szCs w:val="17"/>
          <w:color w:val="auto"/>
        </w:rPr>
      </w:pPr>
    </w:p>
    <w:p>
      <w:pPr>
        <w:jc w:val="both"/>
        <w:ind w:left="660" w:right="120" w:hanging="328"/>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continue introducing competitive new products and services on a timely, cost-effective basis, including through our electronic trading capabilities, and our ability to maintain the competitiveness of our existing products and services, including our ability to provide effective services to the over-the-counter market;</w:t>
      </w:r>
    </w:p>
    <w:p>
      <w:pPr>
        <w:spacing w:after="0" w:line="7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adjust our fixed costs and expenses if our revenues decline;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existing customers, develop strategic relationships and attract new customers;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expand and offer our products outside the United States;</w:t>
      </w:r>
    </w:p>
    <w:p>
      <w:pPr>
        <w:spacing w:after="0" w:line="117" w:lineRule="exact"/>
        <w:rPr>
          <w:rFonts w:ascii="Arial" w:cs="Arial" w:eastAsia="Arial" w:hAnsi="Arial"/>
          <w:sz w:val="18"/>
          <w:szCs w:val="18"/>
          <w:color w:val="auto"/>
        </w:rPr>
      </w:pPr>
    </w:p>
    <w:p>
      <w:pPr>
        <w:ind w:left="660" w:hanging="328"/>
        <w:spacing w:after="0" w:line="342"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changes in domestic and non-U.S. regulations, including the impact of any changes in domestic and foreign laws or government policy with respect to our industry, including any changes to regulations and policies that require increased financial and operational resources from us or our customers;</w:t>
      </w:r>
    </w:p>
    <w:p>
      <w:pPr>
        <w:spacing w:after="0" w:line="15" w:lineRule="exact"/>
        <w:rPr>
          <w:rFonts w:ascii="Arial" w:cs="Arial" w:eastAsia="Arial" w:hAnsi="Arial"/>
          <w:sz w:val="16"/>
          <w:szCs w:val="16"/>
          <w:color w:val="auto"/>
        </w:rPr>
      </w:pPr>
    </w:p>
    <w:p>
      <w:pPr>
        <w:ind w:left="660" w:right="1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costs associated with protecting our intellectual property rights and our ability to operate our business without violating the intellectual property rights of others;</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125" w:right="25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left="660" w:right="10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generate revenue from our market data that may be reduced or eliminated by the growth of electronic trading, the state of the overall economy or declines in subscriptions;</w:t>
      </w:r>
    </w:p>
    <w:p>
      <w:pPr>
        <w:spacing w:after="0" w:line="62" w:lineRule="exact"/>
        <w:rPr>
          <w:rFonts w:ascii="Arial" w:cs="Arial" w:eastAsia="Arial" w:hAnsi="Arial"/>
          <w:sz w:val="18"/>
          <w:szCs w:val="18"/>
          <w:color w:val="auto"/>
        </w:rPr>
      </w:pPr>
    </w:p>
    <w:p>
      <w:pPr>
        <w:ind w:left="660" w:right="160" w:hanging="328"/>
        <w:spacing w:after="0" w:line="342"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changes in our rate per contract due to shifts in the mix of the products traded, the trading venue and the mix of customers (whether the customer receives member or non-member fees or participates in one of our various incentive programs) and the impact of our tiered pricing structure;</w:t>
      </w:r>
    </w:p>
    <w:p>
      <w:pPr>
        <w:spacing w:after="0" w:line="15" w:lineRule="exact"/>
        <w:rPr>
          <w:rFonts w:ascii="Arial" w:cs="Arial" w:eastAsia="Arial" w:hAnsi="Arial"/>
          <w:sz w:val="16"/>
          <w:szCs w:val="16"/>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of our financial safeguards package to adequately protect us from the credit risks of clearing members;</w:t>
      </w:r>
    </w:p>
    <w:p>
      <w:pPr>
        <w:spacing w:after="0" w:line="117"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ability of our compliance and risk management methods to effectively monitor and manage our risks, including our ability to prevent errors and misconduct and protect our infrastructure against security breaches and misappropriation of our intellectual property assets;</w:t>
      </w:r>
    </w:p>
    <w:p>
      <w:pPr>
        <w:spacing w:after="0" w:line="38" w:lineRule="exact"/>
        <w:rPr>
          <w:rFonts w:ascii="Arial" w:cs="Arial" w:eastAsia="Arial" w:hAnsi="Arial"/>
          <w:sz w:val="17"/>
          <w:szCs w:val="17"/>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changes in price levels and volatility in the derivatives markets and in underlying equity, foreign exchange, interest rate and commodities markets;</w:t>
      </w:r>
    </w:p>
    <w:p>
      <w:pPr>
        <w:spacing w:after="0" w:line="140" w:lineRule="exact"/>
        <w:rPr>
          <w:rFonts w:ascii="Arial" w:cs="Arial" w:eastAsia="Arial" w:hAnsi="Arial"/>
          <w:sz w:val="16"/>
          <w:szCs w:val="16"/>
          <w:color w:val="auto"/>
        </w:rPr>
      </w:pPr>
    </w:p>
    <w:p>
      <w:pPr>
        <w:ind w:left="660" w:right="160" w:hanging="328"/>
        <w:spacing w:after="0" w:line="308"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economic, political and market conditions, including the volatility of the capital and credit markets and the impact of economic conditions on the trading activity of our current and potential customers stemming from the continued uncertainty in the financial markets;</w:t>
      </w:r>
    </w:p>
    <w:p>
      <w:pPr>
        <w:spacing w:after="0" w:line="38" w:lineRule="exact"/>
        <w:rPr>
          <w:rFonts w:ascii="Arial" w:cs="Arial" w:eastAsia="Arial" w:hAnsi="Arial"/>
          <w:sz w:val="17"/>
          <w:szCs w:val="17"/>
          <w:color w:val="auto"/>
        </w:rPr>
      </w:pPr>
    </w:p>
    <w:p>
      <w:pPr>
        <w:ind w:left="660" w:right="40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accommodate increases in contract volume and order transaction traffic without failure or degradation of the performance of our trading and clearing systems;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execute our growth strategy and maintain our growth effectively;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manage the risks and control the costs associated with our acquisition, investment and alliance strategy;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continue to generate funds and/or manage our indebtedness to allow us to continue to invest in our business;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industry and customer consolidation;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decreases in trading and clearing activity;</w:t>
      </w:r>
    </w:p>
    <w:p>
      <w:pPr>
        <w:spacing w:after="0" w:line="117" w:lineRule="exact"/>
        <w:rPr>
          <w:rFonts w:ascii="Arial" w:cs="Arial" w:eastAsia="Arial" w:hAnsi="Arial"/>
          <w:sz w:val="18"/>
          <w:szCs w:val="18"/>
          <w:color w:val="auto"/>
        </w:rPr>
      </w:pPr>
    </w:p>
    <w:p>
      <w:pPr>
        <w:ind w:left="660" w:right="5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imposition of a transaction tax or user fee on futures and options on futures transactions and/or repeal of the 60/40 tax treatment of such transactions;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unfavorable resolution of material legal proceedings;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seasonality of the futures business.</w:t>
      </w:r>
    </w:p>
    <w:p>
      <w:pPr>
        <w:spacing w:after="0" w:line="27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For a detailed discussion of these and other factors that might affect our performance, see Item 1A. of our Annual Report on Form 10-K, filed with the Securities and Exchange Commission on February 28, 2013 and Item 1A. of this Quarterly Report on Form 10-Q.</w:t>
      </w:r>
    </w:p>
    <w:p>
      <w:pPr>
        <w:spacing w:after="0" w:line="19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60"/>
          </w:cols>
          <w:pgMar w:left="240" w:top="125" w:right="39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40" w:type="dxa"/>
            <w:vAlign w:val="bottom"/>
          </w:tcPr>
          <w:p>
            <w:pPr>
              <w:ind w:left="40"/>
              <w:spacing w:after="0"/>
              <w:rPr>
                <w:sz w:val="20"/>
                <w:szCs w:val="20"/>
                <w:color w:val="auto"/>
              </w:rPr>
            </w:pPr>
            <w:r>
              <w:rPr>
                <w:rFonts w:ascii="Arial" w:cs="Arial" w:eastAsia="Arial" w:hAnsi="Arial"/>
                <w:sz w:val="18"/>
                <w:szCs w:val="18"/>
                <w:b w:val="1"/>
                <w:bCs w:val="1"/>
                <w:color w:val="auto"/>
              </w:rPr>
              <w:t>ITEM 1.</w:t>
            </w:r>
          </w:p>
        </w:tc>
        <w:tc>
          <w:tcPr>
            <w:tcW w:w="6880" w:type="dxa"/>
            <w:vAlign w:val="bottom"/>
          </w:tcPr>
          <w:p>
            <w:pPr>
              <w:ind w:left="60"/>
              <w:spacing w:after="0"/>
              <w:rPr>
                <w:sz w:val="20"/>
                <w:szCs w:val="20"/>
                <w:color w:val="auto"/>
              </w:rPr>
            </w:pPr>
            <w:r>
              <w:rPr>
                <w:rFonts w:ascii="Arial" w:cs="Arial" w:eastAsia="Arial" w:hAnsi="Arial"/>
                <w:sz w:val="18"/>
                <w:szCs w:val="18"/>
                <w:b w:val="1"/>
                <w:bCs w:val="1"/>
                <w:color w:val="auto"/>
              </w:rPr>
              <w:t>FINANCIAL STATEMENTS</w:t>
            </w: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25"/>
        </w:trPr>
        <w:tc>
          <w:tcPr>
            <w:tcW w:w="1240" w:type="dxa"/>
            <w:vAlign w:val="bottom"/>
          </w:tcPr>
          <w:p>
            <w:pPr>
              <w:spacing w:after="0"/>
              <w:rPr>
                <w:sz w:val="19"/>
                <w:szCs w:val="19"/>
                <w:color w:val="auto"/>
              </w:rPr>
            </w:pPr>
          </w:p>
        </w:tc>
        <w:tc>
          <w:tcPr>
            <w:tcW w:w="6880" w:type="dxa"/>
            <w:vAlign w:val="bottom"/>
          </w:tcPr>
          <w:p>
            <w:pPr>
              <w:jc w:val="center"/>
              <w:ind w:left="1990"/>
              <w:spacing w:after="0"/>
              <w:rPr>
                <w:sz w:val="20"/>
                <w:szCs w:val="20"/>
                <w:color w:val="auto"/>
              </w:rPr>
            </w:pPr>
            <w:r>
              <w:rPr>
                <w:rFonts w:ascii="Arial" w:cs="Arial" w:eastAsia="Arial" w:hAnsi="Arial"/>
                <w:sz w:val="18"/>
                <w:szCs w:val="18"/>
                <w:b w:val="1"/>
                <w:bCs w:val="1"/>
                <w:color w:val="auto"/>
                <w:w w:val="99"/>
              </w:rPr>
              <w:t>CME GROUP INC. AND SUBSIDIARIES</w:t>
            </w: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20"/>
        </w:trPr>
        <w:tc>
          <w:tcPr>
            <w:tcW w:w="1240" w:type="dxa"/>
            <w:vAlign w:val="bottom"/>
          </w:tcPr>
          <w:p>
            <w:pPr>
              <w:spacing w:after="0"/>
              <w:rPr>
                <w:sz w:val="19"/>
                <w:szCs w:val="19"/>
                <w:color w:val="auto"/>
              </w:rPr>
            </w:pPr>
          </w:p>
        </w:tc>
        <w:tc>
          <w:tcPr>
            <w:tcW w:w="6880" w:type="dxa"/>
            <w:vAlign w:val="bottom"/>
          </w:tcPr>
          <w:p>
            <w:pPr>
              <w:jc w:val="center"/>
              <w:ind w:left="1990"/>
              <w:spacing w:after="0"/>
              <w:rPr>
                <w:sz w:val="20"/>
                <w:szCs w:val="20"/>
                <w:color w:val="auto"/>
              </w:rPr>
            </w:pPr>
            <w:r>
              <w:rPr>
                <w:rFonts w:ascii="Arial" w:cs="Arial" w:eastAsia="Arial" w:hAnsi="Arial"/>
                <w:sz w:val="18"/>
                <w:szCs w:val="18"/>
                <w:b w:val="1"/>
                <w:bCs w:val="1"/>
                <w:color w:val="auto"/>
                <w:w w:val="99"/>
              </w:rPr>
              <w:t>CONSOLIDATED BALANCE SHEETS</w:t>
            </w: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16"/>
        </w:trPr>
        <w:tc>
          <w:tcPr>
            <w:tcW w:w="1240" w:type="dxa"/>
            <w:vAlign w:val="bottom"/>
          </w:tcPr>
          <w:p>
            <w:pPr>
              <w:spacing w:after="0"/>
              <w:rPr>
                <w:sz w:val="18"/>
                <w:szCs w:val="18"/>
                <w:color w:val="auto"/>
              </w:rPr>
            </w:pPr>
          </w:p>
        </w:tc>
        <w:tc>
          <w:tcPr>
            <w:tcW w:w="6880" w:type="dxa"/>
            <w:vAlign w:val="bottom"/>
          </w:tcPr>
          <w:p>
            <w:pPr>
              <w:jc w:val="center"/>
              <w:ind w:left="1970"/>
              <w:spacing w:after="0"/>
              <w:rPr>
                <w:sz w:val="20"/>
                <w:szCs w:val="20"/>
                <w:color w:val="auto"/>
              </w:rPr>
            </w:pPr>
            <w:r>
              <w:rPr>
                <w:rFonts w:ascii="Arial" w:cs="Arial" w:eastAsia="Arial" w:hAnsi="Arial"/>
                <w:sz w:val="18"/>
                <w:szCs w:val="18"/>
                <w:color w:val="auto"/>
                <w:w w:val="90"/>
              </w:rPr>
              <w:t>(dollars in millions, except par value data; shares in thousands)</w:t>
            </w: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30"/>
        </w:trPr>
        <w:tc>
          <w:tcPr>
            <w:tcW w:w="1240" w:type="dxa"/>
            <w:vAlign w:val="bottom"/>
          </w:tcPr>
          <w:p>
            <w:pPr>
              <w:spacing w:after="0"/>
              <w:rPr>
                <w:sz w:val="20"/>
                <w:szCs w:val="20"/>
                <w:color w:val="auto"/>
              </w:rPr>
            </w:pPr>
          </w:p>
        </w:tc>
        <w:tc>
          <w:tcPr>
            <w:tcW w:w="6880" w:type="dxa"/>
            <w:vAlign w:val="bottom"/>
          </w:tcPr>
          <w:p>
            <w:pPr>
              <w:jc w:val="center"/>
              <w:ind w:left="1970"/>
              <w:spacing w:after="0"/>
              <w:rPr>
                <w:sz w:val="20"/>
                <w:szCs w:val="20"/>
                <w:color w:val="auto"/>
              </w:rPr>
            </w:pPr>
            <w:r>
              <w:rPr>
                <w:rFonts w:ascii="Arial" w:cs="Arial" w:eastAsia="Arial" w:hAnsi="Arial"/>
                <w:sz w:val="18"/>
                <w:szCs w:val="18"/>
                <w:color w:val="auto"/>
                <w:w w:val="90"/>
              </w:rPr>
              <w:t>(unaudited)</w:t>
            </w: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399"/>
        </w:trPr>
        <w:tc>
          <w:tcPr>
            <w:tcW w:w="124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2013</w:t>
            </w:r>
          </w:p>
        </w:tc>
        <w:tc>
          <w:tcPr>
            <w:tcW w:w="180" w:type="dxa"/>
            <w:vAlign w:val="bottom"/>
          </w:tcPr>
          <w:p>
            <w:pPr>
              <w:spacing w:after="0"/>
              <w:rPr>
                <w:sz w:val="24"/>
                <w:szCs w:val="24"/>
                <w:color w:val="auto"/>
              </w:rPr>
            </w:pPr>
          </w:p>
        </w:tc>
        <w:tc>
          <w:tcPr>
            <w:tcW w:w="1420" w:type="dxa"/>
            <w:vAlign w:val="bottom"/>
          </w:tcPr>
          <w:p>
            <w:pPr>
              <w:jc w:val="right"/>
              <w:ind w:right="131"/>
              <w:spacing w:after="0"/>
              <w:rPr>
                <w:sz w:val="20"/>
                <w:szCs w:val="20"/>
                <w:color w:val="auto"/>
              </w:rPr>
            </w:pPr>
            <w:r>
              <w:rPr>
                <w:rFonts w:ascii="Arial" w:cs="Arial" w:eastAsia="Arial" w:hAnsi="Arial"/>
                <w:sz w:val="14"/>
                <w:szCs w:val="14"/>
                <w:b w:val="1"/>
                <w:bCs w:val="1"/>
                <w:color w:val="auto"/>
                <w:w w:val="93"/>
              </w:rPr>
              <w:t>December 31, 2012</w:t>
            </w:r>
          </w:p>
        </w:tc>
      </w:tr>
      <w:tr>
        <w:trPr>
          <w:trHeight w:val="250"/>
        </w:trPr>
        <w:tc>
          <w:tcPr>
            <w:tcW w:w="1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68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1240" w:type="dxa"/>
            <w:vAlign w:val="bottom"/>
          </w:tcPr>
          <w:p>
            <w:pPr>
              <w:ind w:left="40"/>
              <w:spacing w:after="0"/>
              <w:rPr>
                <w:sz w:val="20"/>
                <w:szCs w:val="20"/>
                <w:color w:val="auto"/>
              </w:rPr>
            </w:pPr>
            <w:r>
              <w:rPr>
                <w:rFonts w:ascii="Arial" w:cs="Arial" w:eastAsia="Arial" w:hAnsi="Arial"/>
                <w:sz w:val="18"/>
                <w:szCs w:val="18"/>
                <w:color w:val="auto"/>
                <w:w w:val="95"/>
              </w:rPr>
              <w:t>Current Assets:</w:t>
            </w:r>
          </w:p>
        </w:tc>
        <w:tc>
          <w:tcPr>
            <w:tcW w:w="6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81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1,843.4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1,604.7</w:t>
            </w:r>
          </w:p>
        </w:tc>
      </w:tr>
      <w:tr>
        <w:trPr>
          <w:trHeight w:val="243"/>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Marketable securities</w:t>
            </w: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60.7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56.6</w:t>
            </w:r>
          </w:p>
        </w:tc>
      </w:tr>
      <w:tr>
        <w:trPr>
          <w:trHeight w:val="27"/>
        </w:trPr>
        <w:tc>
          <w:tcPr>
            <w:tcW w:w="81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Accounts receivable, net of allowance of $1.3 and $0.8</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309.2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267.5</w:t>
            </w:r>
          </w:p>
        </w:tc>
      </w:tr>
      <w:tr>
        <w:trPr>
          <w:trHeight w:val="243"/>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Other current assets (includes $40.0 in restricted cash)</w:t>
            </w: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172.5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204.3</w:t>
            </w:r>
          </w:p>
        </w:tc>
      </w:tr>
      <w:tr>
        <w:trPr>
          <w:trHeight w:val="27"/>
        </w:trPr>
        <w:tc>
          <w:tcPr>
            <w:tcW w:w="81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Cash performance bonds and guaranty fund contributions</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9,912.0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6,584.8</w:t>
            </w:r>
          </w:p>
        </w:tc>
      </w:tr>
      <w:tr>
        <w:trPr>
          <w:trHeight w:val="237"/>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Total current assets</w:t>
            </w: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12,297.8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8,717.9</w:t>
            </w:r>
          </w:p>
        </w:tc>
      </w:tr>
      <w:tr>
        <w:trPr>
          <w:trHeight w:val="27"/>
        </w:trPr>
        <w:tc>
          <w:tcPr>
            <w:tcW w:w="81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Property, net of accumulated depreciation and amortization of $651.3 and $640.4</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709.9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724.0</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Intangible assets—trading products</w:t>
            </w: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17,175.3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17,175.3</w:t>
            </w:r>
          </w:p>
        </w:tc>
      </w:tr>
      <w:tr>
        <w:trPr>
          <w:trHeight w:val="27"/>
        </w:trPr>
        <w:tc>
          <w:tcPr>
            <w:tcW w:w="81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Intangible assets—other, net</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2,827.8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2,853.7</w:t>
            </w:r>
          </w:p>
        </w:tc>
      </w:tr>
      <w:tr>
        <w:trPr>
          <w:trHeight w:val="243"/>
        </w:trPr>
        <w:tc>
          <w:tcPr>
            <w:tcW w:w="1240" w:type="dxa"/>
            <w:vAlign w:val="bottom"/>
          </w:tcPr>
          <w:p>
            <w:pPr>
              <w:ind w:left="40"/>
              <w:spacing w:after="0"/>
              <w:rPr>
                <w:sz w:val="20"/>
                <w:szCs w:val="20"/>
                <w:color w:val="auto"/>
              </w:rPr>
            </w:pPr>
            <w:r>
              <w:rPr>
                <w:rFonts w:ascii="Arial" w:cs="Arial" w:eastAsia="Arial" w:hAnsi="Arial"/>
                <w:sz w:val="18"/>
                <w:szCs w:val="18"/>
                <w:color w:val="auto"/>
              </w:rPr>
              <w:t>Goodwill</w:t>
            </w:r>
          </w:p>
        </w:tc>
        <w:tc>
          <w:tcPr>
            <w:tcW w:w="6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7,569.0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7,566.9</w:t>
            </w:r>
          </w:p>
        </w:tc>
      </w:tr>
      <w:tr>
        <w:trPr>
          <w:trHeight w:val="27"/>
        </w:trPr>
        <w:tc>
          <w:tcPr>
            <w:tcW w:w="81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assets (includes $69.7 and $73.0 in restricted cash)</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1,842.0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1,825.4</w:t>
            </w:r>
          </w:p>
        </w:tc>
      </w:tr>
      <w:tr>
        <w:trPr>
          <w:trHeight w:val="237"/>
        </w:trPr>
        <w:tc>
          <w:tcPr>
            <w:tcW w:w="1240" w:type="dxa"/>
            <w:vAlign w:val="bottom"/>
          </w:tcPr>
          <w:p>
            <w:pPr>
              <w:ind w:left="40"/>
              <w:spacing w:after="0"/>
              <w:rPr>
                <w:sz w:val="20"/>
                <w:szCs w:val="20"/>
                <w:color w:val="auto"/>
              </w:rPr>
            </w:pPr>
            <w:r>
              <w:rPr>
                <w:rFonts w:ascii="Arial" w:cs="Arial" w:eastAsia="Arial" w:hAnsi="Arial"/>
                <w:sz w:val="18"/>
                <w:szCs w:val="18"/>
                <w:b w:val="1"/>
                <w:bCs w:val="1"/>
                <w:color w:val="auto"/>
              </w:rPr>
              <w:t>Total Assets</w:t>
            </w:r>
          </w:p>
        </w:tc>
        <w:tc>
          <w:tcPr>
            <w:tcW w:w="688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42,421.8</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38,863.2</w:t>
            </w:r>
          </w:p>
        </w:tc>
      </w:tr>
      <w:tr>
        <w:trPr>
          <w:trHeight w:val="67"/>
        </w:trPr>
        <w:tc>
          <w:tcPr>
            <w:tcW w:w="8120" w:type="dxa"/>
            <w:vAlign w:val="bottom"/>
            <w:tcBorders>
              <w:bottom w:val="single" w:sz="8" w:color="CCEEFF"/>
            </w:tcBorders>
            <w:gridSpan w:val="2"/>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r>
      <w:tr>
        <w:trPr>
          <w:trHeight w:val="278"/>
        </w:trPr>
        <w:tc>
          <w:tcPr>
            <w:tcW w:w="1240" w:type="dxa"/>
            <w:vAlign w:val="bottom"/>
            <w:shd w:val="clear" w:color="auto" w:fill="CCEEFF"/>
          </w:tcPr>
          <w:p>
            <w:pPr>
              <w:spacing w:after="0"/>
              <w:rPr>
                <w:sz w:val="24"/>
                <w:szCs w:val="24"/>
                <w:color w:val="auto"/>
              </w:rPr>
            </w:pPr>
          </w:p>
        </w:tc>
        <w:tc>
          <w:tcPr>
            <w:tcW w:w="68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b w:val="1"/>
                <w:bCs w:val="1"/>
                <w:color w:val="auto"/>
              </w:rPr>
              <w:t>Liabilities and Equity</w:t>
            </w: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81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Accounts payable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41.7</w:t>
            </w:r>
          </w:p>
        </w:tc>
      </w:tr>
      <w:tr>
        <w:trPr>
          <w:trHeight w:val="27"/>
        </w:trPr>
        <w:tc>
          <w:tcPr>
            <w:tcW w:w="81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Short-term debt</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749.7</w:t>
            </w:r>
          </w:p>
        </w:tc>
      </w:tr>
      <w:tr>
        <w:trPr>
          <w:trHeight w:val="243"/>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Other current liabilities</w:t>
            </w: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344.4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240.7</w:t>
            </w:r>
          </w:p>
        </w:tc>
      </w:tr>
      <w:tr>
        <w:trPr>
          <w:trHeight w:val="27"/>
        </w:trPr>
        <w:tc>
          <w:tcPr>
            <w:tcW w:w="81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Cash performance bonds and guaranty fund contributions</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9,912.0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6,584.8</w:t>
            </w:r>
          </w:p>
        </w:tc>
      </w:tr>
      <w:tr>
        <w:trPr>
          <w:trHeight w:val="237"/>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Total current liabilities</w:t>
            </w: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11,786.7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7,616.9</w:t>
            </w:r>
          </w:p>
        </w:tc>
      </w:tr>
      <w:tr>
        <w:trPr>
          <w:trHeight w:val="27"/>
        </w:trPr>
        <w:tc>
          <w:tcPr>
            <w:tcW w:w="1240" w:type="dxa"/>
            <w:vAlign w:val="bottom"/>
          </w:tcPr>
          <w:p>
            <w:pPr>
              <w:spacing w:after="0"/>
              <w:rPr>
                <w:sz w:val="2"/>
                <w:szCs w:val="2"/>
                <w:color w:val="auto"/>
              </w:rPr>
            </w:pPr>
          </w:p>
        </w:tc>
        <w:tc>
          <w:tcPr>
            <w:tcW w:w="6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1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6"/>
              </w:rPr>
              <w:t>Long-term debt</w:t>
            </w:r>
          </w:p>
        </w:tc>
        <w:tc>
          <w:tcPr>
            <w:tcW w:w="68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1,358.0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2,106.8</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Deferred income tax liabilities, net</w:t>
            </w: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7,412.1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7,413.3</w:t>
            </w:r>
          </w:p>
        </w:tc>
      </w:tr>
      <w:tr>
        <w:trPr>
          <w:trHeight w:val="27"/>
        </w:trPr>
        <w:tc>
          <w:tcPr>
            <w:tcW w:w="1240" w:type="dxa"/>
            <w:vAlign w:val="bottom"/>
          </w:tcPr>
          <w:p>
            <w:pPr>
              <w:spacing w:after="0"/>
              <w:rPr>
                <w:sz w:val="2"/>
                <w:szCs w:val="2"/>
                <w:color w:val="auto"/>
              </w:rPr>
            </w:pPr>
          </w:p>
        </w:tc>
        <w:tc>
          <w:tcPr>
            <w:tcW w:w="6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1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Other liabilities</w:t>
            </w:r>
          </w:p>
        </w:tc>
        <w:tc>
          <w:tcPr>
            <w:tcW w:w="68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227.0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220.5</w:t>
            </w:r>
          </w:p>
        </w:tc>
      </w:tr>
      <w:tr>
        <w:trPr>
          <w:trHeight w:val="237"/>
        </w:trPr>
        <w:tc>
          <w:tcPr>
            <w:tcW w:w="1240" w:type="dxa"/>
            <w:vAlign w:val="bottom"/>
          </w:tcPr>
          <w:p>
            <w:pPr>
              <w:ind w:left="40"/>
              <w:spacing w:after="0"/>
              <w:rPr>
                <w:sz w:val="20"/>
                <w:szCs w:val="20"/>
                <w:color w:val="auto"/>
              </w:rPr>
            </w:pPr>
            <w:r>
              <w:rPr>
                <w:rFonts w:ascii="Arial" w:cs="Arial" w:eastAsia="Arial" w:hAnsi="Arial"/>
                <w:sz w:val="18"/>
                <w:szCs w:val="18"/>
                <w:color w:val="auto"/>
                <w:w w:val="99"/>
              </w:rPr>
              <w:t>Total Liabilities</w:t>
            </w:r>
          </w:p>
        </w:tc>
        <w:tc>
          <w:tcPr>
            <w:tcW w:w="68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20,783.8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17,357.5</w:t>
            </w:r>
          </w:p>
        </w:tc>
      </w:tr>
      <w:tr>
        <w:trPr>
          <w:trHeight w:val="27"/>
        </w:trPr>
        <w:tc>
          <w:tcPr>
            <w:tcW w:w="8120" w:type="dxa"/>
            <w:vAlign w:val="bottom"/>
            <w:tcBorders>
              <w:bottom w:val="single" w:sz="8" w:color="CCEEFF"/>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23"/>
        </w:trPr>
        <w:tc>
          <w:tcPr>
            <w:tcW w:w="1240" w:type="dxa"/>
            <w:vAlign w:val="bottom"/>
            <w:shd w:val="clear" w:color="auto" w:fill="CCEEFF"/>
          </w:tcPr>
          <w:p>
            <w:pPr>
              <w:spacing w:after="0"/>
              <w:rPr>
                <w:sz w:val="19"/>
                <w:szCs w:val="19"/>
                <w:color w:val="auto"/>
              </w:rPr>
            </w:pPr>
          </w:p>
        </w:tc>
        <w:tc>
          <w:tcPr>
            <w:tcW w:w="6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Redeemable non-controlling interest</w:t>
            </w: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82.2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80.8</w:t>
            </w:r>
          </w:p>
        </w:tc>
      </w:tr>
      <w:tr>
        <w:trPr>
          <w:trHeight w:val="27"/>
        </w:trPr>
        <w:tc>
          <w:tcPr>
            <w:tcW w:w="81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30"/>
        </w:trPr>
        <w:tc>
          <w:tcPr>
            <w:tcW w:w="8120" w:type="dxa"/>
            <w:vAlign w:val="bottom"/>
            <w:gridSpan w:val="2"/>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CME Group Shareholders’ Equity:</w:t>
            </w: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81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29"/>
        </w:trPr>
        <w:tc>
          <w:tcPr>
            <w:tcW w:w="81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1"/>
              </w:rPr>
              <w:t>Preferred stock, $0.01 par value, 10,000 shares authorized as of March 31, 2013 and December 31, 2012;</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37"/>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none issued or outstanding</w:t>
            </w:r>
          </w:p>
        </w:tc>
        <w:tc>
          <w:tcPr>
            <w:tcW w:w="2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29"/>
        </w:trPr>
        <w:tc>
          <w:tcPr>
            <w:tcW w:w="8120" w:type="dxa"/>
            <w:vAlign w:val="bottom"/>
            <w:gridSpan w:val="2"/>
          </w:tcPr>
          <w:p>
            <w:pPr>
              <w:ind w:left="380"/>
              <w:spacing w:after="0"/>
              <w:rPr>
                <w:sz w:val="20"/>
                <w:szCs w:val="20"/>
                <w:color w:val="auto"/>
              </w:rPr>
            </w:pPr>
            <w:r>
              <w:rPr>
                <w:rFonts w:ascii="Arial" w:cs="Arial" w:eastAsia="Arial" w:hAnsi="Arial"/>
                <w:sz w:val="18"/>
                <w:szCs w:val="18"/>
                <w:color w:val="auto"/>
                <w:w w:val="90"/>
              </w:rPr>
              <w:t>Class A common stock, $0.01 par value, 1,000,000 shares authorized; 332,163 and 331,832 shares issued</w:t>
            </w: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0"/>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and outstanding as of March 31, 2013 and December 31, 2012, respectively</w:t>
            </w:r>
          </w:p>
        </w:tc>
        <w:tc>
          <w:tcPr>
            <w:tcW w:w="220" w:type="dxa"/>
            <w:vAlign w:val="bottom"/>
          </w:tcPr>
          <w:p>
            <w:pPr>
              <w:spacing w:after="0"/>
              <w:rPr>
                <w:sz w:val="20"/>
                <w:szCs w:val="20"/>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3.3</w:t>
            </w:r>
          </w:p>
        </w:tc>
      </w:tr>
      <w:tr>
        <w:trPr>
          <w:trHeight w:val="27"/>
        </w:trPr>
        <w:tc>
          <w:tcPr>
            <w:tcW w:w="81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Class B common stock, $0.01 par value, 3 shares authorized, issued and outstanding</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Additional paid-in capital</w:t>
            </w: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17,237.5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17,213.1</w:t>
            </w:r>
          </w:p>
        </w:tc>
      </w:tr>
      <w:tr>
        <w:trPr>
          <w:trHeight w:val="27"/>
        </w:trPr>
        <w:tc>
          <w:tcPr>
            <w:tcW w:w="81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Retained earnings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4,079.0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3,993.4</w:t>
            </w:r>
          </w:p>
        </w:tc>
      </w:tr>
      <w:tr>
        <w:trPr>
          <w:trHeight w:val="243"/>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Accumulated other comprehensive income (loss)</w:t>
            </w: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230.0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209.3</w:t>
            </w:r>
          </w:p>
        </w:tc>
      </w:tr>
      <w:tr>
        <w:trPr>
          <w:trHeight w:val="27"/>
        </w:trPr>
        <w:tc>
          <w:tcPr>
            <w:tcW w:w="8120" w:type="dxa"/>
            <w:vAlign w:val="bottom"/>
            <w:tcBorders>
              <w:bottom w:val="single" w:sz="8" w:color="CCEEFF"/>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CME Group shareholders’ equity</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21,549.8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21,419.1</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Non-controlling interest</w:t>
            </w: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5.8</w:t>
            </w:r>
          </w:p>
        </w:tc>
      </w:tr>
      <w:tr>
        <w:trPr>
          <w:trHeight w:val="27"/>
        </w:trPr>
        <w:tc>
          <w:tcPr>
            <w:tcW w:w="1240" w:type="dxa"/>
            <w:vAlign w:val="bottom"/>
            <w:tcBorders>
              <w:bottom w:val="single" w:sz="8" w:color="CCEEFF"/>
            </w:tcBorders>
          </w:tcPr>
          <w:p>
            <w:pPr>
              <w:spacing w:after="0"/>
              <w:rPr>
                <w:sz w:val="2"/>
                <w:szCs w:val="2"/>
                <w:color w:val="auto"/>
              </w:rPr>
            </w:pPr>
          </w:p>
        </w:tc>
        <w:tc>
          <w:tcPr>
            <w:tcW w:w="68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4"/>
        </w:trPr>
        <w:tc>
          <w:tcPr>
            <w:tcW w:w="1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Equity</w:t>
            </w:r>
          </w:p>
        </w:tc>
        <w:tc>
          <w:tcPr>
            <w:tcW w:w="68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21,555.8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21,424.9</w:t>
            </w:r>
          </w:p>
        </w:tc>
      </w:tr>
      <w:tr>
        <w:trPr>
          <w:trHeight w:val="237"/>
        </w:trPr>
        <w:tc>
          <w:tcPr>
            <w:tcW w:w="812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 Liabilities and Equity</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42,421.8</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38,863.2</w:t>
            </w:r>
          </w:p>
        </w:tc>
      </w:tr>
      <w:tr>
        <w:trPr>
          <w:trHeight w:val="27"/>
        </w:trPr>
        <w:tc>
          <w:tcPr>
            <w:tcW w:w="1240" w:type="dxa"/>
            <w:vAlign w:val="bottom"/>
          </w:tcPr>
          <w:p>
            <w:pPr>
              <w:spacing w:after="0"/>
              <w:rPr>
                <w:sz w:val="2"/>
                <w:szCs w:val="2"/>
                <w:color w:val="auto"/>
              </w:rPr>
            </w:pPr>
          </w:p>
        </w:tc>
        <w:tc>
          <w:tcPr>
            <w:tcW w:w="68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0"/>
        </w:trPr>
        <w:tc>
          <w:tcPr>
            <w:tcW w:w="124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125" w:right="239" w:bottom="1440" w:gutter="0" w:footer="0" w:header="0"/>
          <w:type w:val="continuous"/>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CME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millions, except per share data; shares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100" w:type="dxa"/>
            <w:vAlign w:val="bottom"/>
            <w:gridSpan w:val="4"/>
          </w:tcPr>
          <w:p>
            <w:pPr>
              <w:jc w:val="right"/>
              <w:ind w:right="611"/>
              <w:spacing w:after="0"/>
              <w:rPr>
                <w:sz w:val="20"/>
                <w:szCs w:val="20"/>
                <w:color w:val="auto"/>
              </w:rPr>
            </w:pPr>
            <w:r>
              <w:rPr>
                <w:rFonts w:ascii="Arial" w:cs="Arial" w:eastAsia="Arial" w:hAnsi="Arial"/>
                <w:sz w:val="14"/>
                <w:szCs w:val="14"/>
                <w:b w:val="1"/>
                <w:bCs w:val="1"/>
                <w:color w:val="auto"/>
              </w:rPr>
              <w:t>Quarter Ended</w:t>
            </w:r>
          </w:p>
        </w:tc>
      </w:tr>
      <w:tr>
        <w:trPr>
          <w:trHeight w:val="276"/>
        </w:trPr>
        <w:tc>
          <w:tcPr>
            <w:tcW w:w="90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780" w:type="dxa"/>
            <w:vAlign w:val="bottom"/>
            <w:tcBorders>
              <w:bottom w:val="single" w:sz="8" w:color="auto"/>
            </w:tcBorders>
          </w:tcPr>
          <w:p>
            <w:pPr>
              <w:spacing w:after="0"/>
              <w:rPr>
                <w:sz w:val="24"/>
                <w:szCs w:val="24"/>
                <w:color w:val="auto"/>
              </w:rPr>
            </w:pPr>
          </w:p>
        </w:tc>
      </w:tr>
      <w:tr>
        <w:trPr>
          <w:trHeight w:val="263"/>
        </w:trPr>
        <w:tc>
          <w:tcPr>
            <w:tcW w:w="904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2012</w:t>
            </w:r>
          </w:p>
        </w:tc>
      </w:tr>
      <w:tr>
        <w:trPr>
          <w:trHeight w:val="230"/>
        </w:trPr>
        <w:tc>
          <w:tcPr>
            <w:tcW w:w="9040" w:type="dxa"/>
            <w:vAlign w:val="bottom"/>
          </w:tcPr>
          <w:p>
            <w:pPr>
              <w:ind w:left="40"/>
              <w:spacing w:after="0"/>
              <w:rPr>
                <w:sz w:val="20"/>
                <w:szCs w:val="20"/>
                <w:color w:val="auto"/>
              </w:rPr>
            </w:pPr>
            <w:r>
              <w:rPr>
                <w:rFonts w:ascii="Arial" w:cs="Arial" w:eastAsia="Arial" w:hAnsi="Arial"/>
                <w:sz w:val="18"/>
                <w:szCs w:val="18"/>
                <w:b w:val="1"/>
                <w:bCs w:val="1"/>
                <w:color w:val="auto"/>
              </w:rPr>
              <w:t>Revenues</w:t>
            </w: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41"/>
        </w:trPr>
        <w:tc>
          <w:tcPr>
            <w:tcW w:w="90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50"/>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Clearing and transaction fees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593.2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621.1</w:t>
            </w:r>
          </w:p>
        </w:tc>
      </w:tr>
      <w:tr>
        <w:trPr>
          <w:trHeight w:val="243"/>
        </w:trPr>
        <w:tc>
          <w:tcPr>
            <w:tcW w:w="9040" w:type="dxa"/>
            <w:vAlign w:val="bottom"/>
          </w:tcPr>
          <w:p>
            <w:pPr>
              <w:ind w:left="40"/>
              <w:spacing w:after="0"/>
              <w:rPr>
                <w:sz w:val="20"/>
                <w:szCs w:val="20"/>
                <w:color w:val="auto"/>
              </w:rPr>
            </w:pPr>
            <w:r>
              <w:rPr>
                <w:rFonts w:ascii="Arial" w:cs="Arial" w:eastAsia="Arial" w:hAnsi="Arial"/>
                <w:sz w:val="18"/>
                <w:szCs w:val="18"/>
                <w:color w:val="auto"/>
              </w:rPr>
              <w:t>Market data and information services</w:t>
            </w: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80.9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114.2</w:t>
            </w:r>
          </w:p>
        </w:tc>
      </w:tr>
      <w:tr>
        <w:trPr>
          <w:trHeight w:val="27"/>
        </w:trPr>
        <w:tc>
          <w:tcPr>
            <w:tcW w:w="9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Access and communication fees</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19.7</w:t>
            </w:r>
          </w:p>
        </w:tc>
      </w:tr>
      <w:tr>
        <w:trPr>
          <w:trHeight w:val="243"/>
        </w:trPr>
        <w:tc>
          <w:tcPr>
            <w:tcW w:w="9040" w:type="dxa"/>
            <w:vAlign w:val="bottom"/>
          </w:tcPr>
          <w:p>
            <w:pPr>
              <w:ind w:left="4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19.6</w:t>
            </w:r>
          </w:p>
        </w:tc>
      </w:tr>
      <w:tr>
        <w:trPr>
          <w:trHeight w:val="27"/>
        </w:trPr>
        <w:tc>
          <w:tcPr>
            <w:tcW w:w="90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64"/>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Revenues</w:t>
            </w: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718.6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774.6</w:t>
            </w:r>
          </w:p>
        </w:tc>
      </w:tr>
      <w:tr>
        <w:trPr>
          <w:trHeight w:val="223"/>
        </w:trPr>
        <w:tc>
          <w:tcPr>
            <w:tcW w:w="9040" w:type="dxa"/>
            <w:vAlign w:val="bottom"/>
          </w:tcPr>
          <w:p>
            <w:pPr>
              <w:ind w:left="40"/>
              <w:spacing w:after="0"/>
              <w:rPr>
                <w:sz w:val="20"/>
                <w:szCs w:val="20"/>
                <w:color w:val="auto"/>
              </w:rPr>
            </w:pPr>
            <w:r>
              <w:rPr>
                <w:rFonts w:ascii="Arial" w:cs="Arial" w:eastAsia="Arial" w:hAnsi="Arial"/>
                <w:sz w:val="18"/>
                <w:szCs w:val="18"/>
                <w:b w:val="1"/>
                <w:bCs w:val="1"/>
                <w:color w:val="auto"/>
              </w:rPr>
              <w:t>Expenses</w:t>
            </w:r>
          </w:p>
        </w:tc>
        <w:tc>
          <w:tcPr>
            <w:tcW w:w="2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r>
      <w:tr>
        <w:trPr>
          <w:trHeight w:val="41"/>
        </w:trPr>
        <w:tc>
          <w:tcPr>
            <w:tcW w:w="90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50"/>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Compensation and benefits</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129.4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135.1</w:t>
            </w:r>
          </w:p>
        </w:tc>
      </w:tr>
      <w:tr>
        <w:trPr>
          <w:trHeight w:val="243"/>
        </w:trPr>
        <w:tc>
          <w:tcPr>
            <w:tcW w:w="9040" w:type="dxa"/>
            <w:vAlign w:val="bottom"/>
          </w:tcPr>
          <w:p>
            <w:pPr>
              <w:ind w:left="40"/>
              <w:spacing w:after="0"/>
              <w:rPr>
                <w:sz w:val="20"/>
                <w:szCs w:val="20"/>
                <w:color w:val="auto"/>
              </w:rPr>
            </w:pPr>
            <w:r>
              <w:rPr>
                <w:rFonts w:ascii="Arial" w:cs="Arial" w:eastAsia="Arial" w:hAnsi="Arial"/>
                <w:sz w:val="18"/>
                <w:szCs w:val="18"/>
                <w:color w:val="auto"/>
              </w:rPr>
              <w:t>Communications</w:t>
            </w: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10.3</w:t>
            </w:r>
          </w:p>
        </w:tc>
      </w:tr>
      <w:tr>
        <w:trPr>
          <w:trHeight w:val="27"/>
        </w:trPr>
        <w:tc>
          <w:tcPr>
            <w:tcW w:w="9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Technology support services</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w:t>
            </w:r>
          </w:p>
        </w:tc>
      </w:tr>
      <w:tr>
        <w:trPr>
          <w:trHeight w:val="243"/>
        </w:trPr>
        <w:tc>
          <w:tcPr>
            <w:tcW w:w="9040" w:type="dxa"/>
            <w:vAlign w:val="bottom"/>
          </w:tcPr>
          <w:p>
            <w:pPr>
              <w:ind w:left="40"/>
              <w:spacing w:after="0"/>
              <w:rPr>
                <w:sz w:val="20"/>
                <w:szCs w:val="20"/>
                <w:color w:val="auto"/>
              </w:rPr>
            </w:pPr>
            <w:r>
              <w:rPr>
                <w:rFonts w:ascii="Arial" w:cs="Arial" w:eastAsia="Arial" w:hAnsi="Arial"/>
                <w:sz w:val="18"/>
                <w:szCs w:val="18"/>
                <w:color w:val="auto"/>
              </w:rPr>
              <w:t>Professional fees and outside services</w:t>
            </w: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32.2</w:t>
            </w:r>
          </w:p>
        </w:tc>
      </w:tr>
      <w:tr>
        <w:trPr>
          <w:trHeight w:val="27"/>
        </w:trPr>
        <w:tc>
          <w:tcPr>
            <w:tcW w:w="9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purchased intangibles</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32.8</w:t>
            </w:r>
          </w:p>
        </w:tc>
      </w:tr>
      <w:tr>
        <w:trPr>
          <w:trHeight w:val="243"/>
        </w:trPr>
        <w:tc>
          <w:tcPr>
            <w:tcW w:w="904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32.6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34.9</w:t>
            </w:r>
          </w:p>
        </w:tc>
      </w:tr>
      <w:tr>
        <w:trPr>
          <w:trHeight w:val="27"/>
        </w:trPr>
        <w:tc>
          <w:tcPr>
            <w:tcW w:w="9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Occupancy and building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20.3</w:t>
            </w:r>
          </w:p>
        </w:tc>
      </w:tr>
      <w:tr>
        <w:trPr>
          <w:trHeight w:val="243"/>
        </w:trPr>
        <w:tc>
          <w:tcPr>
            <w:tcW w:w="9040" w:type="dxa"/>
            <w:vAlign w:val="bottom"/>
          </w:tcPr>
          <w:p>
            <w:pPr>
              <w:ind w:left="40"/>
              <w:spacing w:after="0"/>
              <w:rPr>
                <w:sz w:val="20"/>
                <w:szCs w:val="20"/>
                <w:color w:val="auto"/>
              </w:rPr>
            </w:pPr>
            <w:r>
              <w:rPr>
                <w:rFonts w:ascii="Arial" w:cs="Arial" w:eastAsia="Arial" w:hAnsi="Arial"/>
                <w:sz w:val="18"/>
                <w:szCs w:val="18"/>
                <w:color w:val="auto"/>
              </w:rPr>
              <w:t>Licensing and other fee agreements</w:t>
            </w: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20.7</w:t>
            </w:r>
          </w:p>
        </w:tc>
      </w:tr>
      <w:tr>
        <w:trPr>
          <w:trHeight w:val="27"/>
        </w:trPr>
        <w:tc>
          <w:tcPr>
            <w:tcW w:w="9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24.3</w:t>
            </w:r>
          </w:p>
        </w:tc>
      </w:tr>
      <w:tr>
        <w:trPr>
          <w:trHeight w:val="237"/>
        </w:trPr>
        <w:tc>
          <w:tcPr>
            <w:tcW w:w="9040" w:type="dxa"/>
            <w:vAlign w:val="bottom"/>
          </w:tcPr>
          <w:p>
            <w:pPr>
              <w:ind w:left="40"/>
              <w:spacing w:after="0"/>
              <w:rPr>
                <w:sz w:val="20"/>
                <w:szCs w:val="20"/>
                <w:color w:val="auto"/>
              </w:rPr>
            </w:pPr>
            <w:r>
              <w:rPr>
                <w:rFonts w:ascii="Arial" w:cs="Arial" w:eastAsia="Arial" w:hAnsi="Arial"/>
                <w:sz w:val="18"/>
                <w:szCs w:val="18"/>
                <w:b w:val="1"/>
                <w:bCs w:val="1"/>
                <w:color w:val="auto"/>
              </w:rPr>
              <w:t>Total Expenses</w:t>
            </w: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313.1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323.4</w:t>
            </w:r>
          </w:p>
        </w:tc>
      </w:tr>
      <w:tr>
        <w:trPr>
          <w:trHeight w:val="27"/>
        </w:trPr>
        <w:tc>
          <w:tcPr>
            <w:tcW w:w="90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4"/>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405.5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451.2</w:t>
            </w:r>
          </w:p>
        </w:tc>
      </w:tr>
      <w:tr>
        <w:trPr>
          <w:trHeight w:val="122"/>
        </w:trPr>
        <w:tc>
          <w:tcPr>
            <w:tcW w:w="90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80" w:type="dxa"/>
            <w:vAlign w:val="bottom"/>
          </w:tcPr>
          <w:p>
            <w:pPr>
              <w:spacing w:after="0"/>
              <w:rPr>
                <w:sz w:val="10"/>
                <w:szCs w:val="10"/>
                <w:color w:val="auto"/>
              </w:rPr>
            </w:pPr>
          </w:p>
        </w:tc>
      </w:tr>
      <w:tr>
        <w:trPr>
          <w:trHeight w:val="250"/>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Non-Operating Income (Expense)</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3"/>
        </w:trPr>
        <w:tc>
          <w:tcPr>
            <w:tcW w:w="9040" w:type="dxa"/>
            <w:vAlign w:val="bottom"/>
          </w:tcPr>
          <w:p>
            <w:pPr>
              <w:ind w:left="40"/>
              <w:spacing w:after="0"/>
              <w:rPr>
                <w:sz w:val="20"/>
                <w:szCs w:val="20"/>
                <w:color w:val="auto"/>
              </w:rPr>
            </w:pPr>
            <w:r>
              <w:rPr>
                <w:rFonts w:ascii="Arial" w:cs="Arial" w:eastAsia="Arial" w:hAnsi="Arial"/>
                <w:sz w:val="18"/>
                <w:szCs w:val="18"/>
                <w:color w:val="auto"/>
              </w:rPr>
              <w:t>Investment income</w:t>
            </w: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12.1</w:t>
            </w:r>
          </w:p>
        </w:tc>
      </w:tr>
      <w:tr>
        <w:trPr>
          <w:trHeight w:val="27"/>
        </w:trPr>
        <w:tc>
          <w:tcPr>
            <w:tcW w:w="9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and other borrowing costs</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w:t>
            </w:r>
          </w:p>
        </w:tc>
      </w:tr>
      <w:tr>
        <w:trPr>
          <w:trHeight w:val="243"/>
        </w:trPr>
        <w:tc>
          <w:tcPr>
            <w:tcW w:w="9040" w:type="dxa"/>
            <w:vAlign w:val="bottom"/>
          </w:tcPr>
          <w:p>
            <w:pPr>
              <w:ind w:left="40"/>
              <w:spacing w:after="0"/>
              <w:rPr>
                <w:sz w:val="20"/>
                <w:szCs w:val="20"/>
                <w:color w:val="auto"/>
              </w:rPr>
            </w:pPr>
            <w:r>
              <w:rPr>
                <w:rFonts w:ascii="Arial" w:cs="Arial" w:eastAsia="Arial" w:hAnsi="Arial"/>
                <w:sz w:val="18"/>
                <w:szCs w:val="18"/>
                <w:color w:val="auto"/>
              </w:rPr>
              <w:t>Equity in net gains (losses) of unconsolidated subsidiaries</w:t>
            </w: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(0.8)</w:t>
            </w:r>
          </w:p>
        </w:tc>
      </w:tr>
      <w:tr>
        <w:trPr>
          <w:trHeight w:val="27"/>
        </w:trPr>
        <w:tc>
          <w:tcPr>
            <w:tcW w:w="90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64"/>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Non-Operating</w:t>
            </w: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w:t>
            </w:r>
          </w:p>
        </w:tc>
      </w:tr>
      <w:tr>
        <w:trPr>
          <w:trHeight w:val="237"/>
        </w:trPr>
        <w:tc>
          <w:tcPr>
            <w:tcW w:w="9040" w:type="dxa"/>
            <w:vAlign w:val="bottom"/>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387.6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433.4</w:t>
            </w:r>
          </w:p>
        </w:tc>
      </w:tr>
      <w:tr>
        <w:trPr>
          <w:trHeight w:val="27"/>
        </w:trPr>
        <w:tc>
          <w:tcPr>
            <w:tcW w:w="9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provision</w:t>
            </w: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150.2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167.1</w:t>
            </w:r>
          </w:p>
        </w:tc>
      </w:tr>
      <w:tr>
        <w:trPr>
          <w:trHeight w:val="237"/>
        </w:trPr>
        <w:tc>
          <w:tcPr>
            <w:tcW w:w="9040" w:type="dxa"/>
            <w:vAlign w:val="bottom"/>
          </w:tcPr>
          <w:p>
            <w:pPr>
              <w:ind w:left="40"/>
              <w:spacing w:after="0"/>
              <w:rPr>
                <w:sz w:val="20"/>
                <w:szCs w:val="20"/>
                <w:color w:val="auto"/>
              </w:rPr>
            </w:pPr>
            <w:r>
              <w:rPr>
                <w:rFonts w:ascii="Arial" w:cs="Arial" w:eastAsia="Arial" w:hAnsi="Arial"/>
                <w:sz w:val="18"/>
                <w:szCs w:val="18"/>
                <w:b w:val="1"/>
                <w:bCs w:val="1"/>
                <w:color w:val="auto"/>
              </w:rPr>
              <w:t>Net Income</w:t>
            </w: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237.4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266.3</w:t>
            </w:r>
          </w:p>
        </w:tc>
      </w:tr>
      <w:tr>
        <w:trPr>
          <w:trHeight w:val="27"/>
        </w:trPr>
        <w:tc>
          <w:tcPr>
            <w:tcW w:w="9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net income (loss) attributable to non-controlling interests</w:t>
            </w: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37"/>
        </w:trPr>
        <w:tc>
          <w:tcPr>
            <w:tcW w:w="9040" w:type="dxa"/>
            <w:vAlign w:val="bottom"/>
          </w:tcPr>
          <w:p>
            <w:pPr>
              <w:ind w:left="40"/>
              <w:spacing w:after="0"/>
              <w:rPr>
                <w:sz w:val="20"/>
                <w:szCs w:val="20"/>
                <w:color w:val="auto"/>
              </w:rPr>
            </w:pPr>
            <w:r>
              <w:rPr>
                <w:rFonts w:ascii="Arial" w:cs="Arial" w:eastAsia="Arial" w:hAnsi="Arial"/>
                <w:sz w:val="18"/>
                <w:szCs w:val="18"/>
                <w:b w:val="1"/>
                <w:bCs w:val="1"/>
                <w:color w:val="auto"/>
              </w:rPr>
              <w:t>Net Income Attributable to CME Group</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235.8</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266.6</w:t>
            </w:r>
          </w:p>
        </w:tc>
      </w:tr>
      <w:tr>
        <w:trPr>
          <w:trHeight w:val="67"/>
        </w:trPr>
        <w:tc>
          <w:tcPr>
            <w:tcW w:w="904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r>
      <w:tr>
        <w:trPr>
          <w:trHeight w:val="210"/>
        </w:trPr>
        <w:tc>
          <w:tcPr>
            <w:tcW w:w="9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43"/>
        </w:trPr>
        <w:tc>
          <w:tcPr>
            <w:tcW w:w="9040" w:type="dxa"/>
            <w:vAlign w:val="bottom"/>
          </w:tcPr>
          <w:p>
            <w:pPr>
              <w:ind w:left="40"/>
              <w:spacing w:after="0"/>
              <w:rPr>
                <w:sz w:val="20"/>
                <w:szCs w:val="20"/>
                <w:color w:val="auto"/>
              </w:rPr>
            </w:pPr>
            <w:r>
              <w:rPr>
                <w:rFonts w:ascii="Arial" w:cs="Arial" w:eastAsia="Arial" w:hAnsi="Arial"/>
                <w:sz w:val="18"/>
                <w:szCs w:val="18"/>
                <w:b w:val="1"/>
                <w:bCs w:val="1"/>
                <w:color w:val="auto"/>
              </w:rPr>
              <w:t>Earnings per Common Share Attributable to CME Group:</w:t>
            </w: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7"/>
        </w:trPr>
        <w:tc>
          <w:tcPr>
            <w:tcW w:w="9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9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0.71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0.81</w:t>
            </w:r>
          </w:p>
        </w:tc>
      </w:tr>
      <w:tr>
        <w:trPr>
          <w:trHeight w:val="243"/>
        </w:trPr>
        <w:tc>
          <w:tcPr>
            <w:tcW w:w="9040" w:type="dxa"/>
            <w:vAlign w:val="bottom"/>
          </w:tcPr>
          <w:p>
            <w:pPr>
              <w:ind w:left="380"/>
              <w:spacing w:after="0"/>
              <w:rPr>
                <w:sz w:val="20"/>
                <w:szCs w:val="20"/>
                <w:color w:val="auto"/>
              </w:rPr>
            </w:pPr>
            <w:r>
              <w:rPr>
                <w:rFonts w:ascii="Arial" w:cs="Arial" w:eastAsia="Arial" w:hAnsi="Arial"/>
                <w:sz w:val="18"/>
                <w:szCs w:val="18"/>
                <w:color w:val="auto"/>
              </w:rPr>
              <w:t>Diluted</w:t>
            </w: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0.71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0.80</w:t>
            </w:r>
          </w:p>
        </w:tc>
      </w:tr>
      <w:tr>
        <w:trPr>
          <w:trHeight w:val="27"/>
        </w:trPr>
        <w:tc>
          <w:tcPr>
            <w:tcW w:w="9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Weighted Average Number of Common Shares:</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3"/>
        </w:trPr>
        <w:tc>
          <w:tcPr>
            <w:tcW w:w="9040" w:type="dxa"/>
            <w:vAlign w:val="bottom"/>
          </w:tcPr>
          <w:p>
            <w:pPr>
              <w:ind w:left="380"/>
              <w:spacing w:after="0"/>
              <w:rPr>
                <w:sz w:val="20"/>
                <w:szCs w:val="20"/>
                <w:color w:val="auto"/>
              </w:rPr>
            </w:pPr>
            <w:r>
              <w:rPr>
                <w:rFonts w:ascii="Arial" w:cs="Arial" w:eastAsia="Arial" w:hAnsi="Arial"/>
                <w:sz w:val="18"/>
                <w:szCs w:val="18"/>
                <w:color w:val="auto"/>
              </w:rPr>
              <w:t>Basic</w:t>
            </w: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331,953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330,814</w:t>
            </w:r>
          </w:p>
        </w:tc>
      </w:tr>
      <w:tr>
        <w:trPr>
          <w:trHeight w:val="27"/>
        </w:trPr>
        <w:tc>
          <w:tcPr>
            <w:tcW w:w="9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43"/>
        </w:trPr>
        <w:tc>
          <w:tcPr>
            <w:tcW w:w="90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28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333,372</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331,851</w:t>
            </w:r>
          </w:p>
        </w:tc>
      </w:tr>
      <w:tr>
        <w:trPr>
          <w:trHeight w:val="27"/>
        </w:trPr>
        <w:tc>
          <w:tcPr>
            <w:tcW w:w="90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CME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20" w:type="dxa"/>
            <w:vAlign w:val="bottom"/>
            <w:gridSpan w:val="3"/>
          </w:tcPr>
          <w:p>
            <w:pPr>
              <w:jc w:val="right"/>
              <w:spacing w:after="0"/>
              <w:rPr>
                <w:sz w:val="20"/>
                <w:szCs w:val="20"/>
                <w:color w:val="auto"/>
              </w:rPr>
            </w:pPr>
            <w:r>
              <w:rPr>
                <w:rFonts w:ascii="Arial" w:cs="Arial" w:eastAsia="Arial" w:hAnsi="Arial"/>
                <w:sz w:val="14"/>
                <w:szCs w:val="14"/>
                <w:b w:val="1"/>
                <w:bCs w:val="1"/>
                <w:color w:val="auto"/>
              </w:rPr>
              <w:t>Quarter Ended</w:t>
            </w:r>
          </w:p>
        </w:tc>
        <w:tc>
          <w:tcPr>
            <w:tcW w:w="800" w:type="dxa"/>
            <w:vAlign w:val="bottom"/>
          </w:tcPr>
          <w:p>
            <w:pPr>
              <w:spacing w:after="0"/>
              <w:rPr>
                <w:sz w:val="16"/>
                <w:szCs w:val="16"/>
                <w:color w:val="auto"/>
              </w:rPr>
            </w:pPr>
          </w:p>
        </w:tc>
      </w:tr>
      <w:tr>
        <w:trPr>
          <w:trHeight w:val="276"/>
        </w:trPr>
        <w:tc>
          <w:tcPr>
            <w:tcW w:w="88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March 31,</w:t>
            </w:r>
          </w:p>
        </w:tc>
        <w:tc>
          <w:tcPr>
            <w:tcW w:w="800" w:type="dxa"/>
            <w:vAlign w:val="bottom"/>
            <w:tcBorders>
              <w:bottom w:val="single" w:sz="8" w:color="auto"/>
            </w:tcBorders>
          </w:tcPr>
          <w:p>
            <w:pPr>
              <w:spacing w:after="0"/>
              <w:rPr>
                <w:sz w:val="24"/>
                <w:szCs w:val="24"/>
                <w:color w:val="auto"/>
              </w:rPr>
            </w:pPr>
          </w:p>
        </w:tc>
      </w:tr>
      <w:tr>
        <w:trPr>
          <w:trHeight w:val="264"/>
        </w:trPr>
        <w:tc>
          <w:tcPr>
            <w:tcW w:w="88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w w:val="96"/>
              </w:rPr>
              <w:t>2012</w:t>
            </w: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237.4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266.3</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Other comprehensive income, net of tax:</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Investment securities: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500"/>
              <w:spacing w:after="0"/>
              <w:rPr>
                <w:sz w:val="20"/>
                <w:szCs w:val="20"/>
                <w:color w:val="auto"/>
              </w:rPr>
            </w:pPr>
            <w:r>
              <w:rPr>
                <w:rFonts w:ascii="Arial" w:cs="Arial" w:eastAsia="Arial" w:hAnsi="Arial"/>
                <w:sz w:val="18"/>
                <w:szCs w:val="18"/>
                <w:color w:val="auto"/>
              </w:rPr>
              <w:t>Net unrealized holding gains (losses) arising during the period</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99.1</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Income tax benefit (expense)</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(48.2)</w:t>
            </w:r>
          </w:p>
        </w:tc>
      </w:tr>
      <w:tr>
        <w:trPr>
          <w:trHeight w:val="237"/>
        </w:trPr>
        <w:tc>
          <w:tcPr>
            <w:tcW w:w="8800" w:type="dxa"/>
            <w:vAlign w:val="bottom"/>
          </w:tcPr>
          <w:p>
            <w:pPr>
              <w:ind w:left="280"/>
              <w:spacing w:after="0"/>
              <w:rPr>
                <w:sz w:val="20"/>
                <w:szCs w:val="20"/>
                <w:color w:val="auto"/>
              </w:rPr>
            </w:pPr>
            <w:r>
              <w:rPr>
                <w:rFonts w:ascii="Arial" w:cs="Arial" w:eastAsia="Arial" w:hAnsi="Arial"/>
                <w:sz w:val="18"/>
                <w:szCs w:val="18"/>
                <w:color w:val="auto"/>
              </w:rPr>
              <w:t>Investment securities, net</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50.9</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Defined benefit plans: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500"/>
              <w:spacing w:after="0"/>
              <w:rPr>
                <w:sz w:val="20"/>
                <w:szCs w:val="20"/>
                <w:color w:val="auto"/>
              </w:rPr>
            </w:pPr>
            <w:r>
              <w:rPr>
                <w:rFonts w:ascii="Arial" w:cs="Arial" w:eastAsia="Arial" w:hAnsi="Arial"/>
                <w:sz w:val="18"/>
                <w:szCs w:val="18"/>
                <w:color w:val="auto"/>
              </w:rPr>
              <w:t>Net change in defined benefit plans arising during the period</w:t>
            </w: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0.5</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Amortization of net actuarial (gains) losses included in compensation and benefits expense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0.6</w:t>
            </w:r>
          </w:p>
        </w:tc>
      </w:tr>
      <w:tr>
        <w:trPr>
          <w:trHeight w:val="243"/>
        </w:trPr>
        <w:tc>
          <w:tcPr>
            <w:tcW w:w="8800" w:type="dxa"/>
            <w:vAlign w:val="bottom"/>
          </w:tcPr>
          <w:p>
            <w:pPr>
              <w:ind w:left="500"/>
              <w:spacing w:after="0"/>
              <w:rPr>
                <w:sz w:val="20"/>
                <w:szCs w:val="20"/>
                <w:color w:val="auto"/>
              </w:rPr>
            </w:pPr>
            <w:r>
              <w:rPr>
                <w:rFonts w:ascii="Arial" w:cs="Arial" w:eastAsia="Arial" w:hAnsi="Arial"/>
                <w:sz w:val="18"/>
                <w:szCs w:val="18"/>
                <w:color w:val="auto"/>
              </w:rPr>
              <w:t>Income tax benefit (expense)</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(0.4)</w:t>
            </w:r>
          </w:p>
        </w:tc>
      </w:tr>
      <w:tr>
        <w:trPr>
          <w:trHeight w:val="27"/>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Defined benefit plans, net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0.7</w:t>
            </w: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Derivative investments:</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unrealized holding gains (losses) arising during the period</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800" w:type="dxa"/>
            <w:vAlign w:val="bottom"/>
          </w:tcPr>
          <w:p>
            <w:pPr>
              <w:ind w:left="500"/>
              <w:spacing w:after="0"/>
              <w:rPr>
                <w:sz w:val="20"/>
                <w:szCs w:val="20"/>
                <w:color w:val="auto"/>
              </w:rPr>
            </w:pPr>
            <w:r>
              <w:rPr>
                <w:rFonts w:ascii="Arial" w:cs="Arial" w:eastAsia="Arial" w:hAnsi="Arial"/>
                <w:sz w:val="18"/>
                <w:szCs w:val="18"/>
                <w:color w:val="auto"/>
              </w:rPr>
              <w:t>Amortization of effective portion of loss on cash flow hedges included in interest expense</w:t>
            </w: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0.2</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Income tax benefit (expense)</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37"/>
        </w:trPr>
        <w:tc>
          <w:tcPr>
            <w:tcW w:w="8800" w:type="dxa"/>
            <w:vAlign w:val="bottom"/>
          </w:tcPr>
          <w:p>
            <w:pPr>
              <w:ind w:left="280"/>
              <w:spacing w:after="0"/>
              <w:rPr>
                <w:sz w:val="20"/>
                <w:szCs w:val="20"/>
                <w:color w:val="auto"/>
              </w:rPr>
            </w:pPr>
            <w:r>
              <w:rPr>
                <w:rFonts w:ascii="Arial" w:cs="Arial" w:eastAsia="Arial" w:hAnsi="Arial"/>
                <w:sz w:val="18"/>
                <w:szCs w:val="18"/>
                <w:color w:val="auto"/>
              </w:rPr>
              <w:t>Derivative investments, net</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0.1</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 currency translation:</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500"/>
              <w:spacing w:after="0"/>
              <w:rPr>
                <w:sz w:val="20"/>
                <w:szCs w:val="20"/>
                <w:color w:val="auto"/>
              </w:rPr>
            </w:pPr>
            <w:r>
              <w:rPr>
                <w:rFonts w:ascii="Arial" w:cs="Arial" w:eastAsia="Arial" w:hAnsi="Arial"/>
                <w:sz w:val="18"/>
                <w:szCs w:val="18"/>
                <w:color w:val="auto"/>
              </w:rPr>
              <w:t>Foreign currency translation adjustments</w:t>
            </w: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2.4</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Income tax benefit (expense)</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r>
      <w:tr>
        <w:trPr>
          <w:trHeight w:val="237"/>
        </w:trPr>
        <w:tc>
          <w:tcPr>
            <w:tcW w:w="8800" w:type="dxa"/>
            <w:vAlign w:val="bottom"/>
          </w:tcPr>
          <w:p>
            <w:pPr>
              <w:ind w:left="280"/>
              <w:spacing w:after="0"/>
              <w:rPr>
                <w:sz w:val="20"/>
                <w:szCs w:val="20"/>
                <w:color w:val="auto"/>
              </w:rPr>
            </w:pPr>
            <w:r>
              <w:rPr>
                <w:rFonts w:ascii="Arial" w:cs="Arial" w:eastAsia="Arial" w:hAnsi="Arial"/>
                <w:sz w:val="18"/>
                <w:szCs w:val="18"/>
                <w:color w:val="auto"/>
              </w:rPr>
              <w:t>Foreign currency translation, net</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w:t>
            </w:r>
          </w:p>
        </w:tc>
      </w:tr>
      <w:tr>
        <w:trPr>
          <w:trHeight w:val="27"/>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net of tax</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20.7</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53.2</w:t>
            </w: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258.1</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319.5</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comprehensive income (loss) attributable to redeemable non-controlling interest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57"/>
        </w:trPr>
        <w:tc>
          <w:tcPr>
            <w:tcW w:w="8800" w:type="dxa"/>
            <w:vAlign w:val="bottom"/>
          </w:tcPr>
          <w:p>
            <w:pPr>
              <w:ind w:left="40"/>
              <w:spacing w:after="0"/>
              <w:rPr>
                <w:sz w:val="20"/>
                <w:szCs w:val="20"/>
                <w:color w:val="auto"/>
              </w:rPr>
            </w:pPr>
            <w:r>
              <w:rPr>
                <w:rFonts w:ascii="Arial" w:cs="Arial" w:eastAsia="Arial" w:hAnsi="Arial"/>
                <w:sz w:val="18"/>
                <w:szCs w:val="18"/>
                <w:b w:val="1"/>
                <w:bCs w:val="1"/>
                <w:color w:val="auto"/>
              </w:rPr>
              <w:t>Comprehensive Income Attributable to CME Group</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256.5</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319.8</w:t>
            </w:r>
          </w:p>
        </w:tc>
      </w:tr>
      <w:tr>
        <w:trPr>
          <w:trHeight w:val="20"/>
        </w:trPr>
        <w:tc>
          <w:tcPr>
            <w:tcW w:w="8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CME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millions, except per share data; shares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0" w:type="dxa"/>
            <w:vAlign w:val="bottom"/>
          </w:tcPr>
          <w:p>
            <w:pPr>
              <w:spacing w:after="0"/>
              <w:rPr>
                <w:sz w:val="14"/>
                <w:szCs w:val="14"/>
                <w:color w:val="auto"/>
              </w:rPr>
            </w:pPr>
          </w:p>
        </w:tc>
        <w:tc>
          <w:tcPr>
            <w:tcW w:w="10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Class A</w:t>
            </w:r>
          </w:p>
        </w:tc>
        <w:tc>
          <w:tcPr>
            <w:tcW w:w="9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9"/>
              </w:rPr>
              <w:t>Class B</w:t>
            </w:r>
          </w:p>
        </w:tc>
        <w:tc>
          <w:tcPr>
            <w:tcW w:w="14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Common</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2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Stock and</w:t>
            </w: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36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7"/>
              </w:rPr>
              <w:t>Total CME Group</w:t>
            </w:r>
          </w:p>
        </w:tc>
        <w:tc>
          <w:tcPr>
            <w:tcW w:w="140" w:type="dxa"/>
            <w:vAlign w:val="bottom"/>
          </w:tcPr>
          <w:p>
            <w:pPr>
              <w:spacing w:after="0"/>
              <w:rPr>
                <w:sz w:val="12"/>
                <w:szCs w:val="12"/>
                <w:color w:val="auto"/>
              </w:rPr>
            </w:pPr>
          </w:p>
        </w:tc>
        <w:tc>
          <w:tcPr>
            <w:tcW w:w="10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Non-</w:t>
            </w: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tcPr>
          <w:p>
            <w:pPr>
              <w:spacing w:after="0"/>
              <w:rPr>
                <w:sz w:val="12"/>
                <w:szCs w:val="12"/>
                <w:color w:val="auto"/>
              </w:rPr>
            </w:pPr>
          </w:p>
        </w:tc>
        <w:tc>
          <w:tcPr>
            <w:tcW w:w="10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Common</w:t>
            </w:r>
          </w:p>
        </w:tc>
        <w:tc>
          <w:tcPr>
            <w:tcW w:w="9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Common</w:t>
            </w:r>
          </w:p>
        </w:tc>
        <w:tc>
          <w:tcPr>
            <w:tcW w:w="14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Additional</w:t>
            </w:r>
          </w:p>
        </w:tc>
        <w:tc>
          <w:tcPr>
            <w:tcW w:w="180" w:type="dxa"/>
            <w:vAlign w:val="bottom"/>
          </w:tcPr>
          <w:p>
            <w:pPr>
              <w:spacing w:after="0"/>
              <w:rPr>
                <w:sz w:val="12"/>
                <w:szCs w:val="12"/>
                <w:color w:val="auto"/>
              </w:rPr>
            </w:pPr>
          </w:p>
        </w:tc>
        <w:tc>
          <w:tcPr>
            <w:tcW w:w="9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Retained</w:t>
            </w:r>
          </w:p>
        </w:tc>
        <w:tc>
          <w:tcPr>
            <w:tcW w:w="160" w:type="dxa"/>
            <w:vAlign w:val="bottom"/>
          </w:tcPr>
          <w:p>
            <w:pPr>
              <w:spacing w:after="0"/>
              <w:rPr>
                <w:sz w:val="12"/>
                <w:szCs w:val="12"/>
                <w:color w:val="auto"/>
              </w:rPr>
            </w:pPr>
          </w:p>
        </w:tc>
        <w:tc>
          <w:tcPr>
            <w:tcW w:w="13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Other</w:t>
            </w:r>
          </w:p>
        </w:tc>
        <w:tc>
          <w:tcPr>
            <w:tcW w:w="136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tcPr>
          <w:p>
            <w:pPr>
              <w:spacing w:after="0"/>
              <w:rPr>
                <w:sz w:val="12"/>
                <w:szCs w:val="12"/>
                <w:color w:val="auto"/>
              </w:rPr>
            </w:pPr>
          </w:p>
        </w:tc>
        <w:tc>
          <w:tcPr>
            <w:tcW w:w="10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Stock</w:t>
            </w:r>
          </w:p>
        </w:tc>
        <w:tc>
          <w:tcPr>
            <w:tcW w:w="9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Stock</w:t>
            </w:r>
          </w:p>
        </w:tc>
        <w:tc>
          <w:tcPr>
            <w:tcW w:w="14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8"/>
              </w:rPr>
              <w:t>Paid-in</w:t>
            </w:r>
          </w:p>
        </w:tc>
        <w:tc>
          <w:tcPr>
            <w:tcW w:w="1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60" w:type="dxa"/>
            <w:vAlign w:val="bottom"/>
          </w:tcPr>
          <w:p>
            <w:pPr>
              <w:spacing w:after="0"/>
              <w:rPr>
                <w:sz w:val="12"/>
                <w:szCs w:val="12"/>
                <w:color w:val="auto"/>
              </w:rPr>
            </w:pPr>
          </w:p>
        </w:tc>
        <w:tc>
          <w:tcPr>
            <w:tcW w:w="12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Shareholders’</w:t>
            </w: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Controlling</w:t>
            </w:r>
          </w:p>
        </w:tc>
        <w:tc>
          <w:tcPr>
            <w:tcW w:w="120" w:type="dxa"/>
            <w:vAlign w:val="bottom"/>
          </w:tcPr>
          <w:p>
            <w:pPr>
              <w:spacing w:after="0"/>
              <w:rPr>
                <w:sz w:val="12"/>
                <w:szCs w:val="12"/>
                <w:color w:val="auto"/>
              </w:rPr>
            </w:pPr>
          </w:p>
        </w:tc>
        <w:tc>
          <w:tcPr>
            <w:tcW w:w="900" w:type="dxa"/>
            <w:vAlign w:val="bottom"/>
            <w:vMerge w:val="restart"/>
          </w:tcPr>
          <w:p>
            <w:pPr>
              <w:jc w:val="right"/>
              <w:ind w:right="32"/>
              <w:spacing w:after="0"/>
              <w:rPr>
                <w:sz w:val="20"/>
                <w:szCs w:val="20"/>
                <w:color w:val="auto"/>
              </w:rPr>
            </w:pPr>
            <w:r>
              <w:rPr>
                <w:rFonts w:ascii="Arial" w:cs="Arial" w:eastAsia="Arial" w:hAnsi="Arial"/>
                <w:sz w:val="14"/>
                <w:szCs w:val="14"/>
                <w:b w:val="1"/>
                <w:bCs w:val="1"/>
                <w:color w:val="auto"/>
                <w:w w:val="94"/>
              </w:rPr>
              <w:t>Total Equity</w:t>
            </w:r>
          </w:p>
        </w:tc>
        <w:tc>
          <w:tcPr>
            <w:tcW w:w="0" w:type="dxa"/>
            <w:vAlign w:val="bottom"/>
          </w:tcPr>
          <w:p>
            <w:pPr>
              <w:spacing w:after="0"/>
              <w:rPr>
                <w:sz w:val="1"/>
                <w:szCs w:val="1"/>
                <w:color w:val="auto"/>
              </w:rPr>
            </w:pPr>
          </w:p>
        </w:tc>
      </w:tr>
      <w:tr>
        <w:trPr>
          <w:trHeight w:val="192"/>
        </w:trPr>
        <w:tc>
          <w:tcPr>
            <w:tcW w:w="22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2"/>
              </w:rPr>
              <w:t>(Shares)</w:t>
            </w:r>
          </w:p>
        </w:tc>
        <w:tc>
          <w:tcPr>
            <w:tcW w:w="92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89"/>
              </w:rPr>
              <w:t>(Shares)</w:t>
            </w: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8"/>
              </w:rPr>
              <w:t>Capital</w:t>
            </w: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Earnings</w:t>
            </w: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0"/>
              </w:rPr>
              <w:t>Income (Loss)</w:t>
            </w: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8"/>
              </w:rPr>
              <w:t>Equity</w:t>
            </w: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4"/>
              </w:rPr>
              <w:t>Interest</w:t>
            </w: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December 31,</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2012</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331,832</w:t>
            </w: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17,216.4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3,993.4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209.3</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21,419.1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21,424.9</w:t>
            </w:r>
          </w:p>
        </w:tc>
        <w:tc>
          <w:tcPr>
            <w:tcW w:w="0" w:type="dxa"/>
            <w:vAlign w:val="bottom"/>
          </w:tcPr>
          <w:p>
            <w:pPr>
              <w:spacing w:after="0"/>
              <w:rPr>
                <w:sz w:val="1"/>
                <w:szCs w:val="1"/>
                <w:color w:val="auto"/>
              </w:rPr>
            </w:pPr>
          </w:p>
        </w:tc>
      </w:tr>
      <w:tr>
        <w:trPr>
          <w:trHeight w:val="229"/>
        </w:trPr>
        <w:tc>
          <w:tcPr>
            <w:tcW w:w="2200" w:type="dxa"/>
            <w:vAlign w:val="bottom"/>
          </w:tcPr>
          <w:p>
            <w:pPr>
              <w:ind w:left="40"/>
              <w:spacing w:after="0"/>
              <w:rPr>
                <w:sz w:val="20"/>
                <w:szCs w:val="20"/>
                <w:color w:val="auto"/>
              </w:rPr>
            </w:pPr>
            <w:r>
              <w:rPr>
                <w:rFonts w:ascii="Arial" w:cs="Arial" w:eastAsia="Arial" w:hAnsi="Arial"/>
                <w:sz w:val="18"/>
                <w:szCs w:val="18"/>
                <w:color w:val="auto"/>
              </w:rPr>
              <w:t>Net income attributable to</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00" w:type="dxa"/>
            <w:vAlign w:val="bottom"/>
          </w:tcPr>
          <w:p>
            <w:pPr>
              <w:ind w:left="40"/>
              <w:spacing w:after="0"/>
              <w:rPr>
                <w:sz w:val="20"/>
                <w:szCs w:val="20"/>
                <w:color w:val="auto"/>
              </w:rPr>
            </w:pPr>
            <w:r>
              <w:rPr>
                <w:rFonts w:ascii="Arial" w:cs="Arial" w:eastAsia="Arial" w:hAnsi="Arial"/>
                <w:sz w:val="18"/>
                <w:szCs w:val="18"/>
                <w:color w:val="auto"/>
              </w:rPr>
              <w:t>CME Group and non-</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00" w:type="dxa"/>
            <w:vAlign w:val="bottom"/>
          </w:tcPr>
          <w:p>
            <w:pPr>
              <w:ind w:left="40"/>
              <w:spacing w:after="0"/>
              <w:rPr>
                <w:sz w:val="20"/>
                <w:szCs w:val="20"/>
                <w:color w:val="auto"/>
              </w:rPr>
            </w:pPr>
            <w:r>
              <w:rPr>
                <w:rFonts w:ascii="Arial" w:cs="Arial" w:eastAsia="Arial" w:hAnsi="Arial"/>
                <w:sz w:val="18"/>
                <w:szCs w:val="18"/>
                <w:color w:val="auto"/>
              </w:rPr>
              <w:t>controlling interest</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ind w:right="36"/>
              <w:spacing w:after="0"/>
              <w:rPr>
                <w:sz w:val="20"/>
                <w:szCs w:val="20"/>
                <w:color w:val="auto"/>
              </w:rPr>
            </w:pPr>
            <w:r>
              <w:rPr>
                <w:rFonts w:ascii="Arial" w:cs="Arial" w:eastAsia="Arial" w:hAnsi="Arial"/>
                <w:sz w:val="18"/>
                <w:szCs w:val="18"/>
                <w:color w:val="auto"/>
              </w:rPr>
              <w:t>235.8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235.8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236.0</w:t>
            </w:r>
          </w:p>
        </w:tc>
        <w:tc>
          <w:tcPr>
            <w:tcW w:w="0" w:type="dxa"/>
            <w:vAlign w:val="bottom"/>
          </w:tcPr>
          <w:p>
            <w:pPr>
              <w:spacing w:after="0"/>
              <w:rPr>
                <w:sz w:val="1"/>
                <w:szCs w:val="1"/>
                <w:color w:val="auto"/>
              </w:rPr>
            </w:pPr>
          </w:p>
        </w:tc>
      </w:tr>
      <w:tr>
        <w:trPr>
          <w:trHeight w:val="27"/>
        </w:trPr>
        <w:tc>
          <w:tcPr>
            <w:tcW w:w="2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comprehensive</w:t>
            </w: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attributable to</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CME Group</w:t>
            </w: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20.7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29"/>
        </w:trPr>
        <w:tc>
          <w:tcPr>
            <w:tcW w:w="2200" w:type="dxa"/>
            <w:vAlign w:val="bottom"/>
          </w:tcPr>
          <w:p>
            <w:pPr>
              <w:ind w:left="40"/>
              <w:spacing w:after="0"/>
              <w:rPr>
                <w:sz w:val="20"/>
                <w:szCs w:val="20"/>
                <w:color w:val="auto"/>
              </w:rPr>
            </w:pPr>
            <w:r>
              <w:rPr>
                <w:rFonts w:ascii="Arial" w:cs="Arial" w:eastAsia="Arial" w:hAnsi="Arial"/>
                <w:sz w:val="18"/>
                <w:szCs w:val="18"/>
                <w:color w:val="auto"/>
              </w:rPr>
              <w:t>Dividends on common</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00" w:type="dxa"/>
            <w:vAlign w:val="bottom"/>
          </w:tcPr>
          <w:p>
            <w:pPr>
              <w:ind w:left="40"/>
              <w:spacing w:after="0"/>
              <w:rPr>
                <w:sz w:val="20"/>
                <w:szCs w:val="20"/>
                <w:color w:val="auto"/>
              </w:rPr>
            </w:pPr>
            <w:r>
              <w:rPr>
                <w:rFonts w:ascii="Arial" w:cs="Arial" w:eastAsia="Arial" w:hAnsi="Arial"/>
                <w:sz w:val="18"/>
                <w:szCs w:val="18"/>
                <w:color w:val="auto"/>
              </w:rPr>
              <w:t>stock of $0.45 per share</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(150.2)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(150.2)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(150.2)</w:t>
            </w:r>
          </w:p>
        </w:tc>
        <w:tc>
          <w:tcPr>
            <w:tcW w:w="0" w:type="dxa"/>
            <w:vAlign w:val="bottom"/>
          </w:tcPr>
          <w:p>
            <w:pPr>
              <w:spacing w:after="0"/>
              <w:rPr>
                <w:sz w:val="1"/>
                <w:szCs w:val="1"/>
                <w:color w:val="auto"/>
              </w:rPr>
            </w:pPr>
          </w:p>
        </w:tc>
      </w:tr>
      <w:tr>
        <w:trPr>
          <w:trHeight w:val="27"/>
        </w:trPr>
        <w:tc>
          <w:tcPr>
            <w:tcW w:w="2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 of stock options</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300</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12.8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29"/>
        </w:trPr>
        <w:tc>
          <w:tcPr>
            <w:tcW w:w="2200" w:type="dxa"/>
            <w:vAlign w:val="bottom"/>
          </w:tcPr>
          <w:p>
            <w:pPr>
              <w:ind w:left="40"/>
              <w:spacing w:after="0"/>
              <w:rPr>
                <w:sz w:val="20"/>
                <w:szCs w:val="20"/>
                <w:color w:val="auto"/>
              </w:rPr>
            </w:pPr>
            <w:r>
              <w:rPr>
                <w:rFonts w:ascii="Arial" w:cs="Arial" w:eastAsia="Arial" w:hAnsi="Arial"/>
                <w:sz w:val="18"/>
                <w:szCs w:val="18"/>
                <w:color w:val="auto"/>
              </w:rPr>
              <w:t>Excess tax benefits from</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00" w:type="dxa"/>
            <w:vAlign w:val="bottom"/>
          </w:tcPr>
          <w:p>
            <w:pPr>
              <w:ind w:left="40"/>
              <w:spacing w:after="0"/>
              <w:rPr>
                <w:sz w:val="20"/>
                <w:szCs w:val="20"/>
                <w:color w:val="auto"/>
              </w:rPr>
            </w:pPr>
            <w:r>
              <w:rPr>
                <w:rFonts w:ascii="Arial" w:cs="Arial" w:eastAsia="Arial" w:hAnsi="Arial"/>
                <w:sz w:val="18"/>
                <w:szCs w:val="18"/>
                <w:color w:val="auto"/>
              </w:rPr>
              <w:t>option exercises and</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00" w:type="dxa"/>
            <w:vAlign w:val="bottom"/>
          </w:tcPr>
          <w:p>
            <w:pPr>
              <w:ind w:left="40"/>
              <w:spacing w:after="0"/>
              <w:rPr>
                <w:sz w:val="20"/>
                <w:szCs w:val="20"/>
                <w:color w:val="auto"/>
              </w:rPr>
            </w:pPr>
            <w:r>
              <w:rPr>
                <w:rFonts w:ascii="Arial" w:cs="Arial" w:eastAsia="Arial" w:hAnsi="Arial"/>
                <w:sz w:val="18"/>
                <w:szCs w:val="18"/>
                <w:color w:val="auto"/>
              </w:rPr>
              <w:t>restricted stock vesting</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18"/>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2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2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Vesting of issued restricted</w:t>
            </w: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Class A common stock</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3"/>
        </w:trPr>
        <w:tc>
          <w:tcPr>
            <w:tcW w:w="2200" w:type="dxa"/>
            <w:vAlign w:val="bottom"/>
          </w:tcPr>
          <w:p>
            <w:pPr>
              <w:ind w:left="40"/>
              <w:spacing w:after="0"/>
              <w:rPr>
                <w:sz w:val="20"/>
                <w:szCs w:val="20"/>
                <w:color w:val="auto"/>
              </w:rPr>
            </w:pPr>
            <w:r>
              <w:rPr>
                <w:rFonts w:ascii="Arial" w:cs="Arial" w:eastAsia="Arial" w:hAnsi="Arial"/>
                <w:sz w:val="18"/>
                <w:szCs w:val="18"/>
                <w:color w:val="auto"/>
                <w:w w:val="98"/>
              </w:rPr>
              <w:t>Stock-based compensation</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8"/>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7"/>
        </w:trPr>
        <w:tc>
          <w:tcPr>
            <w:tcW w:w="22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2200" w:type="dxa"/>
            <w:vAlign w:val="bottom"/>
            <w:shd w:val="clear" w:color="auto" w:fill="CCEEFF"/>
          </w:tcPr>
          <w:p>
            <w:pPr>
              <w:ind w:left="40"/>
              <w:spacing w:after="0" w:line="205" w:lineRule="exact"/>
              <w:rPr>
                <w:sz w:val="20"/>
                <w:szCs w:val="20"/>
                <w:color w:val="auto"/>
              </w:rPr>
            </w:pPr>
            <w:r>
              <w:rPr>
                <w:rFonts w:ascii="Arial" w:cs="Arial" w:eastAsia="Arial" w:hAnsi="Arial"/>
                <w:sz w:val="18"/>
                <w:szCs w:val="18"/>
                <w:b w:val="1"/>
                <w:bCs w:val="1"/>
                <w:color w:val="auto"/>
              </w:rPr>
              <w:t>Balance at March 31,</w:t>
            </w:r>
          </w:p>
        </w:tc>
        <w:tc>
          <w:tcPr>
            <w:tcW w:w="920" w:type="dxa"/>
            <w:vAlign w:val="bottom"/>
            <w:vMerge w:val="restart"/>
            <w:shd w:val="clear" w:color="auto" w:fill="CCEEFF"/>
          </w:tcPr>
          <w:p>
            <w:pPr>
              <w:jc w:val="right"/>
              <w:ind w:right="39"/>
              <w:spacing w:after="0"/>
              <w:rPr>
                <w:sz w:val="20"/>
                <w:szCs w:val="20"/>
                <w:color w:val="auto"/>
              </w:rPr>
            </w:pPr>
            <w:r>
              <w:rPr>
                <w:rFonts w:ascii="Arial" w:cs="Arial" w:eastAsia="Arial" w:hAnsi="Arial"/>
                <w:sz w:val="18"/>
                <w:szCs w:val="18"/>
                <w:color w:val="auto"/>
              </w:rPr>
              <w:t>332,163</w:t>
            </w:r>
          </w:p>
        </w:tc>
        <w:tc>
          <w:tcPr>
            <w:tcW w:w="12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ind w:right="22"/>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vMerge w:val="restart"/>
            <w:shd w:val="clear" w:color="auto" w:fill="CCEEFF"/>
          </w:tcPr>
          <w:p>
            <w:pPr>
              <w:jc w:val="right"/>
              <w:ind w:right="18"/>
              <w:spacing w:after="0"/>
              <w:rPr>
                <w:sz w:val="20"/>
                <w:szCs w:val="20"/>
                <w:color w:val="auto"/>
              </w:rPr>
            </w:pPr>
            <w:r>
              <w:rPr>
                <w:rFonts w:ascii="Arial" w:cs="Arial" w:eastAsia="Arial" w:hAnsi="Arial"/>
                <w:sz w:val="18"/>
                <w:szCs w:val="18"/>
                <w:color w:val="auto"/>
              </w:rPr>
              <w:t>17,240.8</w:t>
            </w:r>
          </w:p>
        </w:tc>
        <w:tc>
          <w:tcPr>
            <w:tcW w:w="10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vMerge w:val="restart"/>
            <w:shd w:val="clear" w:color="auto" w:fill="CCEEFF"/>
          </w:tcPr>
          <w:p>
            <w:pPr>
              <w:jc w:val="right"/>
              <w:ind w:right="36"/>
              <w:spacing w:after="0"/>
              <w:rPr>
                <w:sz w:val="20"/>
                <w:szCs w:val="20"/>
                <w:color w:val="auto"/>
              </w:rPr>
            </w:pPr>
            <w:r>
              <w:rPr>
                <w:rFonts w:ascii="Arial" w:cs="Arial" w:eastAsia="Arial" w:hAnsi="Arial"/>
                <w:sz w:val="18"/>
                <w:szCs w:val="18"/>
                <w:color w:val="auto"/>
              </w:rPr>
              <w:t>4,079.0</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230.0</w:t>
            </w:r>
          </w:p>
        </w:tc>
        <w:tc>
          <w:tcPr>
            <w:tcW w:w="12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vMerge w:val="restart"/>
            <w:shd w:val="clear" w:color="auto" w:fill="CCEEFF"/>
          </w:tcPr>
          <w:p>
            <w:pPr>
              <w:jc w:val="right"/>
              <w:ind w:right="33"/>
              <w:spacing w:after="0"/>
              <w:rPr>
                <w:sz w:val="20"/>
                <w:szCs w:val="20"/>
                <w:color w:val="auto"/>
              </w:rPr>
            </w:pPr>
            <w:r>
              <w:rPr>
                <w:rFonts w:ascii="Arial" w:cs="Arial" w:eastAsia="Arial" w:hAnsi="Arial"/>
                <w:sz w:val="18"/>
                <w:szCs w:val="18"/>
                <w:color w:val="auto"/>
              </w:rPr>
              <w:t>21,549.8</w:t>
            </w:r>
          </w:p>
        </w:tc>
        <w:tc>
          <w:tcPr>
            <w:tcW w:w="10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vMerge w:val="restart"/>
            <w:shd w:val="clear" w:color="auto" w:fill="CCEEFF"/>
          </w:tcPr>
          <w:p>
            <w:pPr>
              <w:jc w:val="right"/>
              <w:ind w:right="19"/>
              <w:spacing w:after="0"/>
              <w:rPr>
                <w:sz w:val="20"/>
                <w:szCs w:val="20"/>
                <w:color w:val="auto"/>
              </w:rPr>
            </w:pPr>
            <w:r>
              <w:rPr>
                <w:rFonts w:ascii="Arial" w:cs="Arial" w:eastAsia="Arial" w:hAnsi="Arial"/>
                <w:sz w:val="18"/>
                <w:szCs w:val="18"/>
                <w:color w:val="auto"/>
              </w:rPr>
              <w:t>6.0</w:t>
            </w:r>
          </w:p>
        </w:tc>
        <w:tc>
          <w:tcPr>
            <w:tcW w:w="12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21,555.8</w:t>
            </w:r>
          </w:p>
        </w:tc>
        <w:tc>
          <w:tcPr>
            <w:tcW w:w="0" w:type="dxa"/>
            <w:vAlign w:val="bottom"/>
          </w:tcPr>
          <w:p>
            <w:pPr>
              <w:spacing w:after="0"/>
              <w:rPr>
                <w:sz w:val="1"/>
                <w:szCs w:val="1"/>
                <w:color w:val="auto"/>
              </w:rPr>
            </w:pPr>
          </w:p>
        </w:tc>
      </w:tr>
      <w:tr>
        <w:trPr>
          <w:trHeight w:val="241"/>
        </w:trPr>
        <w:tc>
          <w:tcPr>
            <w:tcW w:w="2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2013</w:t>
            </w: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CME GROUP INC. AND SUBSIDIARIES</w:t>
      </w:r>
    </w:p>
    <w:p>
      <w:pPr>
        <w:spacing w:after="0" w:line="27"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 xml:space="preserve">CONSOLIDATED STATEMENTS OF EQUITY </w:t>
      </w:r>
      <w:r>
        <w:rPr>
          <w:rFonts w:ascii="Arial" w:cs="Arial" w:eastAsia="Arial" w:hAnsi="Arial"/>
          <w:sz w:val="18"/>
          <w:szCs w:val="18"/>
          <w:color w:val="auto"/>
        </w:rPr>
        <w:t>(continued)</w:t>
      </w:r>
    </w:p>
    <w:p>
      <w:pPr>
        <w:spacing w:after="0" w:line="9"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(dollars in millions, except per share data; shares in thousands)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(unaudited)</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80" w:type="dxa"/>
            <w:vAlign w:val="bottom"/>
          </w:tcPr>
          <w:p>
            <w:pPr>
              <w:spacing w:after="0"/>
              <w:rPr>
                <w:sz w:val="14"/>
                <w:szCs w:val="14"/>
                <w:color w:val="auto"/>
              </w:rPr>
            </w:pPr>
          </w:p>
        </w:tc>
        <w:tc>
          <w:tcPr>
            <w:tcW w:w="10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Class A</w:t>
            </w:r>
          </w:p>
        </w:tc>
        <w:tc>
          <w:tcPr>
            <w:tcW w:w="10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9"/>
              </w:rPr>
              <w:t>Class B</w:t>
            </w:r>
          </w:p>
        </w:tc>
        <w:tc>
          <w:tcPr>
            <w:tcW w:w="16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Common</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0"/>
              </w:rPr>
              <w:t>Accumulated</w:t>
            </w: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Stock and</w:t>
            </w: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3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9"/>
              </w:rPr>
              <w:t>Total CME Group</w:t>
            </w:r>
          </w:p>
        </w:tc>
        <w:tc>
          <w:tcPr>
            <w:tcW w:w="200" w:type="dxa"/>
            <w:vAlign w:val="bottom"/>
          </w:tcPr>
          <w:p>
            <w:pPr>
              <w:spacing w:after="0"/>
              <w:rPr>
                <w:sz w:val="12"/>
                <w:szCs w:val="12"/>
                <w:color w:val="auto"/>
              </w:rPr>
            </w:pPr>
          </w:p>
        </w:tc>
        <w:tc>
          <w:tcPr>
            <w:tcW w:w="880" w:type="dxa"/>
            <w:vAlign w:val="bottom"/>
            <w:vMerge w:val="restart"/>
          </w:tcPr>
          <w:p>
            <w:pPr>
              <w:jc w:val="center"/>
              <w:ind w:right="61"/>
              <w:spacing w:after="0"/>
              <w:rPr>
                <w:sz w:val="20"/>
                <w:szCs w:val="20"/>
                <w:color w:val="auto"/>
              </w:rPr>
            </w:pPr>
            <w:r>
              <w:rPr>
                <w:rFonts w:ascii="Arial" w:cs="Arial" w:eastAsia="Arial" w:hAnsi="Arial"/>
                <w:sz w:val="14"/>
                <w:szCs w:val="14"/>
                <w:b w:val="1"/>
                <w:bCs w:val="1"/>
                <w:color w:val="auto"/>
                <w:w w:val="93"/>
              </w:rPr>
              <w:t>Non-</w:t>
            </w: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10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Common</w:t>
            </w:r>
          </w:p>
        </w:tc>
        <w:tc>
          <w:tcPr>
            <w:tcW w:w="10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Common</w:t>
            </w:r>
          </w:p>
        </w:tc>
        <w:tc>
          <w:tcPr>
            <w:tcW w:w="16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12"/>
                <w:szCs w:val="12"/>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Retained</w:t>
            </w: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Other</w:t>
            </w:r>
          </w:p>
        </w:tc>
        <w:tc>
          <w:tcPr>
            <w:tcW w:w="13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10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Stock</w:t>
            </w:r>
          </w:p>
        </w:tc>
        <w:tc>
          <w:tcPr>
            <w:tcW w:w="10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Stock</w:t>
            </w:r>
          </w:p>
        </w:tc>
        <w:tc>
          <w:tcPr>
            <w:tcW w:w="16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8"/>
              </w:rPr>
              <w:t>Paid-in</w:t>
            </w:r>
          </w:p>
        </w:tc>
        <w:tc>
          <w:tcPr>
            <w:tcW w:w="1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60" w:type="dxa"/>
            <w:vAlign w:val="bottom"/>
          </w:tcPr>
          <w:p>
            <w:pPr>
              <w:spacing w:after="0"/>
              <w:rPr>
                <w:sz w:val="12"/>
                <w:szCs w:val="12"/>
                <w:color w:val="auto"/>
              </w:rPr>
            </w:pPr>
          </w:p>
        </w:tc>
        <w:tc>
          <w:tcPr>
            <w:tcW w:w="1140" w:type="dxa"/>
            <w:vAlign w:val="bottom"/>
          </w:tcPr>
          <w:p>
            <w:pPr>
              <w:jc w:val="center"/>
              <w:ind w:right="113"/>
              <w:spacing w:after="0" w:line="149" w:lineRule="exact"/>
              <w:rPr>
                <w:sz w:val="20"/>
                <w:szCs w:val="20"/>
                <w:color w:val="auto"/>
              </w:rPr>
            </w:pPr>
            <w:r>
              <w:rPr>
                <w:rFonts w:ascii="Arial" w:cs="Arial" w:eastAsia="Arial" w:hAnsi="Arial"/>
                <w:sz w:val="14"/>
                <w:szCs w:val="14"/>
                <w:b w:val="1"/>
                <w:bCs w:val="1"/>
                <w:color w:val="auto"/>
                <w:w w:val="92"/>
              </w:rPr>
              <w:t>Shareholders’</w:t>
            </w:r>
          </w:p>
        </w:tc>
        <w:tc>
          <w:tcPr>
            <w:tcW w:w="200" w:type="dxa"/>
            <w:vAlign w:val="bottom"/>
          </w:tcPr>
          <w:p>
            <w:pPr>
              <w:spacing w:after="0"/>
              <w:rPr>
                <w:sz w:val="12"/>
                <w:szCs w:val="12"/>
                <w:color w:val="auto"/>
              </w:rPr>
            </w:pPr>
          </w:p>
        </w:tc>
        <w:tc>
          <w:tcPr>
            <w:tcW w:w="880" w:type="dxa"/>
            <w:vAlign w:val="bottom"/>
          </w:tcPr>
          <w:p>
            <w:pPr>
              <w:jc w:val="center"/>
              <w:ind w:right="61"/>
              <w:spacing w:after="0" w:line="149" w:lineRule="exact"/>
              <w:rPr>
                <w:sz w:val="20"/>
                <w:szCs w:val="20"/>
                <w:color w:val="auto"/>
              </w:rPr>
            </w:pPr>
            <w:r>
              <w:rPr>
                <w:rFonts w:ascii="Arial" w:cs="Arial" w:eastAsia="Arial" w:hAnsi="Arial"/>
                <w:sz w:val="14"/>
                <w:szCs w:val="14"/>
                <w:b w:val="1"/>
                <w:bCs w:val="1"/>
                <w:color w:val="auto"/>
                <w:w w:val="93"/>
              </w:rPr>
              <w:t>Controlling</w:t>
            </w:r>
          </w:p>
        </w:tc>
        <w:tc>
          <w:tcPr>
            <w:tcW w:w="220" w:type="dxa"/>
            <w:vAlign w:val="bottom"/>
          </w:tcPr>
          <w:p>
            <w:pPr>
              <w:spacing w:after="0"/>
              <w:rPr>
                <w:sz w:val="12"/>
                <w:szCs w:val="12"/>
                <w:color w:val="auto"/>
              </w:rPr>
            </w:pPr>
          </w:p>
        </w:tc>
        <w:tc>
          <w:tcPr>
            <w:tcW w:w="900" w:type="dxa"/>
            <w:vAlign w:val="bottom"/>
            <w:vMerge w:val="restart"/>
          </w:tcPr>
          <w:p>
            <w:pPr>
              <w:jc w:val="right"/>
              <w:ind w:right="52"/>
              <w:spacing w:after="0"/>
              <w:rPr>
                <w:sz w:val="20"/>
                <w:szCs w:val="20"/>
                <w:color w:val="auto"/>
              </w:rPr>
            </w:pPr>
            <w:r>
              <w:rPr>
                <w:rFonts w:ascii="Arial" w:cs="Arial" w:eastAsia="Arial" w:hAnsi="Arial"/>
                <w:sz w:val="14"/>
                <w:szCs w:val="14"/>
                <w:b w:val="1"/>
                <w:bCs w:val="1"/>
                <w:color w:val="auto"/>
                <w:w w:val="92"/>
              </w:rPr>
              <w:t>Total Equity</w:t>
            </w:r>
          </w:p>
        </w:tc>
        <w:tc>
          <w:tcPr>
            <w:tcW w:w="0" w:type="dxa"/>
            <w:vAlign w:val="bottom"/>
          </w:tcPr>
          <w:p>
            <w:pPr>
              <w:spacing w:after="0"/>
              <w:rPr>
                <w:sz w:val="1"/>
                <w:szCs w:val="1"/>
                <w:color w:val="auto"/>
              </w:rPr>
            </w:pPr>
          </w:p>
        </w:tc>
      </w:tr>
      <w:tr>
        <w:trPr>
          <w:trHeight w:val="192"/>
        </w:trPr>
        <w:tc>
          <w:tcPr>
            <w:tcW w:w="2180" w:type="dxa"/>
            <w:vAlign w:val="bottom"/>
          </w:tcPr>
          <w:p>
            <w:pPr>
              <w:spacing w:after="0"/>
              <w:rPr>
                <w:sz w:val="16"/>
                <w:szCs w:val="16"/>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(Shares)</w:t>
            </w: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(Shares)</w:t>
            </w:r>
          </w:p>
        </w:tc>
        <w:tc>
          <w:tcPr>
            <w:tcW w:w="160" w:type="dxa"/>
            <w:vAlign w:val="bottom"/>
          </w:tcPr>
          <w:p>
            <w:pPr>
              <w:spacing w:after="0"/>
              <w:rPr>
                <w:sz w:val="16"/>
                <w:szCs w:val="16"/>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Pr>
          <w:p>
            <w:pPr>
              <w:spacing w:after="0"/>
              <w:rPr>
                <w:sz w:val="16"/>
                <w:szCs w:val="16"/>
                <w:color w:val="auto"/>
              </w:rPr>
            </w:pPr>
          </w:p>
        </w:tc>
        <w:tc>
          <w:tcPr>
            <w:tcW w:w="880" w:type="dxa"/>
            <w:vAlign w:val="bottom"/>
            <w:gridSpan w:val="2"/>
          </w:tcPr>
          <w:p>
            <w:pPr>
              <w:ind w:left="40"/>
              <w:spacing w:after="0"/>
              <w:rPr>
                <w:sz w:val="20"/>
                <w:szCs w:val="20"/>
                <w:color w:val="auto"/>
              </w:rPr>
            </w:pPr>
            <w:r>
              <w:rPr>
                <w:rFonts w:ascii="Arial" w:cs="Arial" w:eastAsia="Arial" w:hAnsi="Arial"/>
                <w:sz w:val="14"/>
                <w:szCs w:val="14"/>
                <w:b w:val="1"/>
                <w:bCs w:val="1"/>
                <w:color w:val="auto"/>
              </w:rPr>
              <w:t>Earnings</w:t>
            </w:r>
          </w:p>
        </w:tc>
        <w:tc>
          <w:tcPr>
            <w:tcW w:w="16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Income (Loss)</w:t>
            </w:r>
          </w:p>
        </w:tc>
        <w:tc>
          <w:tcPr>
            <w:tcW w:w="160" w:type="dxa"/>
            <w:vAlign w:val="bottom"/>
          </w:tcPr>
          <w:p>
            <w:pPr>
              <w:spacing w:after="0"/>
              <w:rPr>
                <w:sz w:val="16"/>
                <w:szCs w:val="16"/>
                <w:color w:val="auto"/>
              </w:rPr>
            </w:pPr>
          </w:p>
        </w:tc>
        <w:tc>
          <w:tcPr>
            <w:tcW w:w="1140" w:type="dxa"/>
            <w:vAlign w:val="bottom"/>
          </w:tcPr>
          <w:p>
            <w:pPr>
              <w:jc w:val="center"/>
              <w:ind w:right="113"/>
              <w:spacing w:after="0"/>
              <w:rPr>
                <w:sz w:val="20"/>
                <w:szCs w:val="20"/>
                <w:color w:val="auto"/>
              </w:rPr>
            </w:pPr>
            <w:r>
              <w:rPr>
                <w:rFonts w:ascii="Arial" w:cs="Arial" w:eastAsia="Arial" w:hAnsi="Arial"/>
                <w:sz w:val="14"/>
                <w:szCs w:val="14"/>
                <w:b w:val="1"/>
                <w:bCs w:val="1"/>
                <w:color w:val="auto"/>
                <w:w w:val="98"/>
              </w:rPr>
              <w:t>Equity</w:t>
            </w:r>
          </w:p>
        </w:tc>
        <w:tc>
          <w:tcPr>
            <w:tcW w:w="200" w:type="dxa"/>
            <w:vAlign w:val="bottom"/>
          </w:tcPr>
          <w:p>
            <w:pPr>
              <w:spacing w:after="0"/>
              <w:rPr>
                <w:sz w:val="16"/>
                <w:szCs w:val="16"/>
                <w:color w:val="auto"/>
              </w:rPr>
            </w:pPr>
          </w:p>
        </w:tc>
        <w:tc>
          <w:tcPr>
            <w:tcW w:w="880" w:type="dxa"/>
            <w:vAlign w:val="bottom"/>
          </w:tcPr>
          <w:p>
            <w:pPr>
              <w:jc w:val="center"/>
              <w:ind w:right="81"/>
              <w:spacing w:after="0"/>
              <w:rPr>
                <w:sz w:val="20"/>
                <w:szCs w:val="20"/>
                <w:color w:val="auto"/>
              </w:rPr>
            </w:pPr>
            <w:r>
              <w:rPr>
                <w:rFonts w:ascii="Arial" w:cs="Arial" w:eastAsia="Arial" w:hAnsi="Arial"/>
                <w:sz w:val="14"/>
                <w:szCs w:val="14"/>
                <w:b w:val="1"/>
                <w:bCs w:val="1"/>
                <w:color w:val="auto"/>
                <w:w w:val="94"/>
              </w:rPr>
              <w:t>Interest</w:t>
            </w:r>
          </w:p>
        </w:tc>
        <w:tc>
          <w:tcPr>
            <w:tcW w:w="2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1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w:t>
            </w: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2011</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330,653</w:t>
            </w: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17,115.8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4,324.6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111.6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21,552.0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21,552.0</w:t>
            </w:r>
          </w:p>
        </w:tc>
        <w:tc>
          <w:tcPr>
            <w:tcW w:w="0" w:type="dxa"/>
            <w:vAlign w:val="bottom"/>
          </w:tcPr>
          <w:p>
            <w:pPr>
              <w:spacing w:after="0"/>
              <w:rPr>
                <w:sz w:val="1"/>
                <w:szCs w:val="1"/>
                <w:color w:val="auto"/>
              </w:rPr>
            </w:pPr>
          </w:p>
        </w:tc>
      </w:tr>
      <w:tr>
        <w:trPr>
          <w:trHeight w:val="229"/>
        </w:trPr>
        <w:tc>
          <w:tcPr>
            <w:tcW w:w="2180" w:type="dxa"/>
            <w:vAlign w:val="bottom"/>
          </w:tcPr>
          <w:p>
            <w:pPr>
              <w:ind w:left="40"/>
              <w:spacing w:after="0"/>
              <w:rPr>
                <w:sz w:val="20"/>
                <w:szCs w:val="20"/>
                <w:color w:val="auto"/>
              </w:rPr>
            </w:pPr>
            <w:r>
              <w:rPr>
                <w:rFonts w:ascii="Arial" w:cs="Arial" w:eastAsia="Arial" w:hAnsi="Arial"/>
                <w:sz w:val="18"/>
                <w:szCs w:val="18"/>
                <w:color w:val="auto"/>
              </w:rPr>
              <w:t>Net income attributable to</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80" w:type="dxa"/>
            <w:vAlign w:val="bottom"/>
          </w:tcPr>
          <w:p>
            <w:pPr>
              <w:ind w:left="40"/>
              <w:spacing w:after="0"/>
              <w:rPr>
                <w:sz w:val="20"/>
                <w:szCs w:val="20"/>
                <w:color w:val="auto"/>
              </w:rPr>
            </w:pPr>
            <w:r>
              <w:rPr>
                <w:rFonts w:ascii="Arial" w:cs="Arial" w:eastAsia="Arial" w:hAnsi="Arial"/>
                <w:sz w:val="18"/>
                <w:szCs w:val="18"/>
                <w:color w:val="auto"/>
              </w:rPr>
              <w:t>CME Group</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16"/>
              <w:spacing w:after="0"/>
              <w:rPr>
                <w:sz w:val="20"/>
                <w:szCs w:val="20"/>
                <w:color w:val="auto"/>
              </w:rPr>
            </w:pPr>
            <w:r>
              <w:rPr>
                <w:rFonts w:ascii="Arial" w:cs="Arial" w:eastAsia="Arial" w:hAnsi="Arial"/>
                <w:sz w:val="18"/>
                <w:szCs w:val="18"/>
                <w:color w:val="auto"/>
              </w:rPr>
              <w:t>266.6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ind w:right="73"/>
              <w:spacing w:after="0"/>
              <w:rPr>
                <w:sz w:val="20"/>
                <w:szCs w:val="20"/>
                <w:color w:val="auto"/>
              </w:rPr>
            </w:pPr>
            <w:r>
              <w:rPr>
                <w:rFonts w:ascii="Arial" w:cs="Arial" w:eastAsia="Arial" w:hAnsi="Arial"/>
                <w:sz w:val="18"/>
                <w:szCs w:val="18"/>
                <w:color w:val="auto"/>
              </w:rPr>
              <w:t>266.6</w:t>
            </w: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266.6</w:t>
            </w:r>
          </w:p>
        </w:tc>
        <w:tc>
          <w:tcPr>
            <w:tcW w:w="0" w:type="dxa"/>
            <w:vAlign w:val="bottom"/>
          </w:tcPr>
          <w:p>
            <w:pPr>
              <w:spacing w:after="0"/>
              <w:rPr>
                <w:sz w:val="1"/>
                <w:szCs w:val="1"/>
                <w:color w:val="auto"/>
              </w:rPr>
            </w:pPr>
          </w:p>
        </w:tc>
      </w:tr>
      <w:tr>
        <w:trPr>
          <w:trHeight w:val="27"/>
        </w:trPr>
        <w:tc>
          <w:tcPr>
            <w:tcW w:w="2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comprehensive</w:t>
            </w: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attributable to</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CME Group</w:t>
            </w: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53.2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53.2</w:t>
            </w:r>
          </w:p>
        </w:tc>
        <w:tc>
          <w:tcPr>
            <w:tcW w:w="2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53.2</w:t>
            </w:r>
          </w:p>
        </w:tc>
        <w:tc>
          <w:tcPr>
            <w:tcW w:w="0" w:type="dxa"/>
            <w:vAlign w:val="bottom"/>
          </w:tcPr>
          <w:p>
            <w:pPr>
              <w:spacing w:after="0"/>
              <w:rPr>
                <w:sz w:val="1"/>
                <w:szCs w:val="1"/>
                <w:color w:val="auto"/>
              </w:rPr>
            </w:pPr>
          </w:p>
        </w:tc>
      </w:tr>
      <w:tr>
        <w:trPr>
          <w:trHeight w:val="229"/>
        </w:trPr>
        <w:tc>
          <w:tcPr>
            <w:tcW w:w="2180" w:type="dxa"/>
            <w:vAlign w:val="bottom"/>
          </w:tcPr>
          <w:p>
            <w:pPr>
              <w:ind w:left="40"/>
              <w:spacing w:after="0"/>
              <w:rPr>
                <w:sz w:val="20"/>
                <w:szCs w:val="20"/>
                <w:color w:val="auto"/>
              </w:rPr>
            </w:pPr>
            <w:r>
              <w:rPr>
                <w:rFonts w:ascii="Arial" w:cs="Arial" w:eastAsia="Arial" w:hAnsi="Arial"/>
                <w:sz w:val="18"/>
                <w:szCs w:val="18"/>
                <w:color w:val="auto"/>
              </w:rPr>
              <w:t>Dividends on common</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80" w:type="dxa"/>
            <w:vAlign w:val="bottom"/>
          </w:tcPr>
          <w:p>
            <w:pPr>
              <w:ind w:left="40"/>
              <w:spacing w:after="0"/>
              <w:rPr>
                <w:sz w:val="20"/>
                <w:szCs w:val="20"/>
                <w:color w:val="auto"/>
              </w:rPr>
            </w:pPr>
            <w:r>
              <w:rPr>
                <w:rFonts w:ascii="Arial" w:cs="Arial" w:eastAsia="Arial" w:hAnsi="Arial"/>
                <w:sz w:val="18"/>
                <w:szCs w:val="18"/>
                <w:color w:val="auto"/>
              </w:rPr>
              <w:t>stock of $1.05 per share</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(347.6)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(347.6)</w:t>
            </w: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(347.6)</w:t>
            </w:r>
          </w:p>
        </w:tc>
        <w:tc>
          <w:tcPr>
            <w:tcW w:w="0" w:type="dxa"/>
            <w:vAlign w:val="bottom"/>
          </w:tcPr>
          <w:p>
            <w:pPr>
              <w:spacing w:after="0"/>
              <w:rPr>
                <w:sz w:val="1"/>
                <w:szCs w:val="1"/>
                <w:color w:val="auto"/>
              </w:rPr>
            </w:pPr>
          </w:p>
        </w:tc>
      </w:tr>
      <w:tr>
        <w:trPr>
          <w:trHeight w:val="27"/>
        </w:trPr>
        <w:tc>
          <w:tcPr>
            <w:tcW w:w="2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 of stock options</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320</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7.9</w:t>
            </w: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29"/>
        </w:trPr>
        <w:tc>
          <w:tcPr>
            <w:tcW w:w="2180" w:type="dxa"/>
            <w:vAlign w:val="bottom"/>
          </w:tcPr>
          <w:p>
            <w:pPr>
              <w:ind w:left="40"/>
              <w:spacing w:after="0"/>
              <w:rPr>
                <w:sz w:val="20"/>
                <w:szCs w:val="20"/>
                <w:color w:val="auto"/>
              </w:rPr>
            </w:pPr>
            <w:r>
              <w:rPr>
                <w:rFonts w:ascii="Arial" w:cs="Arial" w:eastAsia="Arial" w:hAnsi="Arial"/>
                <w:sz w:val="18"/>
                <w:szCs w:val="18"/>
                <w:color w:val="auto"/>
              </w:rPr>
              <w:t>Excess tax benefits from</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180" w:type="dxa"/>
            <w:vAlign w:val="bottom"/>
          </w:tcPr>
          <w:p>
            <w:pPr>
              <w:ind w:left="40"/>
              <w:spacing w:after="0"/>
              <w:rPr>
                <w:sz w:val="20"/>
                <w:szCs w:val="20"/>
                <w:color w:val="auto"/>
              </w:rPr>
            </w:pPr>
            <w:r>
              <w:rPr>
                <w:rFonts w:ascii="Arial" w:cs="Arial" w:eastAsia="Arial" w:hAnsi="Arial"/>
                <w:sz w:val="18"/>
                <w:szCs w:val="18"/>
                <w:color w:val="auto"/>
              </w:rPr>
              <w:t>option exercises and</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80" w:type="dxa"/>
            <w:vAlign w:val="bottom"/>
          </w:tcPr>
          <w:p>
            <w:pPr>
              <w:ind w:left="40"/>
              <w:spacing w:after="0"/>
              <w:rPr>
                <w:sz w:val="20"/>
                <w:szCs w:val="20"/>
                <w:color w:val="auto"/>
              </w:rPr>
            </w:pPr>
            <w:r>
              <w:rPr>
                <w:rFonts w:ascii="Arial" w:cs="Arial" w:eastAsia="Arial" w:hAnsi="Arial"/>
                <w:sz w:val="18"/>
                <w:szCs w:val="18"/>
                <w:color w:val="auto"/>
              </w:rPr>
              <w:t>restricted stock vesting</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38"/>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ind w:right="73"/>
              <w:spacing w:after="0"/>
              <w:rPr>
                <w:sz w:val="20"/>
                <w:szCs w:val="20"/>
                <w:color w:val="auto"/>
              </w:rPr>
            </w:pPr>
            <w:r>
              <w:rPr>
                <w:rFonts w:ascii="Arial" w:cs="Arial" w:eastAsia="Arial" w:hAnsi="Arial"/>
                <w:sz w:val="18"/>
                <w:szCs w:val="18"/>
                <w:color w:val="auto"/>
              </w:rPr>
              <w:t>2.8</w:t>
            </w: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2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1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Vesting of issued restricted</w:t>
            </w: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Class A common stock</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(0.1)</w:t>
            </w:r>
          </w:p>
        </w:tc>
        <w:tc>
          <w:tcPr>
            <w:tcW w:w="2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43"/>
        </w:trPr>
        <w:tc>
          <w:tcPr>
            <w:tcW w:w="2180" w:type="dxa"/>
            <w:vAlign w:val="bottom"/>
          </w:tcPr>
          <w:p>
            <w:pPr>
              <w:ind w:left="40"/>
              <w:spacing w:after="0"/>
              <w:rPr>
                <w:sz w:val="20"/>
                <w:szCs w:val="20"/>
                <w:color w:val="auto"/>
              </w:rPr>
            </w:pPr>
            <w:r>
              <w:rPr>
                <w:rFonts w:ascii="Arial" w:cs="Arial" w:eastAsia="Arial" w:hAnsi="Arial"/>
                <w:sz w:val="18"/>
                <w:szCs w:val="18"/>
                <w:color w:val="auto"/>
                <w:w w:val="97"/>
              </w:rPr>
              <w:t>Stock-based compensation</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38"/>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ind w:right="73"/>
              <w:spacing w:after="0"/>
              <w:rPr>
                <w:sz w:val="20"/>
                <w:szCs w:val="20"/>
                <w:color w:val="auto"/>
              </w:rPr>
            </w:pPr>
            <w:r>
              <w:rPr>
                <w:rFonts w:ascii="Arial" w:cs="Arial" w:eastAsia="Arial" w:hAnsi="Arial"/>
                <w:sz w:val="18"/>
                <w:szCs w:val="18"/>
                <w:color w:val="auto"/>
              </w:rPr>
              <w:t>14.3</w:t>
            </w: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7"/>
        </w:trPr>
        <w:tc>
          <w:tcPr>
            <w:tcW w:w="21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2180" w:type="dxa"/>
            <w:vAlign w:val="bottom"/>
            <w:shd w:val="clear" w:color="auto" w:fill="CCEEFF"/>
          </w:tcPr>
          <w:p>
            <w:pPr>
              <w:ind w:left="40"/>
              <w:spacing w:after="0" w:line="205" w:lineRule="exact"/>
              <w:rPr>
                <w:sz w:val="20"/>
                <w:szCs w:val="20"/>
                <w:color w:val="auto"/>
              </w:rPr>
            </w:pPr>
            <w:r>
              <w:rPr>
                <w:rFonts w:ascii="Arial" w:cs="Arial" w:eastAsia="Arial" w:hAnsi="Arial"/>
                <w:sz w:val="18"/>
                <w:szCs w:val="18"/>
                <w:b w:val="1"/>
                <w:bCs w:val="1"/>
                <w:color w:val="auto"/>
              </w:rPr>
              <w:t>Balance at March 31,</w:t>
            </w:r>
          </w:p>
        </w:tc>
        <w:tc>
          <w:tcPr>
            <w:tcW w:w="920" w:type="dxa"/>
            <w:vAlign w:val="bottom"/>
            <w:vMerge w:val="restart"/>
            <w:shd w:val="clear" w:color="auto" w:fill="CCEEFF"/>
          </w:tcPr>
          <w:p>
            <w:pPr>
              <w:jc w:val="right"/>
              <w:ind w:right="39"/>
              <w:spacing w:after="0"/>
              <w:rPr>
                <w:sz w:val="20"/>
                <w:szCs w:val="20"/>
                <w:color w:val="auto"/>
              </w:rPr>
            </w:pPr>
            <w:r>
              <w:rPr>
                <w:rFonts w:ascii="Arial" w:cs="Arial" w:eastAsia="Arial" w:hAnsi="Arial"/>
                <w:sz w:val="18"/>
                <w:szCs w:val="18"/>
                <w:color w:val="auto"/>
              </w:rPr>
              <w:t>330,983</w:t>
            </w:r>
          </w:p>
        </w:tc>
        <w:tc>
          <w:tcPr>
            <w:tcW w:w="12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ind w:right="42"/>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vMerge w:val="restart"/>
            <w:shd w:val="clear" w:color="auto" w:fill="CCEEFF"/>
          </w:tcPr>
          <w:p>
            <w:pPr>
              <w:jc w:val="right"/>
              <w:ind w:right="38"/>
              <w:spacing w:after="0"/>
              <w:rPr>
                <w:sz w:val="20"/>
                <w:szCs w:val="20"/>
                <w:color w:val="auto"/>
              </w:rPr>
            </w:pPr>
            <w:r>
              <w:rPr>
                <w:rFonts w:ascii="Arial" w:cs="Arial" w:eastAsia="Arial" w:hAnsi="Arial"/>
                <w:sz w:val="18"/>
                <w:szCs w:val="18"/>
                <w:color w:val="auto"/>
              </w:rPr>
              <w:t>17,140.7</w:t>
            </w:r>
          </w:p>
        </w:tc>
        <w:tc>
          <w:tcPr>
            <w:tcW w:w="10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vMerge w:val="restart"/>
            <w:shd w:val="clear" w:color="auto" w:fill="CCEEFF"/>
          </w:tcPr>
          <w:p>
            <w:pPr>
              <w:jc w:val="right"/>
              <w:ind w:right="16"/>
              <w:spacing w:after="0"/>
              <w:rPr>
                <w:sz w:val="20"/>
                <w:szCs w:val="20"/>
                <w:color w:val="auto"/>
              </w:rPr>
            </w:pPr>
            <w:r>
              <w:rPr>
                <w:rFonts w:ascii="Arial" w:cs="Arial" w:eastAsia="Arial" w:hAnsi="Arial"/>
                <w:sz w:val="18"/>
                <w:szCs w:val="18"/>
                <w:color w:val="auto"/>
              </w:rPr>
              <w:t>4,243.6</w:t>
            </w:r>
          </w:p>
        </w:tc>
        <w:tc>
          <w:tcPr>
            <w:tcW w:w="12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164.8</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vMerge w:val="restart"/>
            <w:shd w:val="clear" w:color="auto" w:fill="CCEEFF"/>
          </w:tcPr>
          <w:p>
            <w:pPr>
              <w:jc w:val="right"/>
              <w:ind w:right="73"/>
              <w:spacing w:after="0"/>
              <w:rPr>
                <w:sz w:val="20"/>
                <w:szCs w:val="20"/>
                <w:color w:val="auto"/>
              </w:rPr>
            </w:pPr>
            <w:r>
              <w:rPr>
                <w:rFonts w:ascii="Arial" w:cs="Arial" w:eastAsia="Arial" w:hAnsi="Arial"/>
                <w:sz w:val="18"/>
                <w:szCs w:val="18"/>
                <w:color w:val="auto"/>
              </w:rPr>
              <w:t>21,549.1</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vMerge w:val="restart"/>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21,549.1</w:t>
            </w:r>
          </w:p>
        </w:tc>
        <w:tc>
          <w:tcPr>
            <w:tcW w:w="0" w:type="dxa"/>
            <w:vAlign w:val="bottom"/>
          </w:tcPr>
          <w:p>
            <w:pPr>
              <w:spacing w:after="0"/>
              <w:rPr>
                <w:sz w:val="1"/>
                <w:szCs w:val="1"/>
                <w:color w:val="auto"/>
              </w:rPr>
            </w:pPr>
          </w:p>
        </w:tc>
      </w:tr>
      <w:tr>
        <w:trPr>
          <w:trHeight w:val="241"/>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2012</w:t>
            </w: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7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40" w:top="125" w:right="29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CME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148" w:lineRule="exact"/>
        <w:rPr>
          <w:sz w:val="20"/>
          <w:szCs w:val="20"/>
          <w:color w:val="auto"/>
        </w:rPr>
      </w:pPr>
    </w:p>
    <w:p>
      <w:pPr>
        <w:ind w:left="9520"/>
        <w:spacing w:after="0"/>
        <w:rPr>
          <w:sz w:val="20"/>
          <w:szCs w:val="20"/>
          <w:color w:val="auto"/>
        </w:rPr>
      </w:pPr>
      <w:r>
        <w:rPr>
          <w:rFonts w:ascii="Arial" w:cs="Arial" w:eastAsia="Arial" w:hAnsi="Arial"/>
          <w:sz w:val="14"/>
          <w:szCs w:val="14"/>
          <w:b w:val="1"/>
          <w:bCs w:val="1"/>
          <w:color w:val="auto"/>
        </w:rPr>
        <w:t>Quarter Ended</w:t>
      </w:r>
    </w:p>
    <w:p>
      <w:pPr>
        <w:spacing w:after="0" w:line="4" w:lineRule="exact"/>
        <w:rPr>
          <w:sz w:val="20"/>
          <w:szCs w:val="20"/>
          <w:color w:val="auto"/>
        </w:rPr>
      </w:pPr>
    </w:p>
    <w:p>
      <w:pPr>
        <w:ind w:left="970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5450840</wp:posOffset>
            </wp:positionH>
            <wp:positionV relativeFrom="paragraph">
              <wp:posOffset>13335</wp:posOffset>
            </wp:positionV>
            <wp:extent cx="18008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2012</w:t>
            </w: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237.4</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266.3</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Stock-based compensation</w:t>
            </w: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14.3</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purchased intangibles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32.8</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32.6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34.9</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Equity in net (gains) losses of unconsolidated subsidiaries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0.8</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Deferred income taxes</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(19.2)</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 in:</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Accounts receivable</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(70.3)</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current assets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Other assets</w:t>
            </w: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25.4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4.7</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Income taxes payable</w:t>
            </w: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149.0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174.9</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current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(45.2)</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Other liabilities</w:t>
            </w:r>
          </w:p>
        </w:tc>
        <w:tc>
          <w:tcPr>
            <w:tcW w:w="3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2.3</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Net Cash Provided by Operating Activities</w:t>
            </w: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396.0</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395.6</w:t>
            </w:r>
          </w:p>
        </w:tc>
      </w:tr>
      <w:tr>
        <w:trPr>
          <w:trHeight w:val="27"/>
        </w:trPr>
        <w:tc>
          <w:tcPr>
            <w:tcW w:w="85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91"/>
        </w:trPr>
        <w:tc>
          <w:tcPr>
            <w:tcW w:w="85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maturities of available-for-sale marketable securities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Purchases of available-for-sale marketable securities</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Purchases of property</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Investment in business ventures</w:t>
            </w:r>
          </w:p>
        </w:tc>
        <w:tc>
          <w:tcPr>
            <w:tcW w:w="3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(22.8)</w:t>
            </w:r>
          </w:p>
        </w:tc>
      </w:tr>
      <w:tr>
        <w:trPr>
          <w:trHeight w:val="27"/>
        </w:trPr>
        <w:tc>
          <w:tcPr>
            <w:tcW w:w="85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Cash Used in Investing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(40.4)</w:t>
            </w:r>
          </w:p>
        </w:tc>
      </w:tr>
      <w:tr>
        <w:trPr>
          <w:trHeight w:val="291"/>
        </w:trPr>
        <w:tc>
          <w:tcPr>
            <w:tcW w:w="858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Cash dividends</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(149.4)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(346.5)</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exercise of stock options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Excess tax benefits related to employee option exercises and restricted stock vesting</w:t>
            </w: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2.8</w:t>
            </w:r>
          </w:p>
        </w:tc>
      </w:tr>
      <w:tr>
        <w:trPr>
          <w:trHeight w:val="27"/>
        </w:trPr>
        <w:tc>
          <w:tcPr>
            <w:tcW w:w="85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Cash Used in Financing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(136.3)</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(335.8)</w:t>
            </w:r>
          </w:p>
        </w:tc>
      </w:tr>
      <w:tr>
        <w:trPr>
          <w:trHeight w:val="291"/>
        </w:trPr>
        <w:tc>
          <w:tcPr>
            <w:tcW w:w="858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change in cash and cash equivalents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238.7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19.4</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Cash and cash equivalents, beginning of period</w:t>
            </w: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1,604.7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1,042.3</w:t>
            </w:r>
          </w:p>
        </w:tc>
      </w:tr>
      <w:tr>
        <w:trPr>
          <w:trHeight w:val="27"/>
        </w:trPr>
        <w:tc>
          <w:tcPr>
            <w:tcW w:w="85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and Cash Equivalents, End of Period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1,843.4</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1,061.7</w:t>
            </w: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8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Income taxes paid</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3.8</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3"/>
        </w:trPr>
        <w:tc>
          <w:tcPr>
            <w:tcW w:w="8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paid</w:t>
            </w:r>
          </w:p>
        </w:tc>
        <w:tc>
          <w:tcPr>
            <w:tcW w:w="34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66.9</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55.3</w:t>
            </w:r>
          </w:p>
        </w:tc>
      </w:tr>
      <w:tr>
        <w:trPr>
          <w:trHeight w:val="27"/>
        </w:trPr>
        <w:tc>
          <w:tcPr>
            <w:tcW w:w="85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25" w:right="239" w:bottom="1440" w:gutter="0" w:footer="0" w:header="0"/>
          <w:type w:val="continuous"/>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229" w:lineRule="exact"/>
        <w:rPr>
          <w:sz w:val="20"/>
          <w:szCs w:val="20"/>
          <w:color w:val="auto"/>
        </w:rPr>
      </w:pPr>
    </w:p>
    <w:p>
      <w:pPr>
        <w:ind w:right="600"/>
        <w:spacing w:after="0" w:line="312" w:lineRule="auto"/>
        <w:rPr>
          <w:sz w:val="20"/>
          <w:szCs w:val="20"/>
          <w:color w:val="auto"/>
        </w:rPr>
      </w:pPr>
      <w:r>
        <w:rPr>
          <w:rFonts w:ascii="Arial" w:cs="Arial" w:eastAsia="Arial" w:hAnsi="Arial"/>
          <w:sz w:val="16"/>
          <w:szCs w:val="16"/>
          <w:color w:val="auto"/>
        </w:rPr>
        <w:t>The consolidated financial statements consist of CME Group Inc. (CME Group) and its subsidiaries (collectively, the company), including Chicago Mercantile Exchange Inc. (CME), Board of Trade of the City of Chicago, Inc. (CBOT), New York Mercantile Exchange, Inc. (NYMEX), Commodity Exchange, Inc. (COMEX), The Board of Trade of Kansas City, Missouri, Inc. (KCBT), and their respective subsidiaries (collectively, the exchange).</w:t>
      </w:r>
    </w:p>
    <w:p>
      <w:pPr>
        <w:spacing w:after="0" w:line="14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accompanying interim consolidated financial statements have been prepared by CME Group without audit. Certain notes and other information normally included in financial statements prepared in accordance with accounting principles generally accepted in the United States have been condensed or omitted. In the opinion of management, the accompanying consolidated financial statements include all normal recurring adjustments considered necessary to present fairly the financial position of the company at March 31, 2013 and December 31, 2012 and the results of operations and cash flows for the periods indicated. Quarterly results are not necessarily indicative of results for any subsequent period.</w:t>
      </w:r>
    </w:p>
    <w:p>
      <w:pPr>
        <w:spacing w:after="0" w:line="173"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The accompanying consolidated financial statements should be read in conjunction with the consolidated financial statements and notes thereto in CME Group’s Annual Report on Form 10-K for the year ended December 31, 2012, filed with the Securities and Exchange Commission (SEC) on February 28, 2013.</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Intangible Assets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consisted of the following at March 31, 2013 and December 31, 2012:</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6"/>
              </w:rPr>
              <w:t>March 31, 2013</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1"/>
              </w:rPr>
              <w:t>December 31, 2012</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Assigned Value</w:t>
            </w:r>
          </w:p>
        </w:tc>
        <w:tc>
          <w:tcPr>
            <w:tcW w:w="120" w:type="dxa"/>
            <w:vAlign w:val="bottom"/>
          </w:tcPr>
          <w:p>
            <w:pPr>
              <w:spacing w:after="0"/>
              <w:rPr>
                <w:sz w:val="13"/>
                <w:szCs w:val="13"/>
                <w:color w:val="auto"/>
              </w:rPr>
            </w:pPr>
          </w:p>
        </w:tc>
        <w:tc>
          <w:tcPr>
            <w:tcW w:w="122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200" w:type="dxa"/>
            <w:vAlign w:val="bottom"/>
          </w:tcPr>
          <w:p>
            <w:pPr>
              <w:spacing w:after="0"/>
              <w:rPr>
                <w:sz w:val="13"/>
                <w:szCs w:val="13"/>
                <w:color w:val="auto"/>
              </w:rPr>
            </w:pPr>
          </w:p>
        </w:tc>
        <w:tc>
          <w:tcPr>
            <w:tcW w:w="940" w:type="dxa"/>
            <w:vAlign w:val="bottom"/>
          </w:tcPr>
          <w:p>
            <w:pPr>
              <w:jc w:val="right"/>
              <w:ind w:right="194"/>
              <w:spacing w:after="0" w:line="153" w:lineRule="exact"/>
              <w:rPr>
                <w:sz w:val="20"/>
                <w:szCs w:val="20"/>
                <w:color w:val="auto"/>
              </w:rPr>
            </w:pPr>
            <w:r>
              <w:rPr>
                <w:rFonts w:ascii="Arial" w:cs="Arial" w:eastAsia="Arial" w:hAnsi="Arial"/>
                <w:sz w:val="14"/>
                <w:szCs w:val="14"/>
                <w:b w:val="1"/>
                <w:bCs w:val="1"/>
                <w:color w:val="auto"/>
              </w:rPr>
              <w:t>Net Book</w:t>
            </w:r>
          </w:p>
        </w:tc>
        <w:tc>
          <w:tcPr>
            <w:tcW w:w="100" w:type="dxa"/>
            <w:vAlign w:val="bottom"/>
          </w:tcPr>
          <w:p>
            <w:pPr>
              <w:spacing w:after="0"/>
              <w:rPr>
                <w:sz w:val="13"/>
                <w:szCs w:val="13"/>
                <w:color w:val="auto"/>
              </w:rPr>
            </w:pPr>
          </w:p>
        </w:tc>
        <w:tc>
          <w:tcPr>
            <w:tcW w:w="124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Assigned Value</w:t>
            </w:r>
          </w:p>
        </w:tc>
        <w:tc>
          <w:tcPr>
            <w:tcW w:w="180" w:type="dxa"/>
            <w:vAlign w:val="bottom"/>
          </w:tcPr>
          <w:p>
            <w:pPr>
              <w:spacing w:after="0"/>
              <w:rPr>
                <w:sz w:val="13"/>
                <w:szCs w:val="13"/>
                <w:color w:val="auto"/>
              </w:rPr>
            </w:pPr>
          </w:p>
        </w:tc>
        <w:tc>
          <w:tcPr>
            <w:tcW w:w="118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200" w:type="dxa"/>
            <w:vAlign w:val="bottom"/>
          </w:tcPr>
          <w:p>
            <w:pPr>
              <w:spacing w:after="0"/>
              <w:rPr>
                <w:sz w:val="13"/>
                <w:szCs w:val="13"/>
                <w:color w:val="auto"/>
              </w:rPr>
            </w:pPr>
          </w:p>
        </w:tc>
        <w:tc>
          <w:tcPr>
            <w:tcW w:w="940" w:type="dxa"/>
            <w:vAlign w:val="bottom"/>
          </w:tcPr>
          <w:p>
            <w:pPr>
              <w:jc w:val="right"/>
              <w:ind w:right="194"/>
              <w:spacing w:after="0" w:line="153" w:lineRule="exact"/>
              <w:rPr>
                <w:sz w:val="20"/>
                <w:szCs w:val="20"/>
                <w:color w:val="auto"/>
              </w:rPr>
            </w:pPr>
            <w:r>
              <w:rPr>
                <w:rFonts w:ascii="Arial" w:cs="Arial" w:eastAsia="Arial" w:hAnsi="Arial"/>
                <w:sz w:val="14"/>
                <w:szCs w:val="14"/>
                <w:b w:val="1"/>
                <w:bCs w:val="1"/>
                <w:color w:val="auto"/>
              </w:rPr>
              <w:t>Net Book</w:t>
            </w:r>
          </w:p>
        </w:tc>
        <w:tc>
          <w:tcPr>
            <w:tcW w:w="0" w:type="dxa"/>
            <w:vAlign w:val="bottom"/>
          </w:tcPr>
          <w:p>
            <w:pPr>
              <w:spacing w:after="0"/>
              <w:rPr>
                <w:sz w:val="1"/>
                <w:szCs w:val="1"/>
                <w:color w:val="auto"/>
              </w:rPr>
            </w:pPr>
          </w:p>
        </w:tc>
      </w:tr>
      <w:tr>
        <w:trPr>
          <w:trHeight w:val="192"/>
        </w:trPr>
        <w:tc>
          <w:tcPr>
            <w:tcW w:w="37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5"/>
              </w:rPr>
              <w:t>Amortization</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Value</w:t>
            </w: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5"/>
              </w:rPr>
              <w:t>Amortization</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Amortizable Intangible Assets: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780" w:type="dxa"/>
            <w:vAlign w:val="bottom"/>
          </w:tcPr>
          <w:p>
            <w:pPr>
              <w:ind w:left="40"/>
              <w:spacing w:after="0"/>
              <w:rPr>
                <w:sz w:val="20"/>
                <w:szCs w:val="20"/>
                <w:color w:val="auto"/>
              </w:rPr>
            </w:pPr>
            <w:r>
              <w:rPr>
                <w:rFonts w:ascii="Arial" w:cs="Arial" w:eastAsia="Arial" w:hAnsi="Arial"/>
                <w:sz w:val="18"/>
                <w:szCs w:val="18"/>
                <w:color w:val="auto"/>
              </w:rPr>
              <w:t>Clearing firm, market data and other customer</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40"/>
              <w:spacing w:after="0"/>
              <w:rPr>
                <w:sz w:val="20"/>
                <w:szCs w:val="20"/>
                <w:color w:val="auto"/>
              </w:rPr>
            </w:pPr>
            <w:r>
              <w:rPr>
                <w:rFonts w:ascii="Arial" w:cs="Arial" w:eastAsia="Arial" w:hAnsi="Arial"/>
                <w:sz w:val="18"/>
                <w:szCs w:val="18"/>
                <w:color w:val="auto"/>
              </w:rPr>
              <w:t>relationships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53"/>
              <w:spacing w:after="0"/>
              <w:rPr>
                <w:sz w:val="20"/>
                <w:szCs w:val="20"/>
                <w:color w:val="auto"/>
              </w:rPr>
            </w:pPr>
            <w:r>
              <w:rPr>
                <w:rFonts w:ascii="Arial" w:cs="Arial" w:eastAsia="Arial" w:hAnsi="Arial"/>
                <w:sz w:val="18"/>
                <w:szCs w:val="18"/>
                <w:color w:val="auto"/>
              </w:rPr>
              <w:t>2,838.8</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(491.3)</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2,347.5</w:t>
            </w:r>
          </w:p>
        </w:tc>
        <w:tc>
          <w:tcPr>
            <w:tcW w:w="400" w:type="dxa"/>
            <w:vAlign w:val="bottom"/>
            <w:gridSpan w:val="2"/>
          </w:tcPr>
          <w:p>
            <w:pPr>
              <w:jc w:val="right"/>
              <w:ind w:right="99"/>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2,838.8</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(467.4)</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2,371.4</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Lease-related intangibles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25.4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Technology-related intellectual property</w:t>
            </w:r>
          </w:p>
        </w:tc>
        <w:tc>
          <w:tcPr>
            <w:tcW w:w="120" w:type="dxa"/>
            <w:vAlign w:val="bottom"/>
          </w:tcPr>
          <w:p>
            <w:pPr>
              <w:spacing w:after="0"/>
              <w:rPr>
                <w:sz w:val="21"/>
                <w:szCs w:val="21"/>
                <w:color w:val="auto"/>
              </w:rPr>
            </w:pPr>
          </w:p>
        </w:tc>
        <w:tc>
          <w:tcPr>
            <w:tcW w:w="1060" w:type="dxa"/>
            <w:vAlign w:val="bottom"/>
          </w:tcPr>
          <w:p>
            <w:pPr>
              <w:jc w:val="right"/>
              <w:ind w:right="53"/>
              <w:spacing w:after="0"/>
              <w:rPr>
                <w:sz w:val="20"/>
                <w:szCs w:val="20"/>
                <w:color w:val="auto"/>
              </w:rPr>
            </w:pPr>
            <w:r>
              <w:rPr>
                <w:rFonts w:ascii="Arial" w:cs="Arial" w:eastAsia="Arial" w:hAnsi="Arial"/>
                <w:sz w:val="18"/>
                <w:szCs w:val="18"/>
                <w:color w:val="auto"/>
              </w:rPr>
              <w:t>29.4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name</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97"/>
        </w:trPr>
        <w:tc>
          <w:tcPr>
            <w:tcW w:w="37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amortizable intangible assets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8"/>
                <w:szCs w:val="18"/>
                <w:color w:val="auto"/>
              </w:rPr>
              <w:t>2,893.8</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(516.0)</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CCEEFF"/>
            </w:tcBorders>
          </w:tcPr>
          <w:p>
            <w:pPr>
              <w:spacing w:after="0"/>
              <w:rPr>
                <w:sz w:val="24"/>
                <w:szCs w:val="24"/>
                <w:color w:val="auto"/>
              </w:rPr>
            </w:pPr>
          </w:p>
        </w:tc>
        <w:tc>
          <w:tcPr>
            <w:tcW w:w="940" w:type="dxa"/>
            <w:vAlign w:val="bottom"/>
            <w:tcBorders>
              <w:top w:val="single" w:sz="8" w:color="auto"/>
              <w:bottom w:val="single" w:sz="8" w:color="CCEEFF"/>
            </w:tcBorders>
          </w:tcPr>
          <w:p>
            <w:pPr>
              <w:jc w:val="right"/>
              <w:ind w:right="34"/>
              <w:spacing w:after="0"/>
              <w:rPr>
                <w:sz w:val="20"/>
                <w:szCs w:val="20"/>
                <w:color w:val="auto"/>
              </w:rPr>
            </w:pPr>
            <w:r>
              <w:rPr>
                <w:rFonts w:ascii="Arial" w:cs="Arial" w:eastAsia="Arial" w:hAnsi="Arial"/>
                <w:sz w:val="18"/>
                <w:szCs w:val="18"/>
                <w:color w:val="auto"/>
              </w:rPr>
              <w:t>2,377.8</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2,893.8</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(490.1)</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CCEEFF"/>
            </w:tcBorders>
          </w:tcPr>
          <w:p>
            <w:pPr>
              <w:spacing w:after="0"/>
              <w:rPr>
                <w:sz w:val="24"/>
                <w:szCs w:val="24"/>
                <w:color w:val="auto"/>
              </w:rPr>
            </w:pPr>
          </w:p>
        </w:tc>
        <w:tc>
          <w:tcPr>
            <w:tcW w:w="940" w:type="dxa"/>
            <w:vAlign w:val="bottom"/>
            <w:tcBorders>
              <w:top w:val="single" w:sz="8" w:color="auto"/>
              <w:bottom w:val="single" w:sz="8" w:color="CCEEFF"/>
            </w:tcBorders>
          </w:tcPr>
          <w:p>
            <w:pPr>
              <w:jc w:val="right"/>
              <w:ind w:right="34"/>
              <w:spacing w:after="0"/>
              <w:rPr>
                <w:sz w:val="20"/>
                <w:szCs w:val="20"/>
                <w:color w:val="auto"/>
              </w:rPr>
            </w:pPr>
            <w:r>
              <w:rPr>
                <w:rFonts w:ascii="Arial" w:cs="Arial" w:eastAsia="Arial" w:hAnsi="Arial"/>
                <w:sz w:val="18"/>
                <w:szCs w:val="18"/>
                <w:color w:val="auto"/>
              </w:rPr>
              <w:t>2,403.7</w:t>
            </w:r>
          </w:p>
        </w:tc>
        <w:tc>
          <w:tcPr>
            <w:tcW w:w="0" w:type="dxa"/>
            <w:vAlign w:val="bottom"/>
          </w:tcPr>
          <w:p>
            <w:pPr>
              <w:spacing w:after="0"/>
              <w:rPr>
                <w:sz w:val="1"/>
                <w:szCs w:val="1"/>
                <w:color w:val="auto"/>
              </w:rPr>
            </w:pPr>
          </w:p>
        </w:tc>
      </w:tr>
      <w:tr>
        <w:trPr>
          <w:trHeight w:val="311"/>
        </w:trPr>
        <w:tc>
          <w:tcPr>
            <w:tcW w:w="3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Indefinite-Lived Intangible Assets:</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names</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450.0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450.0</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8"/>
                <w:szCs w:val="18"/>
                <w:color w:val="auto"/>
              </w:rPr>
              <w:t>Total intangible assets – other, net</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2,827.8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2,853.7</w:t>
            </w:r>
          </w:p>
        </w:tc>
        <w:tc>
          <w:tcPr>
            <w:tcW w:w="0" w:type="dxa"/>
            <w:vAlign w:val="bottom"/>
          </w:tcPr>
          <w:p>
            <w:pPr>
              <w:spacing w:after="0"/>
              <w:rPr>
                <w:sz w:val="1"/>
                <w:szCs w:val="1"/>
                <w:color w:val="auto"/>
              </w:rPr>
            </w:pPr>
          </w:p>
        </w:tc>
      </w:tr>
      <w:tr>
        <w:trPr>
          <w:trHeight w:val="67"/>
        </w:trPr>
        <w:tc>
          <w:tcPr>
            <w:tcW w:w="378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06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12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CCEEFF"/>
            </w:tcBorders>
          </w:tcPr>
          <w:p>
            <w:pPr>
              <w:spacing w:after="0"/>
              <w:rPr>
                <w:sz w:val="5"/>
                <w:szCs w:val="5"/>
                <w:color w:val="auto"/>
              </w:rPr>
            </w:pPr>
          </w:p>
        </w:tc>
        <w:tc>
          <w:tcPr>
            <w:tcW w:w="84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CCEEFF"/>
            </w:tcBorders>
          </w:tcPr>
          <w:p>
            <w:pPr>
              <w:spacing w:after="0"/>
              <w:rPr>
                <w:sz w:val="5"/>
                <w:szCs w:val="5"/>
                <w:color w:val="auto"/>
              </w:rPr>
            </w:pPr>
          </w:p>
        </w:tc>
        <w:tc>
          <w:tcPr>
            <w:tcW w:w="108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1"/>
        </w:trPr>
        <w:tc>
          <w:tcPr>
            <w:tcW w:w="3780" w:type="dxa"/>
            <w:vAlign w:val="bottom"/>
            <w:tcBorders>
              <w:bottom w:val="single" w:sz="8" w:color="CCEEFF"/>
            </w:tcBorders>
            <w:shd w:val="clear" w:color="auto" w:fill="CCEEFF"/>
          </w:tcPr>
          <w:p>
            <w:pPr>
              <w:ind w:left="40"/>
              <w:spacing w:after="0" w:line="251" w:lineRule="exact"/>
              <w:rPr>
                <w:sz w:val="20"/>
                <w:szCs w:val="20"/>
                <w:color w:val="auto"/>
              </w:rPr>
            </w:pPr>
            <w:r>
              <w:rPr>
                <w:rFonts w:ascii="Arial" w:cs="Arial" w:eastAsia="Arial" w:hAnsi="Arial"/>
                <w:sz w:val="18"/>
                <w:szCs w:val="18"/>
                <w:color w:val="auto"/>
              </w:rPr>
              <w:t>Trading products</w:t>
            </w:r>
            <w:r>
              <w:rPr>
                <w:rFonts w:ascii="Arial" w:cs="Arial" w:eastAsia="Arial" w:hAnsi="Arial"/>
                <w:sz w:val="25"/>
                <w:szCs w:val="25"/>
                <w:color w:val="auto"/>
                <w:vertAlign w:val="superscript"/>
              </w:rPr>
              <w:t>(1)</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17,175.3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17,175.3</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660" w:right="20" w:hanging="328"/>
        <w:spacing w:after="0" w:line="259"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Trading products represent futures and options products acquired in our business combinations with CBOT Holdings, Inc. (CBOT Holdings), NYMEX Holdings, Inc. (NYMEX Holdings) and KCBT. Clearing and transaction fees revenues are generated through the trading of these products. These trading products, most of which have traded for decades, require authorization from the CFTC. Product authorizations from the CFTC have no term limits.</w:t>
      </w:r>
    </w:p>
    <w:p>
      <w:pPr>
        <w:spacing w:after="0" w:line="187"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color w:val="auto"/>
        </w:rPr>
        <w:t>Total amortization expense for intangible assets was $25.9 million and $32.8 million for the quarters ended March 31, 2013 and 2012, respectively. As of March 31, 2013, the future estimated amortization expense related to amortizable intangible assets is expected to be as follows.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414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Amortization Expense</w:t>
            </w: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Remainder of 2013</w:t>
            </w:r>
          </w:p>
        </w:tc>
        <w:tc>
          <w:tcPr>
            <w:tcW w:w="41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76.9</w:t>
            </w: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color w:val="auto"/>
              </w:rPr>
              <w:t>2014</w:t>
            </w:r>
          </w:p>
        </w:tc>
        <w:tc>
          <w:tcPr>
            <w:tcW w:w="4140" w:type="dxa"/>
            <w:vAlign w:val="bottom"/>
          </w:tcPr>
          <w:p>
            <w:pPr>
              <w:spacing w:after="0"/>
              <w:rPr>
                <w:sz w:val="21"/>
                <w:szCs w:val="21"/>
                <w:color w:val="auto"/>
              </w:rPr>
            </w:pPr>
          </w:p>
        </w:tc>
        <w:tc>
          <w:tcPr>
            <w:tcW w:w="1980" w:type="dxa"/>
            <w:vAlign w:val="bottom"/>
          </w:tcPr>
          <w:p>
            <w:pPr>
              <w:jc w:val="right"/>
              <w:ind w:right="32"/>
              <w:spacing w:after="0"/>
              <w:rPr>
                <w:sz w:val="20"/>
                <w:szCs w:val="20"/>
                <w:color w:val="auto"/>
              </w:rPr>
            </w:pPr>
            <w:r>
              <w:rPr>
                <w:rFonts w:ascii="Arial" w:cs="Arial" w:eastAsia="Arial" w:hAnsi="Arial"/>
                <w:sz w:val="18"/>
                <w:szCs w:val="18"/>
                <w:color w:val="auto"/>
              </w:rPr>
              <w:t>101.5</w:t>
            </w:r>
          </w:p>
        </w:tc>
      </w:tr>
      <w:tr>
        <w:trPr>
          <w:trHeight w:val="27"/>
        </w:trPr>
        <w:tc>
          <w:tcPr>
            <w:tcW w:w="5280" w:type="dxa"/>
            <w:vAlign w:val="bottom"/>
          </w:tcPr>
          <w:p>
            <w:pPr>
              <w:spacing w:after="0"/>
              <w:rPr>
                <w:sz w:val="2"/>
                <w:szCs w:val="2"/>
                <w:color w:val="auto"/>
              </w:rPr>
            </w:pPr>
          </w:p>
        </w:tc>
        <w:tc>
          <w:tcPr>
            <w:tcW w:w="414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2015</w:t>
            </w:r>
          </w:p>
        </w:tc>
        <w:tc>
          <w:tcPr>
            <w:tcW w:w="414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101.3</w:t>
            </w: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color w:val="auto"/>
              </w:rPr>
              <w:t>2016</w:t>
            </w:r>
          </w:p>
        </w:tc>
        <w:tc>
          <w:tcPr>
            <w:tcW w:w="4140" w:type="dxa"/>
            <w:vAlign w:val="bottom"/>
          </w:tcPr>
          <w:p>
            <w:pPr>
              <w:spacing w:after="0"/>
              <w:rPr>
                <w:sz w:val="21"/>
                <w:szCs w:val="21"/>
                <w:color w:val="auto"/>
              </w:rPr>
            </w:pPr>
          </w:p>
        </w:tc>
        <w:tc>
          <w:tcPr>
            <w:tcW w:w="1980" w:type="dxa"/>
            <w:vAlign w:val="bottom"/>
          </w:tcPr>
          <w:p>
            <w:pPr>
              <w:jc w:val="right"/>
              <w:ind w:right="32"/>
              <w:spacing w:after="0"/>
              <w:rPr>
                <w:sz w:val="20"/>
                <w:szCs w:val="20"/>
                <w:color w:val="auto"/>
              </w:rPr>
            </w:pPr>
            <w:r>
              <w:rPr>
                <w:rFonts w:ascii="Arial" w:cs="Arial" w:eastAsia="Arial" w:hAnsi="Arial"/>
                <w:sz w:val="18"/>
                <w:szCs w:val="18"/>
                <w:color w:val="auto"/>
              </w:rPr>
              <w:t>97.9</w:t>
            </w:r>
          </w:p>
        </w:tc>
      </w:tr>
      <w:tr>
        <w:trPr>
          <w:trHeight w:val="27"/>
        </w:trPr>
        <w:tc>
          <w:tcPr>
            <w:tcW w:w="5280" w:type="dxa"/>
            <w:vAlign w:val="bottom"/>
          </w:tcPr>
          <w:p>
            <w:pPr>
              <w:spacing w:after="0"/>
              <w:rPr>
                <w:sz w:val="2"/>
                <w:szCs w:val="2"/>
                <w:color w:val="auto"/>
              </w:rPr>
            </w:pPr>
          </w:p>
        </w:tc>
        <w:tc>
          <w:tcPr>
            <w:tcW w:w="414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414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97.3</w:t>
            </w: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color w:val="auto"/>
              </w:rPr>
              <w:t>2018</w:t>
            </w:r>
          </w:p>
        </w:tc>
        <w:tc>
          <w:tcPr>
            <w:tcW w:w="4140" w:type="dxa"/>
            <w:vAlign w:val="bottom"/>
          </w:tcPr>
          <w:p>
            <w:pPr>
              <w:spacing w:after="0"/>
              <w:rPr>
                <w:sz w:val="21"/>
                <w:szCs w:val="21"/>
                <w:color w:val="auto"/>
              </w:rPr>
            </w:pPr>
          </w:p>
        </w:tc>
        <w:tc>
          <w:tcPr>
            <w:tcW w:w="1980" w:type="dxa"/>
            <w:vAlign w:val="bottom"/>
          </w:tcPr>
          <w:p>
            <w:pPr>
              <w:jc w:val="right"/>
              <w:ind w:right="32"/>
              <w:spacing w:after="0"/>
              <w:rPr>
                <w:sz w:val="20"/>
                <w:szCs w:val="20"/>
                <w:color w:val="auto"/>
              </w:rPr>
            </w:pPr>
            <w:r>
              <w:rPr>
                <w:rFonts w:ascii="Arial" w:cs="Arial" w:eastAsia="Arial" w:hAnsi="Arial"/>
                <w:sz w:val="18"/>
                <w:szCs w:val="18"/>
                <w:color w:val="auto"/>
              </w:rPr>
              <w:t>96.5</w:t>
            </w:r>
          </w:p>
        </w:tc>
      </w:tr>
      <w:tr>
        <w:trPr>
          <w:trHeight w:val="27"/>
        </w:trPr>
        <w:tc>
          <w:tcPr>
            <w:tcW w:w="5280" w:type="dxa"/>
            <w:vAlign w:val="bottom"/>
          </w:tcPr>
          <w:p>
            <w:pPr>
              <w:spacing w:after="0"/>
              <w:rPr>
                <w:sz w:val="2"/>
                <w:szCs w:val="2"/>
                <w:color w:val="auto"/>
              </w:rPr>
            </w:pPr>
          </w:p>
        </w:tc>
        <w:tc>
          <w:tcPr>
            <w:tcW w:w="414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43"/>
        </w:trPr>
        <w:tc>
          <w:tcPr>
            <w:tcW w:w="5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Thereafter</w:t>
            </w:r>
          </w:p>
        </w:tc>
        <w:tc>
          <w:tcPr>
            <w:tcW w:w="4140" w:type="dxa"/>
            <w:vAlign w:val="bottom"/>
            <w:shd w:val="clear" w:color="auto" w:fill="CCEEFF"/>
          </w:tcPr>
          <w:p>
            <w:pPr>
              <w:spacing w:after="0"/>
              <w:rPr>
                <w:sz w:val="21"/>
                <w:szCs w:val="21"/>
                <w:color w:val="auto"/>
              </w:rPr>
            </w:pPr>
          </w:p>
        </w:tc>
        <w:tc>
          <w:tcPr>
            <w:tcW w:w="19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1,806.4</w:t>
            </w:r>
          </w:p>
        </w:tc>
      </w:tr>
      <w:tr>
        <w:trPr>
          <w:trHeight w:val="27"/>
        </w:trPr>
        <w:tc>
          <w:tcPr>
            <w:tcW w:w="5280" w:type="dxa"/>
            <w:vAlign w:val="bottom"/>
            <w:shd w:val="clear" w:color="auto" w:fill="CCEEFF"/>
          </w:tcPr>
          <w:p>
            <w:pPr>
              <w:spacing w:after="0"/>
              <w:rPr>
                <w:sz w:val="2"/>
                <w:szCs w:val="2"/>
                <w:color w:val="auto"/>
              </w:rPr>
            </w:pPr>
          </w:p>
        </w:tc>
        <w:tc>
          <w:tcPr>
            <w:tcW w:w="4140" w:type="dxa"/>
            <w:vAlign w:val="bottom"/>
            <w:shd w:val="clear" w:color="auto" w:fill="CCEEFF"/>
          </w:tcPr>
          <w:p>
            <w:pPr>
              <w:spacing w:after="0"/>
              <w:rPr>
                <w:sz w:val="2"/>
                <w:szCs w:val="2"/>
                <w:color w:val="auto"/>
              </w:rPr>
            </w:pPr>
          </w:p>
        </w:tc>
        <w:tc>
          <w:tcPr>
            <w:tcW w:w="19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125" w:right="239" w:bottom="1440" w:gutter="0" w:footer="0" w:header="0"/>
          <w:type w:val="continuous"/>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Short-term debt consisted of the following at March 31, 2013 and December 31, 2012:</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March 31, 2013</w:t>
            </w: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90"/>
              </w:rPr>
              <w:t>December 31, 2012</w:t>
            </w:r>
          </w:p>
        </w:tc>
      </w:tr>
      <w:tr>
        <w:trPr>
          <w:trHeight w:val="250"/>
        </w:trPr>
        <w:tc>
          <w:tcPr>
            <w:tcW w:w="6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$750.0 million fixed rate notes due August 2013, stated rate of 5.40%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749.8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749.7</w:t>
            </w:r>
          </w:p>
        </w:tc>
      </w:tr>
      <w:tr>
        <w:trPr>
          <w:trHeight w:val="243"/>
        </w:trPr>
        <w:tc>
          <w:tcPr>
            <w:tcW w:w="6380" w:type="dxa"/>
            <w:vAlign w:val="bottom"/>
          </w:tcPr>
          <w:p>
            <w:pPr>
              <w:ind w:left="40"/>
              <w:spacing w:after="0"/>
              <w:rPr>
                <w:sz w:val="20"/>
                <w:szCs w:val="20"/>
                <w:color w:val="auto"/>
              </w:rPr>
            </w:pPr>
            <w:r>
              <w:rPr>
                <w:rFonts w:ascii="Arial" w:cs="Arial" w:eastAsia="Arial" w:hAnsi="Arial"/>
                <w:sz w:val="18"/>
                <w:szCs w:val="18"/>
                <w:color w:val="auto"/>
              </w:rPr>
              <w:t>$750.0 million fixed rate notes due February 2014, stated rate of 5.75%</w:t>
            </w: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749.2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63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6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short-term debt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1,499.0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749.7</w:t>
            </w:r>
          </w:p>
        </w:tc>
      </w:tr>
      <w:tr>
        <w:trPr>
          <w:trHeight w:val="20"/>
        </w:trPr>
        <w:tc>
          <w:tcPr>
            <w:tcW w:w="6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Long-term debt consisted of the following at March 31, 2013 and December 31, 2012:</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2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March 31, 2013</w:t>
            </w: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w w:val="95"/>
              </w:rPr>
              <w:t>December 31, 2012</w:t>
            </w:r>
          </w:p>
        </w:tc>
      </w:tr>
      <w:tr>
        <w:trPr>
          <w:trHeight w:val="250"/>
        </w:trPr>
        <w:tc>
          <w:tcPr>
            <w:tcW w:w="8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$750.0 million fixed rate notes due February 2014, stated rate of 5.75%</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749.0</w:t>
            </w:r>
          </w:p>
        </w:tc>
      </w:tr>
      <w:tr>
        <w:trPr>
          <w:trHeight w:val="270"/>
        </w:trPr>
        <w:tc>
          <w:tcPr>
            <w:tcW w:w="8020" w:type="dxa"/>
            <w:vAlign w:val="bottom"/>
          </w:tcPr>
          <w:p>
            <w:pPr>
              <w:ind w:left="40"/>
              <w:spacing w:after="0" w:line="270" w:lineRule="exact"/>
              <w:rPr>
                <w:sz w:val="20"/>
                <w:szCs w:val="20"/>
                <w:color w:val="auto"/>
              </w:rPr>
            </w:pPr>
            <w:r>
              <w:rPr>
                <w:rFonts w:ascii="Arial" w:cs="Arial" w:eastAsia="Arial" w:hAnsi="Arial"/>
                <w:sz w:val="18"/>
                <w:szCs w:val="18"/>
                <w:color w:val="auto"/>
              </w:rPr>
              <w:t>$612.5 million fixed rate notes due March 2018, stated rate of 4.40%</w:t>
            </w:r>
            <w:r>
              <w:rPr>
                <w:rFonts w:ascii="Arial" w:cs="Arial" w:eastAsia="Arial" w:hAnsi="Arial"/>
                <w:sz w:val="25"/>
                <w:szCs w:val="25"/>
                <w:color w:val="auto"/>
                <w:vertAlign w:val="superscript"/>
              </w:rPr>
              <w:t>(1)</w:t>
            </w:r>
          </w:p>
        </w:tc>
        <w:tc>
          <w:tcPr>
            <w:tcW w:w="220" w:type="dxa"/>
            <w:vAlign w:val="bottom"/>
          </w:tcPr>
          <w:p>
            <w:pPr>
              <w:spacing w:after="0"/>
              <w:rPr>
                <w:sz w:val="23"/>
                <w:szCs w:val="23"/>
                <w:color w:val="auto"/>
              </w:rPr>
            </w:pP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610.2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610.1</w:t>
            </w:r>
          </w:p>
        </w:tc>
      </w:tr>
      <w:tr>
        <w:trPr>
          <w:trHeight w:val="270"/>
        </w:trPr>
        <w:tc>
          <w:tcPr>
            <w:tcW w:w="80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$750.0 million fixed rate notes due September 2022, stated rate of 3.00% </w:t>
            </w:r>
            <w:r>
              <w:rPr>
                <w:rFonts w:ascii="Arial" w:cs="Arial" w:eastAsia="Arial" w:hAnsi="Arial"/>
                <w:sz w:val="25"/>
                <w:szCs w:val="25"/>
                <w:color w:val="auto"/>
                <w:vertAlign w:val="superscript"/>
              </w:rPr>
              <w:t>(2)</w:t>
            </w:r>
          </w:p>
        </w:tc>
        <w:tc>
          <w:tcPr>
            <w:tcW w:w="22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747.8</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747.7</w:t>
            </w:r>
          </w:p>
        </w:tc>
      </w:tr>
      <w:tr>
        <w:trPr>
          <w:trHeight w:val="237"/>
        </w:trPr>
        <w:tc>
          <w:tcPr>
            <w:tcW w:w="8020" w:type="dxa"/>
            <w:vAlign w:val="bottom"/>
          </w:tcPr>
          <w:p>
            <w:pPr>
              <w:ind w:left="40"/>
              <w:spacing w:after="0"/>
              <w:rPr>
                <w:sz w:val="20"/>
                <w:szCs w:val="20"/>
                <w:color w:val="auto"/>
              </w:rPr>
            </w:pPr>
            <w:r>
              <w:rPr>
                <w:rFonts w:ascii="Arial" w:cs="Arial" w:eastAsia="Arial" w:hAnsi="Arial"/>
                <w:sz w:val="18"/>
                <w:szCs w:val="18"/>
                <w:color w:val="auto"/>
              </w:rPr>
              <w:t>Total long-term debt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1,358.0</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2,106.8</w:t>
            </w:r>
          </w:p>
        </w:tc>
      </w:tr>
      <w:tr>
        <w:trPr>
          <w:trHeight w:val="27"/>
        </w:trPr>
        <w:tc>
          <w:tcPr>
            <w:tcW w:w="80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0"/>
        </w:trPr>
        <w:tc>
          <w:tcPr>
            <w:tcW w:w="8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660" w:right="38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February 2010, the company entered into a forward-starting interest rate swap agreement that modified the interest obligation associated with these notes so that the interest payable on the notes effectively became fixed at a rate of 4.46%.</w:t>
      </w:r>
    </w:p>
    <w:p>
      <w:pPr>
        <w:spacing w:after="0" w:line="170" w:lineRule="exact"/>
        <w:rPr>
          <w:rFonts w:ascii="Arial" w:cs="Arial" w:eastAsia="Arial" w:hAnsi="Arial"/>
          <w:sz w:val="18"/>
          <w:szCs w:val="18"/>
          <w:color w:val="auto"/>
        </w:rPr>
      </w:pPr>
    </w:p>
    <w:p>
      <w:pPr>
        <w:ind w:left="660" w:right="10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August 2012, the company entered into a forward-starting interest rate swap agreement that modified the interest obligation associated with these notes so that the interest payable on the notes effectively became fixed at a rate of 3.32%.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Long-term debt maturities, at par value, were as follows as of March 31, 2013:</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48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Par Value</w:t>
            </w:r>
          </w:p>
        </w:tc>
      </w:tr>
      <w:tr>
        <w:trPr>
          <w:trHeight w:val="250"/>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2014</w:t>
            </w:r>
          </w:p>
        </w:tc>
        <w:tc>
          <w:tcPr>
            <w:tcW w:w="4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r>
      <w:tr>
        <w:trPr>
          <w:trHeight w:val="243"/>
        </w:trPr>
        <w:tc>
          <w:tcPr>
            <w:tcW w:w="5420" w:type="dxa"/>
            <w:vAlign w:val="bottom"/>
          </w:tcPr>
          <w:p>
            <w:pPr>
              <w:ind w:left="40"/>
              <w:spacing w:after="0"/>
              <w:rPr>
                <w:sz w:val="20"/>
                <w:szCs w:val="20"/>
                <w:color w:val="auto"/>
              </w:rPr>
            </w:pPr>
            <w:r>
              <w:rPr>
                <w:rFonts w:ascii="Arial" w:cs="Arial" w:eastAsia="Arial" w:hAnsi="Arial"/>
                <w:sz w:val="18"/>
                <w:szCs w:val="18"/>
                <w:color w:val="auto"/>
              </w:rPr>
              <w:t>2015</w:t>
            </w:r>
          </w:p>
        </w:tc>
        <w:tc>
          <w:tcPr>
            <w:tcW w:w="482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w:t>
            </w:r>
          </w:p>
        </w:tc>
      </w:tr>
      <w:tr>
        <w:trPr>
          <w:trHeight w:val="27"/>
        </w:trPr>
        <w:tc>
          <w:tcPr>
            <w:tcW w:w="5420" w:type="dxa"/>
            <w:vAlign w:val="bottom"/>
          </w:tcPr>
          <w:p>
            <w:pPr>
              <w:spacing w:after="0"/>
              <w:rPr>
                <w:sz w:val="2"/>
                <w:szCs w:val="2"/>
                <w:color w:val="auto"/>
              </w:rPr>
            </w:pPr>
          </w:p>
        </w:tc>
        <w:tc>
          <w:tcPr>
            <w:tcW w:w="48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48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r>
      <w:tr>
        <w:trPr>
          <w:trHeight w:val="243"/>
        </w:trPr>
        <w:tc>
          <w:tcPr>
            <w:tcW w:w="5420" w:type="dxa"/>
            <w:vAlign w:val="bottom"/>
          </w:tcPr>
          <w:p>
            <w:pPr>
              <w:ind w:left="40"/>
              <w:spacing w:after="0"/>
              <w:rPr>
                <w:sz w:val="20"/>
                <w:szCs w:val="20"/>
                <w:color w:val="auto"/>
              </w:rPr>
            </w:pPr>
            <w:r>
              <w:rPr>
                <w:rFonts w:ascii="Arial" w:cs="Arial" w:eastAsia="Arial" w:hAnsi="Arial"/>
                <w:sz w:val="18"/>
                <w:szCs w:val="18"/>
                <w:color w:val="auto"/>
              </w:rPr>
              <w:t>2017</w:t>
            </w:r>
          </w:p>
        </w:tc>
        <w:tc>
          <w:tcPr>
            <w:tcW w:w="482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w:t>
            </w:r>
          </w:p>
        </w:tc>
      </w:tr>
      <w:tr>
        <w:trPr>
          <w:trHeight w:val="27"/>
        </w:trPr>
        <w:tc>
          <w:tcPr>
            <w:tcW w:w="5420" w:type="dxa"/>
            <w:vAlign w:val="bottom"/>
          </w:tcPr>
          <w:p>
            <w:pPr>
              <w:spacing w:after="0"/>
              <w:rPr>
                <w:sz w:val="2"/>
                <w:szCs w:val="2"/>
                <w:color w:val="auto"/>
              </w:rPr>
            </w:pPr>
          </w:p>
        </w:tc>
        <w:tc>
          <w:tcPr>
            <w:tcW w:w="48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48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612.5</w:t>
            </w:r>
          </w:p>
        </w:tc>
      </w:tr>
      <w:tr>
        <w:trPr>
          <w:trHeight w:val="243"/>
        </w:trPr>
        <w:tc>
          <w:tcPr>
            <w:tcW w:w="542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482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750.0</w:t>
            </w:r>
          </w:p>
        </w:tc>
      </w:tr>
    </w:tbl>
    <w:p>
      <w:pPr>
        <w:spacing w:after="0" w:line="28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fair values of the fixed rate notes due 2013, 2014 and 2022 were estimated using quoted market prices and are considered level 2 liabilities under the classification hierarchy for fair value measurements. The fair value of the fixed rate notes due 2018, which is considered a level 3 liability, was derived using a standard valuation model with market-based observable inputs including U.S. Treasury yields and interest rate spreads. For further information on the three-level classification hierarchy of fair value measurements, see note 8. At March 31, 2013, the fair values of the fixed rate notes by maturity date were as follows: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3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Fair Value</w:t>
            </w:r>
          </w:p>
        </w:tc>
      </w:tr>
      <w:tr>
        <w:trPr>
          <w:trHeight w:val="250"/>
        </w:trPr>
        <w:tc>
          <w:tcPr>
            <w:tcW w:w="6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$750.0 million fixed rate notes due August 2013</w:t>
            </w:r>
          </w:p>
        </w:tc>
        <w:tc>
          <w:tcPr>
            <w:tcW w:w="3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762.0</w:t>
            </w:r>
          </w:p>
        </w:tc>
      </w:tr>
      <w:tr>
        <w:trPr>
          <w:trHeight w:val="243"/>
        </w:trPr>
        <w:tc>
          <w:tcPr>
            <w:tcW w:w="6900" w:type="dxa"/>
            <w:vAlign w:val="bottom"/>
          </w:tcPr>
          <w:p>
            <w:pPr>
              <w:ind w:left="40"/>
              <w:spacing w:after="0"/>
              <w:rPr>
                <w:sz w:val="20"/>
                <w:szCs w:val="20"/>
                <w:color w:val="auto"/>
              </w:rPr>
            </w:pPr>
            <w:r>
              <w:rPr>
                <w:rFonts w:ascii="Arial" w:cs="Arial" w:eastAsia="Arial" w:hAnsi="Arial"/>
                <w:sz w:val="18"/>
                <w:szCs w:val="18"/>
                <w:color w:val="auto"/>
              </w:rPr>
              <w:t>$750.0 million fixed rate notes due February 2014</w:t>
            </w:r>
          </w:p>
        </w:tc>
        <w:tc>
          <w:tcPr>
            <w:tcW w:w="33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781.7</w:t>
            </w:r>
          </w:p>
        </w:tc>
      </w:tr>
      <w:tr>
        <w:trPr>
          <w:trHeight w:val="27"/>
        </w:trPr>
        <w:tc>
          <w:tcPr>
            <w:tcW w:w="690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$612.5 million fixed rate notes due March 2018</w:t>
            </w:r>
          </w:p>
        </w:tc>
        <w:tc>
          <w:tcPr>
            <w:tcW w:w="3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694.4</w:t>
            </w:r>
          </w:p>
        </w:tc>
      </w:tr>
      <w:tr>
        <w:trPr>
          <w:trHeight w:val="243"/>
        </w:trPr>
        <w:tc>
          <w:tcPr>
            <w:tcW w:w="6900" w:type="dxa"/>
            <w:vAlign w:val="bottom"/>
          </w:tcPr>
          <w:p>
            <w:pPr>
              <w:ind w:left="40"/>
              <w:spacing w:after="0"/>
              <w:rPr>
                <w:sz w:val="20"/>
                <w:szCs w:val="20"/>
                <w:color w:val="auto"/>
              </w:rPr>
            </w:pPr>
            <w:r>
              <w:rPr>
                <w:rFonts w:ascii="Arial" w:cs="Arial" w:eastAsia="Arial" w:hAnsi="Arial"/>
                <w:sz w:val="18"/>
                <w:szCs w:val="18"/>
                <w:color w:val="auto"/>
              </w:rPr>
              <w:t>$750.0 million fixed rate notes due September 2022</w:t>
            </w:r>
          </w:p>
        </w:tc>
        <w:tc>
          <w:tcPr>
            <w:tcW w:w="33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751.5</w:t>
            </w:r>
          </w:p>
        </w:tc>
      </w:tr>
    </w:tbl>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Derivative Investments</w:t>
      </w:r>
    </w:p>
    <w:p>
      <w:pPr>
        <w:spacing w:after="0" w:line="202"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company mitigates certain financial exposures to interest rate risk through the use of derivative financial instruments as part of its risk management program. All derivatives have been designated as cash flow hedges.</w:t>
      </w:r>
    </w:p>
    <w:p>
      <w:pPr>
        <w:spacing w:after="0" w:line="14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August 2012, the company entered into two forward-starting interest rate swap contracts, with an aggregate notional value of $1.5 billion, to hedge the risk of changes in underlying benchmark interest rates associated with the expected issuances of fixed-rate debt. One of these swap contracts was settled in conjunction with the issuance of fixed-rate debt in September 2012. The hedge was considered highly effective. The effective portion is included in other comprehensive income and will be amortized over the term of the debt.</w:t>
      </w:r>
    </w:p>
    <w:p>
      <w:pPr>
        <w:sectPr>
          <w:pgSz w:w="11900" w:h="16838" w:orient="portrait"/>
          <w:cols w:equalWidth="0" w:num="1">
            <w:col w:w="11420"/>
          </w:cols>
          <w:pgMar w:left="240" w:top="125" w:right="239" w:bottom="1440" w:gutter="0" w:footer="0" w:header="0"/>
        </w:sect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125" w:right="239" w:bottom="1440" w:gutter="0" w:footer="0" w:header="0"/>
          <w:type w:val="continuous"/>
        </w:sectPr>
      </w:pPr>
    </w:p>
    <w:bookmarkStart w:id="12" w:name="page13"/>
    <w:bookmarkEnd w:id="12"/>
    <w:p>
      <w:pPr>
        <w:ind w:right="320"/>
        <w:spacing w:after="0" w:line="277" w:lineRule="auto"/>
        <w:rPr>
          <w:sz w:val="20"/>
          <w:szCs w:val="20"/>
          <w:color w:val="auto"/>
        </w:rPr>
      </w:pPr>
      <w:r>
        <w:rPr>
          <w:rFonts w:ascii="Arial" w:cs="Arial" w:eastAsia="Arial" w:hAnsi="Arial"/>
          <w:sz w:val="18"/>
          <w:szCs w:val="18"/>
          <w:color w:val="auto"/>
        </w:rPr>
        <w:t>The fair value and location of outstanding derivative instruments in the consolidated balance sheets as of March 31, 2013 and December 31, 2012 were as follows: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080" w:type="dxa"/>
            <w:vAlign w:val="bottom"/>
            <w:tcBorders>
              <w:bottom w:val="single" w:sz="8" w:color="auto"/>
            </w:tcBorders>
            <w:gridSpan w:val="4"/>
          </w:tcPr>
          <w:p>
            <w:pPr>
              <w:jc w:val="right"/>
              <w:ind w:right="1239"/>
              <w:spacing w:after="0"/>
              <w:rPr>
                <w:sz w:val="20"/>
                <w:szCs w:val="20"/>
                <w:color w:val="auto"/>
              </w:rPr>
            </w:pPr>
            <w:r>
              <w:rPr>
                <w:rFonts w:ascii="Arial" w:cs="Arial" w:eastAsia="Arial" w:hAnsi="Arial"/>
                <w:sz w:val="14"/>
                <w:szCs w:val="14"/>
                <w:b w:val="1"/>
                <w:bCs w:val="1"/>
                <w:color w:val="auto"/>
              </w:rPr>
              <w:t>Fair Value</w:t>
            </w:r>
          </w:p>
        </w:tc>
      </w:tr>
      <w:tr>
        <w:trPr>
          <w:trHeight w:val="264"/>
        </w:trPr>
        <w:tc>
          <w:tcPr>
            <w:tcW w:w="32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140" w:type="dxa"/>
            <w:vAlign w:val="bottom"/>
            <w:tcBorders>
              <w:bottom w:val="single" w:sz="8" w:color="CCEEFF"/>
            </w:tcBorders>
          </w:tcPr>
          <w:p>
            <w:pPr>
              <w:spacing w:after="0"/>
              <w:rPr>
                <w:sz w:val="22"/>
                <w:szCs w:val="22"/>
                <w:color w:val="auto"/>
              </w:rPr>
            </w:pPr>
          </w:p>
        </w:tc>
        <w:tc>
          <w:tcPr>
            <w:tcW w:w="46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Balance Sheet Location</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b w:val="1"/>
                <w:bCs w:val="1"/>
                <w:color w:val="auto"/>
              </w:rPr>
              <w:t>March 31, 2013</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w w:val="93"/>
              </w:rPr>
              <w:t>December 31, 2012</w:t>
            </w:r>
          </w:p>
        </w:tc>
      </w:tr>
      <w:tr>
        <w:trPr>
          <w:trHeight w:val="237"/>
        </w:trPr>
        <w:tc>
          <w:tcPr>
            <w:tcW w:w="33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Interest rate contract</w:t>
            </w:r>
          </w:p>
        </w:tc>
        <w:tc>
          <w:tcPr>
            <w:tcW w:w="4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assets (other liabilities)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24.1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32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4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effect of derivative instruments on the consolidated statements of income as well as accumulated other comprehensive income (OCI) within the consolidated statements of comprehensive income and consolidated statements of shareholders' equity for the quarters ended March 31, 2013 and 2012 were as follows.</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gridSpan w:val="2"/>
          </w:tcPr>
          <w:p>
            <w:pPr>
              <w:jc w:val="center"/>
              <w:ind w:left="26"/>
              <w:spacing w:after="0"/>
              <w:rPr>
                <w:sz w:val="20"/>
                <w:szCs w:val="20"/>
                <w:color w:val="auto"/>
              </w:rPr>
            </w:pPr>
            <w:r>
              <w:rPr>
                <w:rFonts w:ascii="Arial" w:cs="Arial" w:eastAsia="Arial" w:hAnsi="Arial"/>
                <w:sz w:val="14"/>
                <w:szCs w:val="14"/>
                <w:b w:val="1"/>
                <w:bCs w:val="1"/>
                <w:color w:val="auto"/>
                <w:w w:val="87"/>
              </w:rPr>
              <w:t>Gains (Losses)</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940" w:type="dxa"/>
            <w:vAlign w:val="bottom"/>
            <w:gridSpan w:val="5"/>
          </w:tcPr>
          <w:p>
            <w:pPr>
              <w:jc w:val="center"/>
              <w:ind w:left="623"/>
              <w:spacing w:after="0"/>
              <w:rPr>
                <w:sz w:val="20"/>
                <w:szCs w:val="20"/>
                <w:color w:val="auto"/>
              </w:rPr>
            </w:pPr>
            <w:r>
              <w:rPr>
                <w:rFonts w:ascii="Arial" w:cs="Arial" w:eastAsia="Arial" w:hAnsi="Arial"/>
                <w:sz w:val="14"/>
                <w:szCs w:val="14"/>
                <w:b w:val="1"/>
                <w:bCs w:val="1"/>
                <w:color w:val="auto"/>
                <w:w w:val="90"/>
              </w:rPr>
              <w:t>Gains (Losses) Reclassified from</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60" w:type="dxa"/>
            <w:vAlign w:val="bottom"/>
            <w:gridSpan w:val="3"/>
          </w:tcPr>
          <w:p>
            <w:pPr>
              <w:jc w:val="center"/>
              <w:ind w:right="48"/>
              <w:spacing w:after="0"/>
              <w:rPr>
                <w:sz w:val="20"/>
                <w:szCs w:val="20"/>
                <w:color w:val="auto"/>
              </w:rPr>
            </w:pPr>
            <w:r>
              <w:rPr>
                <w:rFonts w:ascii="Arial" w:cs="Arial" w:eastAsia="Arial" w:hAnsi="Arial"/>
                <w:sz w:val="14"/>
                <w:szCs w:val="14"/>
                <w:b w:val="1"/>
                <w:bCs w:val="1"/>
                <w:color w:val="auto"/>
                <w:w w:val="89"/>
              </w:rPr>
              <w:t>Gains (Losses)</w:t>
            </w: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49"/>
        </w:trPr>
        <w:tc>
          <w:tcPr>
            <w:tcW w:w="1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gridSpan w:val="2"/>
          </w:tcPr>
          <w:p>
            <w:pPr>
              <w:jc w:val="center"/>
              <w:ind w:left="66"/>
              <w:spacing w:after="0" w:line="149" w:lineRule="exact"/>
              <w:rPr>
                <w:sz w:val="20"/>
                <w:szCs w:val="20"/>
                <w:color w:val="auto"/>
              </w:rPr>
            </w:pPr>
            <w:r>
              <w:rPr>
                <w:rFonts w:ascii="Arial" w:cs="Arial" w:eastAsia="Arial" w:hAnsi="Arial"/>
                <w:sz w:val="14"/>
                <w:szCs w:val="14"/>
                <w:b w:val="1"/>
                <w:bCs w:val="1"/>
                <w:color w:val="auto"/>
                <w:w w:val="93"/>
              </w:rPr>
              <w:t>Recognized in OCI</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740" w:type="dxa"/>
            <w:vAlign w:val="bottom"/>
            <w:gridSpan w:val="4"/>
          </w:tcPr>
          <w:p>
            <w:pPr>
              <w:jc w:val="center"/>
              <w:ind w:right="423"/>
              <w:spacing w:after="0" w:line="149" w:lineRule="exact"/>
              <w:rPr>
                <w:sz w:val="20"/>
                <w:szCs w:val="20"/>
                <w:color w:val="auto"/>
              </w:rPr>
            </w:pPr>
            <w:r>
              <w:rPr>
                <w:rFonts w:ascii="Arial" w:cs="Arial" w:eastAsia="Arial" w:hAnsi="Arial"/>
                <w:sz w:val="14"/>
                <w:szCs w:val="14"/>
                <w:b w:val="1"/>
                <w:bCs w:val="1"/>
                <w:color w:val="auto"/>
                <w:w w:val="95"/>
              </w:rPr>
              <w:t>Accumulated OCI</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460" w:type="dxa"/>
            <w:vAlign w:val="bottom"/>
            <w:gridSpan w:val="3"/>
          </w:tcPr>
          <w:p>
            <w:pPr>
              <w:jc w:val="center"/>
              <w:ind w:right="48"/>
              <w:spacing w:after="0" w:line="149" w:lineRule="exact"/>
              <w:rPr>
                <w:sz w:val="20"/>
                <w:szCs w:val="20"/>
                <w:color w:val="auto"/>
              </w:rPr>
            </w:pPr>
            <w:r>
              <w:rPr>
                <w:rFonts w:ascii="Arial" w:cs="Arial" w:eastAsia="Arial" w:hAnsi="Arial"/>
                <w:sz w:val="14"/>
                <w:szCs w:val="14"/>
                <w:b w:val="1"/>
                <w:bCs w:val="1"/>
                <w:color w:val="auto"/>
                <w:w w:val="90"/>
              </w:rPr>
              <w:t>Recognized in Income</w:t>
            </w:r>
          </w:p>
        </w:tc>
        <w:tc>
          <w:tcPr>
            <w:tcW w:w="50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92"/>
        </w:trPr>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left="46"/>
              <w:spacing w:after="0"/>
              <w:rPr>
                <w:sz w:val="20"/>
                <w:szCs w:val="20"/>
                <w:color w:val="auto"/>
              </w:rPr>
            </w:pPr>
            <w:r>
              <w:rPr>
                <w:rFonts w:ascii="Arial" w:cs="Arial" w:eastAsia="Arial" w:hAnsi="Arial"/>
                <w:sz w:val="14"/>
                <w:szCs w:val="14"/>
                <w:b w:val="1"/>
                <w:bCs w:val="1"/>
                <w:color w:val="auto"/>
                <w:w w:val="94"/>
              </w:rPr>
              <w:t>(Effective Portion)</w:t>
            </w:r>
          </w:p>
        </w:tc>
        <w:tc>
          <w:tcPr>
            <w:tcW w:w="3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4"/>
          </w:tcPr>
          <w:p>
            <w:pPr>
              <w:jc w:val="center"/>
              <w:ind w:right="403"/>
              <w:spacing w:after="0"/>
              <w:rPr>
                <w:sz w:val="20"/>
                <w:szCs w:val="20"/>
                <w:color w:val="auto"/>
              </w:rPr>
            </w:pPr>
            <w:r>
              <w:rPr>
                <w:rFonts w:ascii="Arial" w:cs="Arial" w:eastAsia="Arial" w:hAnsi="Arial"/>
                <w:sz w:val="14"/>
                <w:szCs w:val="14"/>
                <w:b w:val="1"/>
                <w:bCs w:val="1"/>
                <w:color w:val="auto"/>
                <w:w w:val="94"/>
              </w:rPr>
              <w:t>(Effective Portion)</w:t>
            </w:r>
          </w:p>
        </w:tc>
        <w:tc>
          <w:tcPr>
            <w:tcW w:w="7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center"/>
              <w:ind w:right="68"/>
              <w:spacing w:after="0"/>
              <w:rPr>
                <w:sz w:val="20"/>
                <w:szCs w:val="20"/>
                <w:color w:val="auto"/>
              </w:rPr>
            </w:pPr>
            <w:r>
              <w:rPr>
                <w:rFonts w:ascii="Arial" w:cs="Arial" w:eastAsia="Arial" w:hAnsi="Arial"/>
                <w:sz w:val="14"/>
                <w:szCs w:val="14"/>
                <w:b w:val="1"/>
                <w:bCs w:val="1"/>
                <w:color w:val="auto"/>
                <w:w w:val="94"/>
              </w:rPr>
              <w:t>(Ineffective Portion)</w:t>
            </w:r>
          </w:p>
        </w:tc>
        <w:tc>
          <w:tcPr>
            <w:tcW w:w="5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r>
      <w:tr>
        <w:trPr>
          <w:trHeight w:val="264"/>
        </w:trPr>
        <w:tc>
          <w:tcPr>
            <w:tcW w:w="16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46"/>
              <w:spacing w:after="0"/>
              <w:rPr>
                <w:sz w:val="20"/>
                <w:szCs w:val="20"/>
                <w:color w:val="auto"/>
              </w:rPr>
            </w:pPr>
            <w:r>
              <w:rPr>
                <w:rFonts w:ascii="Arial" w:cs="Arial" w:eastAsia="Arial" w:hAnsi="Arial"/>
                <w:sz w:val="14"/>
                <w:szCs w:val="14"/>
                <w:b w:val="1"/>
                <w:bCs w:val="1"/>
                <w:color w:val="auto"/>
              </w:rPr>
              <w:t>2013</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3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ind w:left="580"/>
              <w:spacing w:after="0"/>
              <w:rPr>
                <w:sz w:val="20"/>
                <w:szCs w:val="20"/>
                <w:color w:val="auto"/>
              </w:rPr>
            </w:pPr>
            <w:r>
              <w:rPr>
                <w:rFonts w:ascii="Arial" w:cs="Arial" w:eastAsia="Arial" w:hAnsi="Arial"/>
                <w:sz w:val="14"/>
                <w:szCs w:val="14"/>
                <w:b w:val="1"/>
                <w:bCs w:val="1"/>
                <w:color w:val="auto"/>
              </w:rPr>
              <w:t>Location</w:t>
            </w: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23"/>
              <w:spacing w:after="0"/>
              <w:rPr>
                <w:sz w:val="20"/>
                <w:szCs w:val="20"/>
                <w:color w:val="auto"/>
              </w:rPr>
            </w:pPr>
            <w:r>
              <w:rPr>
                <w:rFonts w:ascii="Arial" w:cs="Arial" w:eastAsia="Arial" w:hAnsi="Arial"/>
                <w:sz w:val="14"/>
                <w:szCs w:val="14"/>
                <w:b w:val="1"/>
                <w:bCs w:val="1"/>
                <w:color w:val="auto"/>
              </w:rPr>
              <w:t>2013</w:t>
            </w:r>
          </w:p>
        </w:tc>
        <w:tc>
          <w:tcPr>
            <w:tcW w:w="700" w:type="dxa"/>
            <w:vAlign w:val="bottom"/>
            <w:tcBorders>
              <w:bottom w:val="single" w:sz="8" w:color="auto"/>
            </w:tcBorders>
          </w:tcPr>
          <w:p>
            <w:pPr>
              <w:jc w:val="right"/>
              <w:ind w:right="223"/>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22"/>
                <w:szCs w:val="22"/>
                <w:color w:val="auto"/>
              </w:rPr>
            </w:pPr>
          </w:p>
        </w:tc>
        <w:tc>
          <w:tcPr>
            <w:tcW w:w="1300" w:type="dxa"/>
            <w:vAlign w:val="bottom"/>
            <w:tcBorders>
              <w:bottom w:val="single" w:sz="8" w:color="auto"/>
            </w:tcBorders>
          </w:tcPr>
          <w:p>
            <w:pPr>
              <w:ind w:left="760"/>
              <w:spacing w:after="0"/>
              <w:rPr>
                <w:sz w:val="20"/>
                <w:szCs w:val="20"/>
                <w:color w:val="auto"/>
              </w:rPr>
            </w:pPr>
            <w:r>
              <w:rPr>
                <w:rFonts w:ascii="Arial" w:cs="Arial" w:eastAsia="Arial" w:hAnsi="Arial"/>
                <w:sz w:val="14"/>
                <w:szCs w:val="14"/>
                <w:b w:val="1"/>
                <w:bCs w:val="1"/>
                <w:color w:val="auto"/>
                <w:w w:val="89"/>
              </w:rPr>
              <w:t>Location</w:t>
            </w:r>
          </w:p>
        </w:tc>
        <w:tc>
          <w:tcPr>
            <w:tcW w:w="7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5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23"/>
              <w:spacing w:after="0"/>
              <w:rPr>
                <w:sz w:val="20"/>
                <w:szCs w:val="20"/>
                <w:color w:val="auto"/>
              </w:rPr>
            </w:pPr>
            <w:r>
              <w:rPr>
                <w:rFonts w:ascii="Arial" w:cs="Arial" w:eastAsia="Arial" w:hAnsi="Arial"/>
                <w:sz w:val="14"/>
                <w:szCs w:val="14"/>
                <w:b w:val="1"/>
                <w:bCs w:val="1"/>
                <w:color w:val="auto"/>
              </w:rPr>
              <w:t>2012</w:t>
            </w:r>
          </w:p>
        </w:tc>
      </w:tr>
      <w:tr>
        <w:trPr>
          <w:trHeight w:val="219"/>
        </w:trPr>
        <w:tc>
          <w:tcPr>
            <w:tcW w:w="1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ind w:left="20"/>
              <w:spacing w:after="0"/>
              <w:rPr>
                <w:sz w:val="20"/>
                <w:szCs w:val="20"/>
                <w:color w:val="auto"/>
              </w:rPr>
            </w:pPr>
            <w:r>
              <w:rPr>
                <w:rFonts w:ascii="Arial" w:cs="Arial" w:eastAsia="Arial" w:hAnsi="Arial"/>
                <w:sz w:val="16"/>
                <w:szCs w:val="16"/>
                <w:color w:val="auto"/>
                <w:w w:val="92"/>
              </w:rPr>
              <w:t>Interest and other</w:t>
            </w: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760" w:type="dxa"/>
            <w:vAlign w:val="bottom"/>
            <w:gridSpan w:val="4"/>
            <w:shd w:val="clear" w:color="auto" w:fill="CCEEFF"/>
          </w:tcPr>
          <w:p>
            <w:pPr>
              <w:ind w:left="20"/>
              <w:spacing w:after="0"/>
              <w:rPr>
                <w:sz w:val="20"/>
                <w:szCs w:val="20"/>
                <w:color w:val="auto"/>
              </w:rPr>
            </w:pPr>
            <w:r>
              <w:rPr>
                <w:rFonts w:ascii="Arial" w:cs="Arial" w:eastAsia="Arial" w:hAnsi="Arial"/>
                <w:sz w:val="16"/>
                <w:szCs w:val="16"/>
                <w:color w:val="auto"/>
              </w:rPr>
              <w:t>Gains (losses) on derivative</w:t>
            </w:r>
          </w:p>
        </w:tc>
        <w:tc>
          <w:tcPr>
            <w:tcW w:w="5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06"/>
        </w:trPr>
        <w:tc>
          <w:tcPr>
            <w:tcW w:w="17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Interest rate contracts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ind w:right="146"/>
              <w:spacing w:after="0"/>
              <w:rPr>
                <w:sz w:val="20"/>
                <w:szCs w:val="20"/>
                <w:color w:val="auto"/>
              </w:rPr>
            </w:pPr>
            <w:r>
              <w:rPr>
                <w:rFonts w:ascii="Arial" w:cs="Arial" w:eastAsia="Arial" w:hAnsi="Arial"/>
                <w:sz w:val="16"/>
                <w:szCs w:val="16"/>
                <w:color w:val="auto"/>
              </w:rPr>
              <w:t>25.0</w:t>
            </w:r>
          </w:p>
        </w:tc>
        <w:tc>
          <w:tcPr>
            <w:tcW w:w="540" w:type="dxa"/>
            <w:vAlign w:val="bottom"/>
            <w:shd w:val="clear" w:color="auto" w:fill="CCEEFF"/>
          </w:tcPr>
          <w:p>
            <w:pPr>
              <w:spacing w:after="0"/>
              <w:rPr>
                <w:sz w:val="17"/>
                <w:szCs w:val="17"/>
                <w:color w:val="auto"/>
              </w:rPr>
            </w:pPr>
          </w:p>
        </w:tc>
        <w:tc>
          <w:tcPr>
            <w:tcW w:w="4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borrowing costs</w:t>
            </w: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183"/>
              <w:spacing w:after="0"/>
              <w:rPr>
                <w:sz w:val="20"/>
                <w:szCs w:val="20"/>
                <w:color w:val="auto"/>
              </w:rPr>
            </w:pPr>
            <w:r>
              <w:rPr>
                <w:rFonts w:ascii="Arial" w:cs="Arial" w:eastAsia="Arial" w:hAnsi="Arial"/>
                <w:sz w:val="16"/>
                <w:szCs w:val="16"/>
                <w:color w:val="auto"/>
              </w:rPr>
              <w:t>(0.7)</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investments</w:t>
            </w:r>
          </w:p>
        </w:tc>
        <w:tc>
          <w:tcPr>
            <w:tcW w:w="1460" w:type="dxa"/>
            <w:vAlign w:val="bottom"/>
            <w:gridSpan w:val="3"/>
            <w:shd w:val="clear" w:color="auto" w:fill="CCEEFF"/>
          </w:tcPr>
          <w:p>
            <w:pPr>
              <w:jc w:val="right"/>
              <w:ind w:right="428"/>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  $</w:t>
            </w:r>
          </w:p>
        </w:tc>
        <w:tc>
          <w:tcPr>
            <w:tcW w:w="68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w:t>
            </w:r>
          </w:p>
        </w:tc>
      </w:tr>
      <w:tr>
        <w:trPr>
          <w:trHeight w:val="33"/>
        </w:trPr>
        <w:tc>
          <w:tcPr>
            <w:tcW w:w="1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r>
    </w:tbl>
    <w:p>
      <w:pPr>
        <w:spacing w:after="0" w:line="242" w:lineRule="exact"/>
        <w:rPr>
          <w:sz w:val="20"/>
          <w:szCs w:val="20"/>
          <w:color w:val="auto"/>
        </w:rPr>
      </w:pPr>
    </w:p>
    <w:p>
      <w:pPr>
        <w:jc w:val="both"/>
        <w:ind w:right="120"/>
        <w:spacing w:after="0" w:line="324" w:lineRule="auto"/>
        <w:rPr>
          <w:sz w:val="20"/>
          <w:szCs w:val="20"/>
          <w:color w:val="auto"/>
        </w:rPr>
      </w:pPr>
      <w:r>
        <w:rPr>
          <w:rFonts w:ascii="Arial" w:cs="Arial" w:eastAsia="Arial" w:hAnsi="Arial"/>
          <w:sz w:val="18"/>
          <w:szCs w:val="18"/>
          <w:color w:val="auto"/>
        </w:rPr>
        <w:t>At March 31, 2013, the company expects to reclassify $2.9 million of losses on derivative instruments from accumulated other comprehensive income to net income as additional interest expense during the next twelve months.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Contingencies</w:t>
      </w:r>
    </w:p>
    <w:p>
      <w:pPr>
        <w:spacing w:after="0" w:line="229"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i w:val="1"/>
          <w:iCs w:val="1"/>
          <w:color w:val="auto"/>
        </w:rPr>
        <w:t xml:space="preserve">Legal and Regulatory Matters. </w:t>
      </w:r>
      <w:r>
        <w:rPr>
          <w:rFonts w:ascii="Arial" w:cs="Arial" w:eastAsia="Arial" w:hAnsi="Arial"/>
          <w:sz w:val="17"/>
          <w:szCs w:val="17"/>
          <w:color w:val="auto"/>
        </w:rPr>
        <w:t>In 2008, Fifth Market, Inc. (Fifth Market) filed a complaint against CME Group and CME seeking a permanent injunction</w:t>
      </w:r>
      <w:r>
        <w:rPr>
          <w:rFonts w:ascii="Arial" w:cs="Arial" w:eastAsia="Arial" w:hAnsi="Arial"/>
          <w:sz w:val="17"/>
          <w:szCs w:val="17"/>
          <w:i w:val="1"/>
          <w:iCs w:val="1"/>
          <w:color w:val="auto"/>
        </w:rPr>
        <w:t xml:space="preserve"> </w:t>
      </w:r>
      <w:r>
        <w:rPr>
          <w:rFonts w:ascii="Arial" w:cs="Arial" w:eastAsia="Arial" w:hAnsi="Arial"/>
          <w:sz w:val="17"/>
          <w:szCs w:val="17"/>
          <w:color w:val="auto"/>
        </w:rPr>
        <w:t>against CME's Globex system and unquantified enhanced damages for what the plaintiff alleges is willful infringement of two U.S. patents, in addition to costs, expenses and attorneys' fees. Beginning in March 2012, the case was stayed pending the outcome of reexamination by the U.S. Patent and Trademark Office (USPTO) to determine the validity of the patents at issue. Based on its investigation to date and advice from legal counsel, the company believes this suit is without merit and intends to defend itself vigorously against these charges.</w:t>
      </w:r>
    </w:p>
    <w:p>
      <w:pPr>
        <w:spacing w:after="0" w:line="17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2009, CME and CBOT filed a complaint against Howard Garber seeking a declaratory judgment that neither CME nor CBOT infringed the Garber patent and that the patent is invalid and unenforceable. Beginning in June 2011, the case was stayed pending the outcome of the reexamination by the USPTO to determine the validity of the patent at issue. Based on its investigation to date and advice from legal counsel, the company believes this suit is without merit and intends to defend itself vigorously against these charges.</w:t>
      </w:r>
    </w:p>
    <w:p>
      <w:pPr>
        <w:spacing w:after="0" w:line="187"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In 2009, Realtime Data LLC (Realtime) filed a complaint against CME Group and other exchanges alleging willful infringement of four patents which was later amended to add CBOT and NYMEX as defendants. Subsequently, two additional lawsuits have been filed each adding a claim for the infringement of an additional patent. Both of these lawsuits have been consolidated with the original action. Realtime is seeking a permanent injunction, enhanced damages, attorneys' fees and costs. The court entered judgment in CME's favor in September 2012 based on invalidity and non-infringement. Realtime Data filed its appeal brief in March 2013. The USPTO is conducting a parallel review of the patents at issue. Based on its investigation to date and advice from legal counsel, the company believes this suit is without merit and intends to defend itself vigorously against these charges.</w:t>
      </w:r>
    </w:p>
    <w:p>
      <w:pPr>
        <w:spacing w:after="0" w:line="165"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The foregoing legal matters involve alleged infringements of intellectual property, which due to their nature involve potential liability that is uncertain, difficult to quantify and involve a wide range of potential outcomes. The company believes that the matters are without merit and intends to defend itself vigorously against the claims. The USPTO's determination of validity of the patents in the Fifth Market, Garber and Realtime matters may have an impact on the merits of the cases. The timing of the USPTO's decisions are uncertain and will be subject to further appeal.</w:t>
      </w:r>
    </w:p>
    <w:p>
      <w:pPr>
        <w:spacing w:after="0" w:line="17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 number of lawsuits were filed in federal court in New York on behalf of all commodity account holders or customers of MF Global who had not received a return of 100% of their funds. These matters have been consolidated into a single action in federal court in New York, and a consolidated amended class action complaint was filed on November 5, 2012. The class action complaint alleges that CME violated the Commodity Exchange Act (CEA), aided and abetted violations of the CEA by other defendants, and aided and abetted a breach of fiduciary duty by certain officers and directors of MF Global. The class complaint also alleges that CME Group aided and abetted CME's violation of the CEA. The complaint does not allege the amount of damages sought, but rather seeks compensatory and exemplary damages to be determined at trial. Based on the initial analysis of the class complaint, the company believes that it has strong legal and factual defenses to the claims. In addition to the class complaint, the company is aware of two plaintiffs who intend to pursue their claims individually. Given</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692" w:right="2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that these matters are in the very early stage, at this time the company is unable to estimate the reasonably possible loss or range of reasonably possible loss in the unlikely event it was found to be liable in these matters.</w:t>
      </w:r>
    </w:p>
    <w:p>
      <w:pPr>
        <w:spacing w:after="0" w:line="170"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In February 2013, the CFTC filed suit against NYMEX and two former employees alleging disclosure of confidential customer information in violation of the CEA. Based on the initial review of the complaint, the company believes that it has strong factual and legal defenses to the claim.</w:t>
      </w:r>
    </w:p>
    <w:p>
      <w:pPr>
        <w:spacing w:after="0" w:line="147"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In the normal course of business, the company discusses matters with its regulators raised during regulatory examinations or otherwise subject to their inquiry and oversight. These matters could result in censures, fines, penalties or other sanctions. Management believes the outcome of any resulting actions will not have a material impact on its consolidated financial position or results of operations. However, the company is unable to predict the outcome or the timing of the ultimate resolution of these matters, or the potential fines, penalties or injunctive or other equitable relief, if any, that may result from these matters.</w:t>
      </w:r>
    </w:p>
    <w:p>
      <w:pPr>
        <w:spacing w:after="0" w:line="127"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In addition, the company is a defendant in, and has potential for, various other legal proceedings arising from its regular business activities. While the ultimate results of such proceedings against the company cannot be predicted with certainty, the company believes that the resolution of any of these matters on an individual basis will not have a material impact on its consolidated financial position or results of operations.</w:t>
      </w:r>
    </w:p>
    <w:p>
      <w:pPr>
        <w:spacing w:after="0" w:line="1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At March 31, 2013 and December 31, 2012, the company had accrued $14.2 million and $13.2 million, respectively, for legal and regulatory matters that were probable and estimable.</w:t>
      </w:r>
    </w:p>
    <w:p>
      <w:pPr>
        <w:spacing w:after="0" w:line="143" w:lineRule="exact"/>
        <w:rPr>
          <w:sz w:val="20"/>
          <w:szCs w:val="20"/>
          <w:color w:val="auto"/>
        </w:rPr>
      </w:pPr>
    </w:p>
    <w:p>
      <w:pPr>
        <w:ind w:right="240"/>
        <w:spacing w:after="0" w:line="302" w:lineRule="auto"/>
        <w:rPr>
          <w:sz w:val="20"/>
          <w:szCs w:val="20"/>
          <w:color w:val="auto"/>
        </w:rPr>
      </w:pPr>
      <w:r>
        <w:rPr>
          <w:rFonts w:ascii="Arial" w:cs="Arial" w:eastAsia="Arial" w:hAnsi="Arial"/>
          <w:sz w:val="16"/>
          <w:szCs w:val="16"/>
          <w:i w:val="1"/>
          <w:iCs w:val="1"/>
          <w:color w:val="auto"/>
        </w:rPr>
        <w:t xml:space="preserve">Intellectual Property Indemnifications. </w:t>
      </w:r>
      <w:r>
        <w:rPr>
          <w:rFonts w:ascii="Arial" w:cs="Arial" w:eastAsia="Arial" w:hAnsi="Arial"/>
          <w:sz w:val="16"/>
          <w:szCs w:val="16"/>
          <w:color w:val="auto"/>
        </w:rPr>
        <w:t>Certain agreements with customers and other third parties related to accessing the CME platforms; utilizing market</w:t>
      </w:r>
      <w:r>
        <w:rPr>
          <w:rFonts w:ascii="Arial" w:cs="Arial" w:eastAsia="Arial" w:hAnsi="Arial"/>
          <w:sz w:val="16"/>
          <w:szCs w:val="16"/>
          <w:i w:val="1"/>
          <w:iCs w:val="1"/>
          <w:color w:val="auto"/>
        </w:rPr>
        <w:t xml:space="preserve"> </w:t>
      </w:r>
      <w:r>
        <w:rPr>
          <w:rFonts w:ascii="Arial" w:cs="Arial" w:eastAsia="Arial" w:hAnsi="Arial"/>
          <w:sz w:val="16"/>
          <w:szCs w:val="16"/>
          <w:color w:val="auto"/>
        </w:rPr>
        <w:t>data services; licensing CME SPAN software; and calculating indexes as a service provider and licensing indexes as the basis of financial products may contain indemnifications from intellectual property claims that may be made against them as a result of their use of the applicable products and/or services. The potential future claims relating to these indemnifications cannot be estimated and, therefore, no liability has been recorded.</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Guarantees</w:t>
      </w:r>
    </w:p>
    <w:p>
      <w:pPr>
        <w:spacing w:after="0" w:line="229"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i w:val="1"/>
          <w:iCs w:val="1"/>
          <w:color w:val="auto"/>
        </w:rPr>
        <w:t xml:space="preserve">Clearing House Contract Settlement. </w:t>
      </w:r>
      <w:r>
        <w:rPr>
          <w:rFonts w:ascii="Arial" w:cs="Arial" w:eastAsia="Arial" w:hAnsi="Arial"/>
          <w:sz w:val="16"/>
          <w:szCs w:val="16"/>
          <w:color w:val="auto"/>
        </w:rPr>
        <w:t>CME and CME Clearing Europe Limited (CMECE) mark-to-market open positions for most products at least twice a</w:t>
      </w:r>
      <w:r>
        <w:rPr>
          <w:rFonts w:ascii="Arial" w:cs="Arial" w:eastAsia="Arial" w:hAnsi="Arial"/>
          <w:sz w:val="16"/>
          <w:szCs w:val="16"/>
          <w:i w:val="1"/>
          <w:iCs w:val="1"/>
          <w:color w:val="auto"/>
        </w:rPr>
        <w:t xml:space="preserve"> </w:t>
      </w:r>
      <w:r>
        <w:rPr>
          <w:rFonts w:ascii="Arial" w:cs="Arial" w:eastAsia="Arial" w:hAnsi="Arial"/>
          <w:sz w:val="16"/>
          <w:szCs w:val="16"/>
          <w:color w:val="auto"/>
        </w:rPr>
        <w:t>day. Based on values derived from the mark-to-market process, CME and CMECE require payment from clearing firms whose positions have lost value and make payments to clearing firms whose positions have gained value. For select cleared-only markets, positions are marked-to-market once daily, with the capability to mark-to-market more frequently as market conditions warrant. Under the extremely unlikely scenario of simultaneous default by every clearing firm who has open positions with unrealized losses, the maximum exposure related to CME's and CMECE’s guarantee would be one half day of changes in fair value of all open positions, before considering CME's and CMECE’s ability to access defaulting clearing firms’ performance bond and guaranty fund balances as well as other available resources. During the first quarter of 2013, CME and CMECE transferred an average of approximately $2.0 billion a day through their clearing systems for settlement from clearing firms whose positions had lost value to clearing firms whose positions had gained value. CME and CMECE reduce the guarantee exposure through initial and maintenance performance bond requirements and mandatory guaranty fund contributions. The company believes that its guarantee liability is immaterial and therefore has not recorded any liability at March 31, 2013.</w:t>
      </w:r>
    </w:p>
    <w:p>
      <w:pPr>
        <w:spacing w:after="0" w:line="16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 xml:space="preserve">Mutual Offset Agreement. </w:t>
      </w:r>
      <w:r>
        <w:rPr>
          <w:rFonts w:ascii="Arial" w:cs="Arial" w:eastAsia="Arial" w:hAnsi="Arial"/>
          <w:sz w:val="18"/>
          <w:szCs w:val="18"/>
          <w:color w:val="auto"/>
        </w:rPr>
        <w:t>CME and Singapore Exchange Limited (SGX) have a mutual offset agreement with a current term through October 2013. The term</w:t>
      </w:r>
      <w:r>
        <w:rPr>
          <w:rFonts w:ascii="Arial" w:cs="Arial" w:eastAsia="Arial" w:hAnsi="Arial"/>
          <w:sz w:val="18"/>
          <w:szCs w:val="18"/>
          <w:i w:val="1"/>
          <w:iCs w:val="1"/>
          <w:color w:val="auto"/>
        </w:rPr>
        <w:t xml:space="preserve"> </w:t>
      </w:r>
      <w:r>
        <w:rPr>
          <w:rFonts w:ascii="Arial" w:cs="Arial" w:eastAsia="Arial" w:hAnsi="Arial"/>
          <w:sz w:val="18"/>
          <w:szCs w:val="18"/>
          <w:color w:val="auto"/>
        </w:rPr>
        <w:t>of the agreement will automatically renew for a one-year period unless either party provides advance notice of their intent to terminate. CME can maintain collateral in the form of U.S. Treasury securities or irrevocable letters of credit. At March 31, 2013, CME was contingently liable to SGX on irrevocable letters of credit totaling $231.0 million. Regardless of the collateral, CME guarantees all cleared transactions submitted through SGX and would initiate procedures designed to satisfy these financial obligations in the event of a default, such as the use of performance bonds and guaranty fund contributions of the defaulting clearing firm.</w:t>
      </w:r>
    </w:p>
    <w:p>
      <w:pPr>
        <w:spacing w:after="0" w:line="19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i w:val="1"/>
          <w:iCs w:val="1"/>
          <w:color w:val="auto"/>
        </w:rPr>
        <w:t xml:space="preserve">Cross-Margin Agreements. </w:t>
      </w:r>
      <w:r>
        <w:rPr>
          <w:rFonts w:ascii="Arial" w:cs="Arial" w:eastAsia="Arial" w:hAnsi="Arial"/>
          <w:sz w:val="18"/>
          <w:szCs w:val="18"/>
          <w:color w:val="auto"/>
        </w:rPr>
        <w:t>CME and The Options Clearing Corporation (OCC) have a cross-margin arrangement, whereby a common clearing firm may</w:t>
      </w:r>
      <w:r>
        <w:rPr>
          <w:rFonts w:ascii="Arial" w:cs="Arial" w:eastAsia="Arial" w:hAnsi="Arial"/>
          <w:sz w:val="18"/>
          <w:szCs w:val="18"/>
          <w:i w:val="1"/>
          <w:iCs w:val="1"/>
          <w:color w:val="auto"/>
        </w:rPr>
        <w:t xml:space="preserve"> </w:t>
      </w:r>
      <w:r>
        <w:rPr>
          <w:rFonts w:ascii="Arial" w:cs="Arial" w:eastAsia="Arial" w:hAnsi="Arial"/>
          <w:sz w:val="18"/>
          <w:szCs w:val="18"/>
          <w:color w:val="auto"/>
        </w:rPr>
        <w:t>maintain a cross-margin account in which the clearing firm's positions in certain CME futures and options on futures contracts are combined with certain positions cleared by OCC for purposes of calculating performance bond requirements. The performance bond deposits are held jointly by CME and OCC. If a participating firm defaults, the gain or loss on the liquidation of the firm's open position and the proceeds from the liquidation of the cross-margin account would be allocated 50% each to CME and OCC.</w:t>
      </w:r>
    </w:p>
    <w:p>
      <w:pPr>
        <w:spacing w:after="0" w:line="18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 cross-margin agreement exists with CME and Fixed Income Clearing Corp (FICC) whereby the clearing firms' offsetting positions with CME are subject to reduced margin requirements. Clearing firms maintain separate performance bond deposits with each clearing house, but depending on the net offsetting positions between CME and FICC, each clearing house may reduce the firm's performance bond requirement. In the event of a firm default, the total liquidation net gain or loss on the firm's offsetting open positions and the proceeds from the liquidation of the performance bond collateral held by each clearing</w:t>
      </w: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house's supporting offsetting positions would be divided evenly between CME and FICC. Additionally, if, after liquidation of all the positions and collateral of the defaulting firm at each respective clearing organization, and taking into account any cross-margining loss sharing payments, any of the participating clearing organizations has a remaining liquidating surplus, and any other participating clearing organization has a remaining liquidating deficit, any additional surplus from the liquidation would be shared with the other clearing house to the extent that it has a remaining liquidating deficit. Any remaining surplus funds would be passed to the bankruptcy trustee.</w:t>
      </w:r>
    </w:p>
    <w:p>
      <w:pPr>
        <w:spacing w:after="0" w:line="188"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i w:val="1"/>
          <w:iCs w:val="1"/>
          <w:color w:val="auto"/>
        </w:rPr>
        <w:t xml:space="preserve">Family Farmer and Rancher Protection Fund. </w:t>
      </w:r>
      <w:r>
        <w:rPr>
          <w:rFonts w:ascii="Arial" w:cs="Arial" w:eastAsia="Arial" w:hAnsi="Arial"/>
          <w:sz w:val="16"/>
          <w:szCs w:val="16"/>
          <w:color w:val="auto"/>
        </w:rPr>
        <w:t>In April 2012, the company established the Family Farmer and Rancher Protection Fund (the Fund). The Fund</w:t>
      </w:r>
      <w:r>
        <w:rPr>
          <w:rFonts w:ascii="Arial" w:cs="Arial" w:eastAsia="Arial" w:hAnsi="Arial"/>
          <w:sz w:val="16"/>
          <w:szCs w:val="16"/>
          <w:i w:val="1"/>
          <w:iCs w:val="1"/>
          <w:color w:val="auto"/>
        </w:rPr>
        <w:t xml:space="preserve"> </w:t>
      </w:r>
      <w:r>
        <w:rPr>
          <w:rFonts w:ascii="Arial" w:cs="Arial" w:eastAsia="Arial" w:hAnsi="Arial"/>
          <w:sz w:val="16"/>
          <w:szCs w:val="16"/>
          <w:color w:val="auto"/>
        </w:rPr>
        <w:t>is designed to provide payments, up to certain maximum levels, to family farmers, ranchers and other agricultural industry participants who use CME Group agricultural products and who suffer losses to their segregated account balances due to their CME clearing member becoming insolvent. Under the terms of the Fund, farmers and ranchers are eligible for up to $25,000 per participant. Farming and ranching cooperatives are eligible for up to $100,000 per cooperative. The Fund has an aggregate maximum payment amount of $100.0 million. If payments to participants were to exceed this amount, payments would be pro-rated. Clearing members and customers must register in advance with the company and provide certain documentation in order to substantiate their eligibility. The company believes that its guarantee liability is immaterial and therefore has not recorded any liability at March 31, 2013.</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Accumulated Other Comprehensive Income</w:t>
      </w:r>
    </w:p>
    <w:p>
      <w:pPr>
        <w:spacing w:after="0" w:line="229" w:lineRule="exact"/>
        <w:rPr>
          <w:sz w:val="20"/>
          <w:szCs w:val="20"/>
          <w:color w:val="auto"/>
        </w:rPr>
      </w:pPr>
    </w:p>
    <w:p>
      <w:pPr>
        <w:ind w:right="620"/>
        <w:spacing w:after="0" w:line="342" w:lineRule="auto"/>
        <w:rPr>
          <w:sz w:val="20"/>
          <w:szCs w:val="20"/>
          <w:color w:val="auto"/>
        </w:rPr>
      </w:pPr>
      <w:r>
        <w:rPr>
          <w:rFonts w:ascii="Arial" w:cs="Arial" w:eastAsia="Arial" w:hAnsi="Arial"/>
          <w:sz w:val="16"/>
          <w:szCs w:val="16"/>
          <w:color w:val="auto"/>
        </w:rPr>
        <w:t>The following tables present changes in the accumulated balances for each component of other comprehensive income, including current period other comprehensive income and reclassifications out of accumulated other comprehensive income, net of tax and after non-controlling interests: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5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Investment Securities</w:t>
            </w:r>
          </w:p>
        </w:tc>
        <w:tc>
          <w:tcPr>
            <w:tcW w:w="160" w:type="dxa"/>
            <w:vAlign w:val="bottom"/>
          </w:tcPr>
          <w:p>
            <w:pPr>
              <w:spacing w:after="0"/>
              <w:rPr>
                <w:sz w:val="14"/>
                <w:szCs w:val="1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Defined Benefit</w:t>
            </w:r>
          </w:p>
        </w:tc>
        <w:tc>
          <w:tcPr>
            <w:tcW w:w="200" w:type="dxa"/>
            <w:vAlign w:val="bottom"/>
          </w:tcPr>
          <w:p>
            <w:pPr>
              <w:spacing w:after="0"/>
              <w:rPr>
                <w:sz w:val="14"/>
                <w:szCs w:val="14"/>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Derivative</w:t>
            </w:r>
          </w:p>
        </w:tc>
        <w:tc>
          <w:tcPr>
            <w:tcW w:w="120" w:type="dxa"/>
            <w:vAlign w:val="bottom"/>
          </w:tcPr>
          <w:p>
            <w:pPr>
              <w:spacing w:after="0"/>
              <w:rPr>
                <w:sz w:val="14"/>
                <w:szCs w:val="14"/>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Foreign Currency</w:t>
            </w:r>
          </w:p>
        </w:tc>
        <w:tc>
          <w:tcPr>
            <w:tcW w:w="320" w:type="dxa"/>
            <w:vAlign w:val="bottom"/>
          </w:tcPr>
          <w:p>
            <w:pPr>
              <w:spacing w:after="0"/>
              <w:rPr>
                <w:sz w:val="14"/>
                <w:szCs w:val="14"/>
                <w:color w:val="auto"/>
              </w:rPr>
            </w:pPr>
          </w:p>
        </w:tc>
        <w:tc>
          <w:tcPr>
            <w:tcW w:w="104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1520" w:type="dxa"/>
            <w:vAlign w:val="bottom"/>
            <w:tcBorders>
              <w:bottom w:val="single" w:sz="8" w:color="auto"/>
            </w:tcBorders>
            <w:gridSpan w:val="3"/>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5"/>
              </w:rPr>
              <w:t>Plans</w:t>
            </w: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2"/>
              </w:rPr>
              <w:t>Instruments</w:t>
            </w: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2"/>
              </w:rPr>
              <w:t>Translation</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Balance at December 31, 2012</w:t>
            </w:r>
          </w:p>
        </w:tc>
        <w:tc>
          <w:tcPr>
            <w:tcW w:w="500" w:type="dxa"/>
            <w:vAlign w:val="bottom"/>
          </w:tcPr>
          <w:p>
            <w:pPr>
              <w:ind w:left="4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256.7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(32.4)</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209.3</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5"/>
              </w:rPr>
              <w:t>Other comprehensive income before reclassifications</w:t>
            </w:r>
          </w:p>
        </w:tc>
        <w:tc>
          <w:tcPr>
            <w:tcW w:w="5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15.9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29"/>
        </w:trPr>
        <w:tc>
          <w:tcPr>
            <w:tcW w:w="4120" w:type="dxa"/>
            <w:vAlign w:val="bottom"/>
          </w:tcPr>
          <w:p>
            <w:pPr>
              <w:ind w:left="40"/>
              <w:spacing w:after="0"/>
              <w:rPr>
                <w:sz w:val="20"/>
                <w:szCs w:val="20"/>
                <w:color w:val="auto"/>
              </w:rPr>
            </w:pPr>
            <w:r>
              <w:rPr>
                <w:rFonts w:ascii="Arial" w:cs="Arial" w:eastAsia="Arial" w:hAnsi="Arial"/>
                <w:sz w:val="18"/>
                <w:szCs w:val="18"/>
                <w:color w:val="auto"/>
              </w:rPr>
              <w:t>Amounts reclassified from accumulated other</w:t>
            </w:r>
          </w:p>
        </w:tc>
        <w:tc>
          <w:tcPr>
            <w:tcW w:w="5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5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35"/>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current-period other comprehensive income</w:t>
            </w:r>
          </w:p>
        </w:tc>
        <w:tc>
          <w:tcPr>
            <w:tcW w:w="5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16.3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57"/>
        </w:trPr>
        <w:tc>
          <w:tcPr>
            <w:tcW w:w="4120" w:type="dxa"/>
            <w:vAlign w:val="bottom"/>
          </w:tcPr>
          <w:p>
            <w:pPr>
              <w:ind w:left="40"/>
              <w:spacing w:after="0"/>
              <w:rPr>
                <w:sz w:val="20"/>
                <w:szCs w:val="20"/>
                <w:color w:val="auto"/>
              </w:rPr>
            </w:pPr>
            <w:r>
              <w:rPr>
                <w:rFonts w:ascii="Arial" w:cs="Arial" w:eastAsia="Arial" w:hAnsi="Arial"/>
                <w:sz w:val="18"/>
                <w:szCs w:val="18"/>
                <w:color w:val="auto"/>
              </w:rPr>
              <w:t>Balance at March 31, 2013</w:t>
            </w:r>
          </w:p>
        </w:tc>
        <w:tc>
          <w:tcPr>
            <w:tcW w:w="5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255.0</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(31.3)</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230.0</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1"/>
        </w:trPr>
        <w:tc>
          <w:tcPr>
            <w:tcW w:w="4120" w:type="dxa"/>
            <w:vAlign w:val="bottom"/>
          </w:tcPr>
          <w:p>
            <w:pPr>
              <w:spacing w:after="0"/>
              <w:rPr>
                <w:sz w:val="24"/>
                <w:szCs w:val="24"/>
                <w:color w:val="auto"/>
              </w:rPr>
            </w:pPr>
          </w:p>
        </w:tc>
        <w:tc>
          <w:tcPr>
            <w:tcW w:w="15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Investment Securities</w:t>
            </w:r>
          </w:p>
        </w:tc>
        <w:tc>
          <w:tcPr>
            <w:tcW w:w="160" w:type="dxa"/>
            <w:vAlign w:val="bottom"/>
          </w:tcPr>
          <w:p>
            <w:pPr>
              <w:spacing w:after="0"/>
              <w:rPr>
                <w:sz w:val="24"/>
                <w:szCs w:val="2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Defined Benefit</w:t>
            </w:r>
          </w:p>
        </w:tc>
        <w:tc>
          <w:tcPr>
            <w:tcW w:w="200" w:type="dxa"/>
            <w:vAlign w:val="bottom"/>
          </w:tcPr>
          <w:p>
            <w:pPr>
              <w:spacing w:after="0"/>
              <w:rPr>
                <w:sz w:val="24"/>
                <w:szCs w:val="24"/>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Derivative</w:t>
            </w:r>
          </w:p>
        </w:tc>
        <w:tc>
          <w:tcPr>
            <w:tcW w:w="120" w:type="dxa"/>
            <w:vAlign w:val="bottom"/>
          </w:tcPr>
          <w:p>
            <w:pPr>
              <w:spacing w:after="0"/>
              <w:rPr>
                <w:sz w:val="24"/>
                <w:szCs w:val="24"/>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Foreign Currency</w:t>
            </w:r>
          </w:p>
        </w:tc>
        <w:tc>
          <w:tcPr>
            <w:tcW w:w="320" w:type="dxa"/>
            <w:vAlign w:val="bottom"/>
          </w:tcPr>
          <w:p>
            <w:pPr>
              <w:spacing w:after="0"/>
              <w:rPr>
                <w:sz w:val="24"/>
                <w:szCs w:val="24"/>
                <w:color w:val="auto"/>
              </w:rPr>
            </w:pPr>
          </w:p>
        </w:tc>
        <w:tc>
          <w:tcPr>
            <w:tcW w:w="104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1520" w:type="dxa"/>
            <w:vAlign w:val="bottom"/>
            <w:tcBorders>
              <w:bottom w:val="single" w:sz="8" w:color="auto"/>
            </w:tcBorders>
            <w:gridSpan w:val="3"/>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5"/>
              </w:rPr>
              <w:t>Plans</w:t>
            </w: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2"/>
              </w:rPr>
              <w:t>Instruments</w:t>
            </w: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2"/>
              </w:rPr>
              <w:t>Translation</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Balance at December 31, 2011</w:t>
            </w:r>
          </w:p>
        </w:tc>
        <w:tc>
          <w:tcPr>
            <w:tcW w:w="500" w:type="dxa"/>
            <w:vAlign w:val="bottom"/>
          </w:tcPr>
          <w:p>
            <w:pPr>
              <w:ind w:left="4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148.4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(26.1)</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111.6</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5"/>
              </w:rPr>
              <w:t>Other comprehensive income before reclassifications</w:t>
            </w:r>
          </w:p>
        </w:tc>
        <w:tc>
          <w:tcPr>
            <w:tcW w:w="5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52.7</w:t>
            </w:r>
          </w:p>
        </w:tc>
        <w:tc>
          <w:tcPr>
            <w:tcW w:w="0" w:type="dxa"/>
            <w:vAlign w:val="bottom"/>
          </w:tcPr>
          <w:p>
            <w:pPr>
              <w:spacing w:after="0"/>
              <w:rPr>
                <w:sz w:val="1"/>
                <w:szCs w:val="1"/>
                <w:color w:val="auto"/>
              </w:rPr>
            </w:pPr>
          </w:p>
        </w:tc>
      </w:tr>
      <w:tr>
        <w:trPr>
          <w:trHeight w:val="229"/>
        </w:trPr>
        <w:tc>
          <w:tcPr>
            <w:tcW w:w="4120" w:type="dxa"/>
            <w:vAlign w:val="bottom"/>
          </w:tcPr>
          <w:p>
            <w:pPr>
              <w:ind w:left="40"/>
              <w:spacing w:after="0"/>
              <w:rPr>
                <w:sz w:val="20"/>
                <w:szCs w:val="20"/>
                <w:color w:val="auto"/>
              </w:rPr>
            </w:pPr>
            <w:r>
              <w:rPr>
                <w:rFonts w:ascii="Arial" w:cs="Arial" w:eastAsia="Arial" w:hAnsi="Arial"/>
                <w:sz w:val="18"/>
                <w:szCs w:val="18"/>
                <w:color w:val="auto"/>
              </w:rPr>
              <w:t>Amounts reclassified from accumulated other</w:t>
            </w:r>
          </w:p>
        </w:tc>
        <w:tc>
          <w:tcPr>
            <w:tcW w:w="5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5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35"/>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current-period other comprehensive income</w:t>
            </w:r>
          </w:p>
        </w:tc>
        <w:tc>
          <w:tcPr>
            <w:tcW w:w="5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53.2</w:t>
            </w:r>
          </w:p>
        </w:tc>
        <w:tc>
          <w:tcPr>
            <w:tcW w:w="0" w:type="dxa"/>
            <w:vAlign w:val="bottom"/>
          </w:tcPr>
          <w:p>
            <w:pPr>
              <w:spacing w:after="0"/>
              <w:rPr>
                <w:sz w:val="1"/>
                <w:szCs w:val="1"/>
                <w:color w:val="auto"/>
              </w:rPr>
            </w:pPr>
          </w:p>
        </w:tc>
      </w:tr>
      <w:tr>
        <w:trPr>
          <w:trHeight w:val="257"/>
        </w:trPr>
        <w:tc>
          <w:tcPr>
            <w:tcW w:w="4120" w:type="dxa"/>
            <w:vAlign w:val="bottom"/>
          </w:tcPr>
          <w:p>
            <w:pPr>
              <w:ind w:left="40"/>
              <w:spacing w:after="0"/>
              <w:rPr>
                <w:sz w:val="20"/>
                <w:szCs w:val="20"/>
                <w:color w:val="auto"/>
              </w:rPr>
            </w:pPr>
            <w:r>
              <w:rPr>
                <w:rFonts w:ascii="Arial" w:cs="Arial" w:eastAsia="Arial" w:hAnsi="Arial"/>
                <w:sz w:val="18"/>
                <w:szCs w:val="18"/>
                <w:color w:val="auto"/>
              </w:rPr>
              <w:t>Balance at March 31, 2012</w:t>
            </w:r>
          </w:p>
        </w:tc>
        <w:tc>
          <w:tcPr>
            <w:tcW w:w="5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199.3</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(25.4)</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164.8</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Fair Value Measurements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 uses a three-level classification hierarchy of fair value measurements for disclosure purposes.</w:t>
      </w:r>
    </w:p>
    <w:p>
      <w:pPr>
        <w:spacing w:after="0" w:line="225" w:lineRule="exact"/>
        <w:rPr>
          <w:sz w:val="20"/>
          <w:szCs w:val="20"/>
          <w:color w:val="auto"/>
        </w:rPr>
      </w:pPr>
    </w:p>
    <w:p>
      <w:pPr>
        <w:ind w:left="660" w:right="4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1 inputs, which are considered the most reliable evidence of fair value, consist of quoted prices (unadjusted) for identical assets or liabilities in active markets.</w:t>
      </w:r>
    </w:p>
    <w:p>
      <w:pPr>
        <w:spacing w:after="0" w:line="170"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2 inputs consist of observable market data, other than level 1 inputs, such as quoted prices for similar assets and liabilities in active markets or inputs other than quoted prices that are directly observable.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Level 3 inputs consist of unobservable inputs which are derived and cannot be corroborated by market data or other entity-specific inputs.</w:t>
      </w:r>
    </w:p>
    <w:p>
      <w:pPr>
        <w:spacing w:after="0" w:line="21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In general, the company uses quoted prices in active markets for identical assets to determine the fair value of marketable securities and equity investments. Level 1 assets generally include U.S. Treasury securities, equity securities listed in active</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3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markets, and investments in publicly traded mutual funds with quoted market prices. If quoted prices are not available to determine fair value, the company uses other inputs that are directly observable.</w:t>
      </w:r>
    </w:p>
    <w:p>
      <w:pPr>
        <w:spacing w:after="0" w:line="11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Assets included in level 2 generally consist of asset-backed securities and interest rate swap contracts. Asset-backed securities were measured at fair value based on matrix pricing using prices of similar securities with similar inputs such as maturity dates, interest rates and credit ratings. The company determined the fair value of its interest rate swap contracts using standard valuation models with market-based observable inputs including forward and spot exchange rates and interest rate curves.</w:t>
      </w:r>
    </w:p>
    <w:p>
      <w:pPr>
        <w:spacing w:after="0" w:line="13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company determined the fair value of its contingent consideration liabilities, considered level 3 liabilities, using a discounted cash flow model to calculate the present value of future payouts. The liabilities were included in level 3 because management used significant unobservable inputs, including a discount rate of 20% and probability of payout ranging from 90% to 100%. Significant increases or decreases in any of those inputs in isolation would result in a significantly higher or lower fair value.</w:t>
      </w:r>
    </w:p>
    <w:p>
      <w:pPr>
        <w:spacing w:after="0" w:line="16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Financial assets and liabilities recorded in the consolidated balance sheet as of March 31, 2013 were classified in their entirety based on the lowest level of input that was significant to each asset or liability's fair value measurement.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Instruments Measured at Fair Value on a Recurring Basis:</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3"/>
          </w:tcPr>
          <w:p>
            <w:pPr>
              <w:jc w:val="right"/>
              <w:ind w:right="514"/>
              <w:spacing w:after="0"/>
              <w:rPr>
                <w:sz w:val="20"/>
                <w:szCs w:val="20"/>
                <w:color w:val="auto"/>
              </w:rPr>
            </w:pPr>
            <w:r>
              <w:rPr>
                <w:rFonts w:ascii="Arial" w:cs="Arial" w:eastAsia="Arial" w:hAnsi="Arial"/>
                <w:sz w:val="14"/>
                <w:szCs w:val="14"/>
                <w:b w:val="1"/>
                <w:bCs w:val="1"/>
                <w:color w:val="auto"/>
              </w:rPr>
              <w:t>March 31, 2013</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51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3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Level 1</w:t>
            </w:r>
          </w:p>
        </w:tc>
        <w:tc>
          <w:tcPr>
            <w:tcW w:w="3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Level 2</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3</w:t>
            </w: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Total</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 at Fair Value:</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Marketable securities:</w:t>
            </w: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U.S. Treasury securities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814"/>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18.3</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Mutual funds</w:t>
            </w:r>
          </w:p>
        </w:tc>
        <w:tc>
          <w:tcPr>
            <w:tcW w:w="32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42.0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21"/>
                <w:szCs w:val="21"/>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42.0</w:t>
            </w:r>
          </w:p>
        </w:tc>
      </w:tr>
      <w:tr>
        <w:trPr>
          <w:trHeight w:val="27"/>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Asset-backed securities</w:t>
            </w:r>
          </w:p>
        </w:tc>
        <w:tc>
          <w:tcPr>
            <w:tcW w:w="3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0.4</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Total Marketable Securities</w:t>
            </w:r>
          </w:p>
        </w:tc>
        <w:tc>
          <w:tcPr>
            <w:tcW w:w="3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60.3</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60.7</w:t>
            </w:r>
          </w:p>
        </w:tc>
      </w:tr>
      <w:tr>
        <w:trPr>
          <w:trHeight w:val="27"/>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investments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718.8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718.8</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Interest rate swap contracts</w:t>
            </w:r>
          </w:p>
        </w:tc>
        <w:tc>
          <w:tcPr>
            <w:tcW w:w="320" w:type="dxa"/>
            <w:vAlign w:val="bottom"/>
          </w:tcPr>
          <w:p>
            <w:pPr>
              <w:spacing w:after="0"/>
              <w:rPr>
                <w:sz w:val="21"/>
                <w:szCs w:val="21"/>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24.1</w:t>
            </w:r>
          </w:p>
        </w:tc>
      </w:tr>
      <w:tr>
        <w:trPr>
          <w:trHeight w:val="27"/>
        </w:trPr>
        <w:tc>
          <w:tcPr>
            <w:tcW w:w="5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 at Fair Value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779.1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24.5</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814"/>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803.6</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156"/>
        </w:trPr>
        <w:tc>
          <w:tcPr>
            <w:tcW w:w="5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 at Fair Value:</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Contingent consideration</w:t>
            </w:r>
          </w:p>
        </w:tc>
        <w:tc>
          <w:tcPr>
            <w:tcW w:w="320" w:type="dxa"/>
            <w:vAlign w:val="bottom"/>
          </w:tcPr>
          <w:p>
            <w:pPr>
              <w:spacing w:after="0"/>
              <w:rPr>
                <w:sz w:val="21"/>
                <w:szCs w:val="21"/>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w w:val="96"/>
              </w:rPr>
              <w:t>13.1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13.1</w:t>
            </w:r>
          </w:p>
        </w:tc>
      </w:tr>
      <w:tr>
        <w:trPr>
          <w:trHeight w:val="27"/>
        </w:trPr>
        <w:tc>
          <w:tcPr>
            <w:tcW w:w="5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at Fair Value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814"/>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6"/>
              </w:rPr>
              <w:t>13.1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13.1</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There were no transfers of assets between level 1 and level 2 during the first quarter of 2013. The following is a reconciliation of liabilities valued at fair value on a recurring basis using significant unobservable inputs (level 3) during the first quarter of 2013. There were no assets classified as level 3 during the first quarter of 2013.</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1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22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w w:val="98"/>
              </w:rPr>
              <w:t>Contingent Consideration</w:t>
            </w: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liability at December 31, 2012</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12.6</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Unrealized changes in fair value:</w:t>
            </w:r>
          </w:p>
        </w:tc>
        <w:tc>
          <w:tcPr>
            <w:tcW w:w="220" w:type="dxa"/>
            <w:vAlign w:val="bottom"/>
          </w:tcPr>
          <w:p>
            <w:pPr>
              <w:spacing w:after="0"/>
              <w:rPr>
                <w:sz w:val="21"/>
                <w:szCs w:val="21"/>
                <w:color w:val="auto"/>
              </w:rPr>
            </w:pPr>
          </w:p>
        </w:tc>
        <w:tc>
          <w:tcPr>
            <w:tcW w:w="2060" w:type="dxa"/>
            <w:vAlign w:val="bottom"/>
          </w:tcPr>
          <w:p>
            <w:pPr>
              <w:spacing w:after="0"/>
              <w:rPr>
                <w:sz w:val="21"/>
                <w:szCs w:val="21"/>
                <w:color w:val="auto"/>
              </w:rPr>
            </w:pPr>
          </w:p>
        </w:tc>
      </w:tr>
      <w:tr>
        <w:trPr>
          <w:trHeight w:val="27"/>
        </w:trPr>
        <w:tc>
          <w:tcPr>
            <w:tcW w:w="9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70"/>
        </w:trPr>
        <w:tc>
          <w:tcPr>
            <w:tcW w:w="91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Included in other expenses</w:t>
            </w:r>
          </w:p>
        </w:tc>
        <w:tc>
          <w:tcPr>
            <w:tcW w:w="220" w:type="dxa"/>
            <w:vAlign w:val="bottom"/>
            <w:tcBorders>
              <w:bottom w:val="single" w:sz="8" w:color="CCEEFF"/>
            </w:tcBorders>
            <w:shd w:val="clear" w:color="auto" w:fill="CCEEFF"/>
          </w:tcPr>
          <w:p>
            <w:pPr>
              <w:spacing w:after="0"/>
              <w:rPr>
                <w:sz w:val="23"/>
                <w:szCs w:val="23"/>
                <w:color w:val="auto"/>
              </w:rPr>
            </w:pPr>
          </w:p>
        </w:tc>
        <w:tc>
          <w:tcPr>
            <w:tcW w:w="2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0.5</w:t>
            </w:r>
          </w:p>
        </w:tc>
      </w:tr>
      <w:tr>
        <w:trPr>
          <w:trHeight w:val="257"/>
        </w:trPr>
        <w:tc>
          <w:tcPr>
            <w:tcW w:w="9140" w:type="dxa"/>
            <w:vAlign w:val="bottom"/>
          </w:tcPr>
          <w:p>
            <w:pPr>
              <w:ind w:left="40"/>
              <w:spacing w:after="0"/>
              <w:rPr>
                <w:sz w:val="20"/>
                <w:szCs w:val="20"/>
                <w:color w:val="auto"/>
              </w:rPr>
            </w:pPr>
            <w:r>
              <w:rPr>
                <w:rFonts w:ascii="Arial" w:cs="Arial" w:eastAsia="Arial" w:hAnsi="Arial"/>
                <w:sz w:val="18"/>
                <w:szCs w:val="18"/>
                <w:color w:val="auto"/>
              </w:rPr>
              <w:t>Fair value of liability at March 31, 2013</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20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13.1</w:t>
            </w:r>
          </w:p>
        </w:tc>
      </w:tr>
      <w:tr>
        <w:trPr>
          <w:trHeight w:val="20"/>
        </w:trPr>
        <w:tc>
          <w:tcPr>
            <w:tcW w:w="9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There were no assets or liabilities valued at fair value on a nonrecurring basis using significant unobservable inputs (level 3) during the first quarter of 2013.</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9. Earnings Per Share</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Basic earnings per share is computed by dividing net income attributable to CME Group by the weighted average number of shares of all classes of common stock outstanding for each reporting period. Diluted earnings per share reflects the increase in shares using the treasury stock method to reflect the impact of an equivalent number of shares of common stock if stock options were exercised and restricted stock awards were converted into common stock. Anti-dilutive stock options and restricted stock awards were as follows for the years presented:</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20" w:type="dxa"/>
            <w:vAlign w:val="bottom"/>
          </w:tcPr>
          <w:p>
            <w:pPr>
              <w:spacing w:after="0"/>
              <w:rPr>
                <w:sz w:val="14"/>
                <w:szCs w:val="14"/>
                <w:color w:val="auto"/>
              </w:rPr>
            </w:pPr>
          </w:p>
        </w:tc>
        <w:tc>
          <w:tcPr>
            <w:tcW w:w="7300" w:type="dxa"/>
            <w:vAlign w:val="bottom"/>
          </w:tcPr>
          <w:p>
            <w:pPr>
              <w:spacing w:after="0"/>
              <w:rPr>
                <w:sz w:val="14"/>
                <w:szCs w:val="14"/>
                <w:color w:val="auto"/>
              </w:rPr>
            </w:pPr>
          </w:p>
        </w:tc>
        <w:tc>
          <w:tcPr>
            <w:tcW w:w="1660" w:type="dxa"/>
            <w:vAlign w:val="bottom"/>
            <w:gridSpan w:val="4"/>
          </w:tcPr>
          <w:p>
            <w:pPr>
              <w:jc w:val="right"/>
              <w:ind w:right="156"/>
              <w:spacing w:after="0"/>
              <w:rPr>
                <w:sz w:val="20"/>
                <w:szCs w:val="20"/>
                <w:color w:val="auto"/>
              </w:rPr>
            </w:pPr>
            <w:r>
              <w:rPr>
                <w:rFonts w:ascii="Arial" w:cs="Arial" w:eastAsia="Arial" w:hAnsi="Arial"/>
                <w:sz w:val="14"/>
                <w:szCs w:val="14"/>
                <w:b w:val="1"/>
                <w:bCs w:val="1"/>
                <w:color w:val="auto"/>
              </w:rPr>
              <w:t>Quarter Ended</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1120" w:type="dxa"/>
            <w:vAlign w:val="bottom"/>
          </w:tcPr>
          <w:p>
            <w:pPr>
              <w:spacing w:after="0"/>
              <w:rPr>
                <w:sz w:val="16"/>
                <w:szCs w:val="16"/>
                <w:color w:val="auto"/>
              </w:rPr>
            </w:pPr>
          </w:p>
        </w:tc>
        <w:tc>
          <w:tcPr>
            <w:tcW w:w="730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March 31,</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1120" w:type="dxa"/>
            <w:vAlign w:val="bottom"/>
          </w:tcPr>
          <w:p>
            <w:pPr>
              <w:spacing w:after="0"/>
              <w:rPr>
                <w:sz w:val="22"/>
                <w:szCs w:val="22"/>
                <w:color w:val="auto"/>
              </w:rPr>
            </w:pPr>
          </w:p>
        </w:tc>
        <w:tc>
          <w:tcPr>
            <w:tcW w:w="73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3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7300" w:type="dxa"/>
            <w:vAlign w:val="bottom"/>
          </w:tcPr>
          <w:p>
            <w:pPr>
              <w:ind w:left="20"/>
              <w:spacing w:after="0"/>
              <w:rPr>
                <w:sz w:val="20"/>
                <w:szCs w:val="20"/>
                <w:color w:val="auto"/>
              </w:rPr>
            </w:pPr>
            <w:r>
              <w:rPr>
                <w:rFonts w:ascii="Arial" w:cs="Arial" w:eastAsia="Arial" w:hAnsi="Arial"/>
                <w:sz w:val="18"/>
                <w:szCs w:val="18"/>
                <w:color w:val="auto"/>
              </w:rPr>
              <w:t>Stock options</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1,734</w:t>
            </w:r>
          </w:p>
        </w:tc>
        <w:tc>
          <w:tcPr>
            <w:tcW w:w="100" w:type="dxa"/>
            <w:vAlign w:val="bottom"/>
          </w:tcPr>
          <w:p>
            <w:pPr>
              <w:spacing w:after="0"/>
              <w:rPr>
                <w:sz w:val="21"/>
                <w:szCs w:val="21"/>
                <w:color w:val="auto"/>
              </w:rPr>
            </w:pPr>
          </w:p>
        </w:tc>
        <w:tc>
          <w:tcPr>
            <w:tcW w:w="900" w:type="dxa"/>
            <w:vAlign w:val="bottom"/>
            <w:gridSpan w:val="3"/>
          </w:tcPr>
          <w:p>
            <w:pPr>
              <w:jc w:val="right"/>
              <w:ind w:right="60"/>
              <w:spacing w:after="0"/>
              <w:rPr>
                <w:sz w:val="20"/>
                <w:szCs w:val="20"/>
                <w:color w:val="auto"/>
              </w:rPr>
            </w:pPr>
            <w:r>
              <w:rPr>
                <w:rFonts w:ascii="Arial" w:cs="Arial" w:eastAsia="Arial" w:hAnsi="Arial"/>
                <w:sz w:val="18"/>
                <w:szCs w:val="18"/>
                <w:color w:val="auto"/>
              </w:rPr>
              <w:t>5,258</w:t>
            </w:r>
          </w:p>
        </w:tc>
        <w:tc>
          <w:tcPr>
            <w:tcW w:w="3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120" w:type="dxa"/>
            <w:vAlign w:val="bottom"/>
          </w:tcPr>
          <w:p>
            <w:pPr>
              <w:spacing w:after="0"/>
              <w:rPr>
                <w:sz w:val="2"/>
                <w:szCs w:val="2"/>
                <w:color w:val="auto"/>
              </w:rPr>
            </w:pPr>
          </w:p>
        </w:tc>
        <w:tc>
          <w:tcPr>
            <w:tcW w:w="7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120" w:type="dxa"/>
            <w:vAlign w:val="bottom"/>
          </w:tcPr>
          <w:p>
            <w:pPr>
              <w:spacing w:after="0"/>
              <w:rPr>
                <w:sz w:val="23"/>
                <w:szCs w:val="23"/>
                <w:color w:val="auto"/>
              </w:rPr>
            </w:pPr>
          </w:p>
        </w:tc>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Restricted stock awards</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12</w:t>
            </w:r>
          </w:p>
        </w:tc>
        <w:tc>
          <w:tcPr>
            <w:tcW w:w="3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1120" w:type="dxa"/>
            <w:vAlign w:val="bottom"/>
          </w:tcPr>
          <w:p>
            <w:pPr>
              <w:spacing w:after="0"/>
              <w:rPr>
                <w:sz w:val="22"/>
                <w:szCs w:val="22"/>
                <w:color w:val="auto"/>
              </w:rPr>
            </w:pPr>
          </w:p>
        </w:tc>
        <w:tc>
          <w:tcPr>
            <w:tcW w:w="7300" w:type="dxa"/>
            <w:vAlign w:val="bottom"/>
          </w:tcPr>
          <w:p>
            <w:pPr>
              <w:ind w:left="20"/>
              <w:spacing w:after="0"/>
              <w:rPr>
                <w:sz w:val="20"/>
                <w:szCs w:val="20"/>
                <w:color w:val="auto"/>
              </w:rPr>
            </w:pPr>
            <w:r>
              <w:rPr>
                <w:rFonts w:ascii="Arial" w:cs="Arial" w:eastAsia="Arial" w:hAnsi="Arial"/>
                <w:sz w:val="18"/>
                <w:szCs w:val="18"/>
                <w:color w:val="auto"/>
              </w:rPr>
              <w:t>Total</w:t>
            </w: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1,775</w:t>
            </w:r>
          </w:p>
        </w:tc>
        <w:tc>
          <w:tcPr>
            <w:tcW w:w="100" w:type="dxa"/>
            <w:vAlign w:val="bottom"/>
          </w:tcPr>
          <w:p>
            <w:pPr>
              <w:spacing w:after="0"/>
              <w:rPr>
                <w:sz w:val="22"/>
                <w:szCs w:val="22"/>
                <w:color w:val="auto"/>
              </w:rPr>
            </w:pPr>
          </w:p>
        </w:tc>
        <w:tc>
          <w:tcPr>
            <w:tcW w:w="900" w:type="dxa"/>
            <w:vAlign w:val="bottom"/>
            <w:tcBorders>
              <w:top w:val="single" w:sz="8" w:color="auto"/>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5,270</w:t>
            </w:r>
          </w:p>
        </w:tc>
        <w:tc>
          <w:tcPr>
            <w:tcW w:w="3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420" w:type="dxa"/>
            <w:vAlign w:val="bottom"/>
            <w:gridSpan w:val="2"/>
            <w:vMerge w:val="restart"/>
          </w:tcPr>
          <w:p>
            <w:pPr>
              <w:spacing w:after="0"/>
              <w:rPr>
                <w:sz w:val="20"/>
                <w:szCs w:val="20"/>
                <w:color w:val="auto"/>
              </w:rPr>
            </w:pPr>
            <w:r>
              <w:rPr>
                <w:rFonts w:ascii="Arial" w:cs="Arial" w:eastAsia="Arial" w:hAnsi="Arial"/>
                <w:sz w:val="18"/>
                <w:szCs w:val="18"/>
                <w:color w:val="auto"/>
              </w:rPr>
              <w:t>The following table presents the earnings per share calculation for the years presented:</w:t>
            </w: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420" w:type="dxa"/>
            <w:vAlign w:val="bottom"/>
            <w:gridSpan w:val="2"/>
            <w:vMerge w:val="continue"/>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4"/>
        </w:trPr>
        <w:tc>
          <w:tcPr>
            <w:tcW w:w="1120" w:type="dxa"/>
            <w:vAlign w:val="bottom"/>
          </w:tcPr>
          <w:p>
            <w:pPr>
              <w:spacing w:after="0"/>
              <w:rPr>
                <w:sz w:val="24"/>
                <w:szCs w:val="24"/>
                <w:color w:val="auto"/>
              </w:rPr>
            </w:pPr>
          </w:p>
        </w:tc>
        <w:tc>
          <w:tcPr>
            <w:tcW w:w="7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4"/>
          </w:tcPr>
          <w:p>
            <w:pPr>
              <w:jc w:val="right"/>
              <w:spacing w:after="0"/>
              <w:rPr>
                <w:sz w:val="20"/>
                <w:szCs w:val="20"/>
                <w:color w:val="auto"/>
              </w:rPr>
            </w:pPr>
            <w:r>
              <w:rPr>
                <w:rFonts w:ascii="Arial" w:cs="Arial" w:eastAsia="Arial" w:hAnsi="Arial"/>
                <w:sz w:val="14"/>
                <w:szCs w:val="14"/>
                <w:b w:val="1"/>
                <w:bCs w:val="1"/>
                <w:color w:val="auto"/>
              </w:rPr>
              <w:t>Quarter Ended</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1120" w:type="dxa"/>
            <w:vAlign w:val="bottom"/>
          </w:tcPr>
          <w:p>
            <w:pPr>
              <w:spacing w:after="0"/>
              <w:rPr>
                <w:sz w:val="16"/>
                <w:szCs w:val="16"/>
                <w:color w:val="auto"/>
              </w:rPr>
            </w:pPr>
          </w:p>
        </w:tc>
        <w:tc>
          <w:tcPr>
            <w:tcW w:w="7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rPr>
              <w:t>March 31,</w:t>
            </w: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1120" w:type="dxa"/>
            <w:vAlign w:val="bottom"/>
            <w:tcBorders>
              <w:bottom w:val="single" w:sz="8" w:color="auto"/>
            </w:tcBorders>
          </w:tcPr>
          <w:p>
            <w:pPr>
              <w:spacing w:after="0"/>
              <w:rPr>
                <w:sz w:val="22"/>
                <w:szCs w:val="22"/>
                <w:color w:val="auto"/>
              </w:rPr>
            </w:pPr>
          </w:p>
        </w:tc>
        <w:tc>
          <w:tcPr>
            <w:tcW w:w="73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w w:val="89"/>
              </w:rPr>
              <w:t>2012</w:t>
            </w:r>
          </w:p>
        </w:tc>
        <w:tc>
          <w:tcPr>
            <w:tcW w:w="0" w:type="dxa"/>
            <w:vAlign w:val="bottom"/>
          </w:tcPr>
          <w:p>
            <w:pPr>
              <w:spacing w:after="0"/>
              <w:rPr>
                <w:sz w:val="1"/>
                <w:szCs w:val="1"/>
                <w:color w:val="auto"/>
              </w:rPr>
            </w:pPr>
          </w:p>
        </w:tc>
      </w:tr>
      <w:tr>
        <w:trPr>
          <w:trHeight w:val="250"/>
        </w:trPr>
        <w:tc>
          <w:tcPr>
            <w:tcW w:w="8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 Attributable to CME Group (in millions)</w:t>
            </w:r>
          </w:p>
        </w:tc>
        <w:tc>
          <w:tcPr>
            <w:tcW w:w="90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235.8</w:t>
            </w:r>
          </w:p>
        </w:tc>
        <w:tc>
          <w:tcPr>
            <w:tcW w:w="62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266.6</w:t>
            </w:r>
          </w:p>
        </w:tc>
        <w:tc>
          <w:tcPr>
            <w:tcW w:w="0" w:type="dxa"/>
            <w:vAlign w:val="bottom"/>
          </w:tcPr>
          <w:p>
            <w:pPr>
              <w:spacing w:after="0"/>
              <w:rPr>
                <w:sz w:val="1"/>
                <w:szCs w:val="1"/>
                <w:color w:val="auto"/>
              </w:rPr>
            </w:pPr>
          </w:p>
        </w:tc>
      </w:tr>
      <w:tr>
        <w:trPr>
          <w:trHeight w:val="243"/>
        </w:trPr>
        <w:tc>
          <w:tcPr>
            <w:tcW w:w="8420" w:type="dxa"/>
            <w:vAlign w:val="bottom"/>
            <w:gridSpan w:val="2"/>
          </w:tcPr>
          <w:p>
            <w:pPr>
              <w:ind w:left="40"/>
              <w:spacing w:after="0"/>
              <w:rPr>
                <w:sz w:val="20"/>
                <w:szCs w:val="20"/>
                <w:color w:val="auto"/>
              </w:rPr>
            </w:pPr>
            <w:r>
              <w:rPr>
                <w:rFonts w:ascii="Arial" w:cs="Arial" w:eastAsia="Arial" w:hAnsi="Arial"/>
                <w:sz w:val="18"/>
                <w:szCs w:val="18"/>
                <w:color w:val="auto"/>
              </w:rPr>
              <w:t>Weighted Average Number of Common Shares (in thousands):</w:t>
            </w:r>
          </w:p>
        </w:tc>
        <w:tc>
          <w:tcPr>
            <w:tcW w:w="6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20" w:type="dxa"/>
            <w:vAlign w:val="bottom"/>
            <w:gridSpan w:val="2"/>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6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331,953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2"/>
              </w:rPr>
              <w:t>330,814</w:t>
            </w:r>
          </w:p>
        </w:tc>
        <w:tc>
          <w:tcPr>
            <w:tcW w:w="0" w:type="dxa"/>
            <w:vAlign w:val="bottom"/>
          </w:tcPr>
          <w:p>
            <w:pPr>
              <w:spacing w:after="0"/>
              <w:rPr>
                <w:sz w:val="1"/>
                <w:szCs w:val="1"/>
                <w:color w:val="auto"/>
              </w:rPr>
            </w:pPr>
          </w:p>
        </w:tc>
      </w:tr>
      <w:tr>
        <w:trPr>
          <w:trHeight w:val="243"/>
        </w:trPr>
        <w:tc>
          <w:tcPr>
            <w:tcW w:w="8420" w:type="dxa"/>
            <w:vAlign w:val="bottom"/>
            <w:gridSpan w:val="2"/>
          </w:tcPr>
          <w:p>
            <w:pPr>
              <w:ind w:left="380"/>
              <w:spacing w:after="0"/>
              <w:rPr>
                <w:sz w:val="20"/>
                <w:szCs w:val="20"/>
                <w:color w:val="auto"/>
              </w:rPr>
            </w:pPr>
            <w:r>
              <w:rPr>
                <w:rFonts w:ascii="Arial" w:cs="Arial" w:eastAsia="Arial" w:hAnsi="Arial"/>
                <w:sz w:val="18"/>
                <w:szCs w:val="18"/>
                <w:color w:val="auto"/>
              </w:rPr>
              <w:t>Effect of stock options and restricted stock awards</w:t>
            </w:r>
          </w:p>
        </w:tc>
        <w:tc>
          <w:tcPr>
            <w:tcW w:w="6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1,419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1,037</w:t>
            </w:r>
          </w:p>
        </w:tc>
        <w:tc>
          <w:tcPr>
            <w:tcW w:w="0" w:type="dxa"/>
            <w:vAlign w:val="bottom"/>
          </w:tcPr>
          <w:p>
            <w:pPr>
              <w:spacing w:after="0"/>
              <w:rPr>
                <w:sz w:val="1"/>
                <w:szCs w:val="1"/>
                <w:color w:val="auto"/>
              </w:rPr>
            </w:pPr>
          </w:p>
        </w:tc>
      </w:tr>
      <w:tr>
        <w:trPr>
          <w:trHeight w:val="27"/>
        </w:trPr>
        <w:tc>
          <w:tcPr>
            <w:tcW w:w="8420" w:type="dxa"/>
            <w:vAlign w:val="bottom"/>
            <w:tcBorders>
              <w:bottom w:val="single" w:sz="8" w:color="CCEEFF"/>
            </w:tcBorders>
            <w:gridSpan w:val="2"/>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4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6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333,372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right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2"/>
              </w:rPr>
              <w:t>331,851</w:t>
            </w:r>
          </w:p>
        </w:tc>
        <w:tc>
          <w:tcPr>
            <w:tcW w:w="0" w:type="dxa"/>
            <w:vAlign w:val="bottom"/>
          </w:tcPr>
          <w:p>
            <w:pPr>
              <w:spacing w:after="0"/>
              <w:rPr>
                <w:sz w:val="1"/>
                <w:szCs w:val="1"/>
                <w:color w:val="auto"/>
              </w:rPr>
            </w:pPr>
          </w:p>
        </w:tc>
      </w:tr>
      <w:tr>
        <w:trPr>
          <w:trHeight w:val="20"/>
        </w:trPr>
        <w:tc>
          <w:tcPr>
            <w:tcW w:w="842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8"/>
                <w:szCs w:val="18"/>
                <w:color w:val="auto"/>
              </w:rPr>
              <w:t>Earnings per Common Share Attributable to CME Group:</w:t>
            </w:r>
          </w:p>
        </w:tc>
        <w:tc>
          <w:tcPr>
            <w:tcW w:w="6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420" w:type="dxa"/>
            <w:vAlign w:val="bottom"/>
            <w:gridSpan w:val="2"/>
            <w:vMerge w:val="continue"/>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420" w:type="dxa"/>
            <w:vAlign w:val="bottom"/>
            <w:gridSpan w:val="2"/>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90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0.71</w:t>
            </w:r>
          </w:p>
        </w:tc>
        <w:tc>
          <w:tcPr>
            <w:tcW w:w="62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0.81</w:t>
            </w:r>
          </w:p>
        </w:tc>
        <w:tc>
          <w:tcPr>
            <w:tcW w:w="0" w:type="dxa"/>
            <w:vAlign w:val="bottom"/>
          </w:tcPr>
          <w:p>
            <w:pPr>
              <w:spacing w:after="0"/>
              <w:rPr>
                <w:sz w:val="1"/>
                <w:szCs w:val="1"/>
                <w:color w:val="auto"/>
              </w:rPr>
            </w:pPr>
          </w:p>
        </w:tc>
      </w:tr>
      <w:tr>
        <w:trPr>
          <w:trHeight w:val="243"/>
        </w:trPr>
        <w:tc>
          <w:tcPr>
            <w:tcW w:w="8420" w:type="dxa"/>
            <w:vAlign w:val="bottom"/>
            <w:gridSpan w:val="2"/>
          </w:tcPr>
          <w:p>
            <w:pPr>
              <w:ind w:left="380"/>
              <w:spacing w:after="0"/>
              <w:rPr>
                <w:sz w:val="20"/>
                <w:szCs w:val="20"/>
                <w:color w:val="auto"/>
              </w:rPr>
            </w:pPr>
            <w:r>
              <w:rPr>
                <w:rFonts w:ascii="Arial" w:cs="Arial" w:eastAsia="Arial" w:hAnsi="Arial"/>
                <w:sz w:val="18"/>
                <w:szCs w:val="18"/>
                <w:color w:val="auto"/>
              </w:rPr>
              <w:t>Diluted</w:t>
            </w:r>
          </w:p>
        </w:tc>
        <w:tc>
          <w:tcPr>
            <w:tcW w:w="6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0.71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0.80</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Subsequent Events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company has evaluated subsequent events through the date the financial statements were issued and has determined that there are no subsequent events that require disclosure except for the following:</w:t>
      </w:r>
    </w:p>
    <w:p>
      <w:pPr>
        <w:spacing w:after="0" w:line="17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April 2013, the company purchased the non-controlling interest in CME Group Index Holdings LLC (Index Holdings) for $80.0 million. Prior to the purchase, the company maintained a 24.4% interest in S&amp;P/Dow Jones Indices LLC (S&amp;P/DJI). As a result of the purchase of the non-controlling interest, the company's interest in S&amp;P/DJI increased to 27%.</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688" w:right="2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18"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56" w:lineRule="exact"/>
        <w:rPr>
          <w:sz w:val="20"/>
          <w:szCs w:val="20"/>
          <w:color w:val="auto"/>
        </w:rPr>
      </w:pPr>
    </w:p>
    <w:p>
      <w:pPr>
        <w:ind w:right="680"/>
        <w:spacing w:after="0" w:line="342" w:lineRule="auto"/>
        <w:rPr>
          <w:sz w:val="20"/>
          <w:szCs w:val="20"/>
          <w:color w:val="auto"/>
        </w:rPr>
      </w:pPr>
      <w:r>
        <w:rPr>
          <w:rFonts w:ascii="Arial" w:cs="Arial" w:eastAsia="Arial" w:hAnsi="Arial"/>
          <w:sz w:val="16"/>
          <w:szCs w:val="16"/>
          <w:color w:val="auto"/>
        </w:rPr>
        <w:t>The following discussion is provided as a supplement to, and should be read in conjunction with, the accompanying unaudited consolidated financial statements and notes in this Quarterly Report on Form 10-Q and in our Annual Report on Form 10-K for the year ended December 31, 2012.</w:t>
      </w:r>
    </w:p>
    <w:p>
      <w:pPr>
        <w:spacing w:after="0" w:line="124"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References in this discussion and analysis to “we,” “us” and “our” are to CME Group and its consolidated subsidiaries, collectively. References to “exchange” are to Chicago Mercantile Exchange Inc. (CME), Board of Trade of the City of Chicago, Inc. (CBOT), New York Mercantile Exchange, Inc. (NYMEX), Commodity Exchange, Inc. (COMEX), and The Board of Trade of Kansas City, Missouri, Inc. (KCBT), collectively, unless otherwise noted.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Highlights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significant changes in our financial performance for the periods presented.</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40" w:type="dxa"/>
            <w:vAlign w:val="bottom"/>
            <w:gridSpan w:val="2"/>
          </w:tcPr>
          <w:p>
            <w:pPr>
              <w:jc w:val="right"/>
              <w:spacing w:after="0"/>
              <w:rPr>
                <w:sz w:val="20"/>
                <w:szCs w:val="20"/>
                <w:color w:val="auto"/>
              </w:rPr>
            </w:pPr>
            <w:r>
              <w:rPr>
                <w:rFonts w:ascii="Arial" w:cs="Arial" w:eastAsia="Arial" w:hAnsi="Arial"/>
                <w:sz w:val="14"/>
                <w:szCs w:val="14"/>
                <w:b w:val="1"/>
                <w:bCs w:val="1"/>
                <w:color w:val="auto"/>
              </w:rPr>
              <w:t>Quarter Ended</w:t>
            </w:r>
          </w:p>
        </w:tc>
        <w:tc>
          <w:tcPr>
            <w:tcW w:w="78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92"/>
        </w:trPr>
        <w:tc>
          <w:tcPr>
            <w:tcW w:w="75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4"/>
                <w:szCs w:val="14"/>
                <w:b w:val="1"/>
                <w:bCs w:val="1"/>
                <w:color w:val="auto"/>
              </w:rPr>
              <w:t>March 31,</w:t>
            </w:r>
          </w:p>
        </w:tc>
        <w:tc>
          <w:tcPr>
            <w:tcW w:w="780" w:type="dxa"/>
            <w:vAlign w:val="bottom"/>
            <w:tcBorders>
              <w:bottom w:val="single" w:sz="8" w:color="auto"/>
            </w:tcBorders>
          </w:tcPr>
          <w:p>
            <w:pPr>
              <w:spacing w:after="0"/>
              <w:rPr>
                <w:sz w:val="16"/>
                <w:szCs w:val="16"/>
                <w:color w:val="auto"/>
              </w:rPr>
            </w:pPr>
          </w:p>
        </w:tc>
        <w:tc>
          <w:tcPr>
            <w:tcW w:w="1360" w:type="dxa"/>
            <w:vAlign w:val="bottom"/>
          </w:tcPr>
          <w:p>
            <w:pPr>
              <w:spacing w:after="0"/>
              <w:rPr>
                <w:sz w:val="16"/>
                <w:szCs w:val="16"/>
                <w:color w:val="auto"/>
              </w:rPr>
            </w:pPr>
          </w:p>
        </w:tc>
      </w:tr>
      <w:tr>
        <w:trPr>
          <w:trHeight w:val="264"/>
        </w:trPr>
        <w:tc>
          <w:tcPr>
            <w:tcW w:w="75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(dollars in millions, except per share data)</w:t>
            </w: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2013</w:t>
            </w:r>
          </w:p>
        </w:tc>
        <w:tc>
          <w:tcPr>
            <w:tcW w:w="4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w w:val="96"/>
              </w:rPr>
              <w:t>2012</w:t>
            </w:r>
          </w:p>
        </w:tc>
        <w:tc>
          <w:tcPr>
            <w:tcW w:w="136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Change</w:t>
            </w: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color w:val="auto"/>
              </w:rPr>
              <w:t>718.6</w:t>
            </w:r>
          </w:p>
        </w:tc>
        <w:tc>
          <w:tcPr>
            <w:tcW w:w="48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774.6</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Total expenses</w:t>
            </w:r>
          </w:p>
        </w:tc>
        <w:tc>
          <w:tcPr>
            <w:tcW w:w="300" w:type="dxa"/>
            <w:vAlign w:val="bottom"/>
          </w:tcPr>
          <w:p>
            <w:pPr>
              <w:spacing w:after="0"/>
              <w:rPr>
                <w:sz w:val="21"/>
                <w:szCs w:val="21"/>
                <w:color w:val="auto"/>
              </w:rPr>
            </w:pPr>
          </w:p>
        </w:tc>
        <w:tc>
          <w:tcPr>
            <w:tcW w:w="960" w:type="dxa"/>
            <w:vAlign w:val="bottom"/>
          </w:tcPr>
          <w:p>
            <w:pPr>
              <w:jc w:val="right"/>
              <w:ind w:right="155"/>
              <w:spacing w:after="0"/>
              <w:rPr>
                <w:sz w:val="20"/>
                <w:szCs w:val="20"/>
                <w:color w:val="auto"/>
              </w:rPr>
            </w:pPr>
            <w:r>
              <w:rPr>
                <w:rFonts w:ascii="Arial" w:cs="Arial" w:eastAsia="Arial" w:hAnsi="Arial"/>
                <w:sz w:val="18"/>
                <w:szCs w:val="18"/>
                <w:color w:val="auto"/>
              </w:rPr>
              <w:t>313.1</w:t>
            </w:r>
          </w:p>
        </w:tc>
        <w:tc>
          <w:tcPr>
            <w:tcW w:w="480" w:type="dxa"/>
            <w:vAlign w:val="bottom"/>
          </w:tcPr>
          <w:p>
            <w:pPr>
              <w:spacing w:after="0"/>
              <w:rPr>
                <w:sz w:val="21"/>
                <w:szCs w:val="21"/>
                <w:color w:val="auto"/>
              </w:rPr>
            </w:pPr>
          </w:p>
        </w:tc>
        <w:tc>
          <w:tcPr>
            <w:tcW w:w="780" w:type="dxa"/>
            <w:vAlign w:val="bottom"/>
          </w:tcPr>
          <w:p>
            <w:pPr>
              <w:jc w:val="right"/>
              <w:ind w:right="112"/>
              <w:spacing w:after="0"/>
              <w:rPr>
                <w:sz w:val="20"/>
                <w:szCs w:val="20"/>
                <w:color w:val="auto"/>
              </w:rPr>
            </w:pPr>
            <w:r>
              <w:rPr>
                <w:rFonts w:ascii="Arial" w:cs="Arial" w:eastAsia="Arial" w:hAnsi="Arial"/>
                <w:sz w:val="18"/>
                <w:szCs w:val="18"/>
                <w:color w:val="auto"/>
              </w:rPr>
              <w:t>323.4</w:t>
            </w:r>
          </w:p>
        </w:tc>
        <w:tc>
          <w:tcPr>
            <w:tcW w:w="1360" w:type="dxa"/>
            <w:vAlign w:val="bottom"/>
          </w:tcPr>
          <w:p>
            <w:pPr>
              <w:jc w:val="right"/>
              <w:ind w:right="93"/>
              <w:spacing w:after="0"/>
              <w:rPr>
                <w:sz w:val="20"/>
                <w:szCs w:val="20"/>
                <w:color w:val="auto"/>
              </w:rPr>
            </w:pPr>
            <w:r>
              <w:rPr>
                <w:rFonts w:ascii="Arial" w:cs="Arial" w:eastAsia="Arial" w:hAnsi="Arial"/>
                <w:sz w:val="18"/>
                <w:szCs w:val="18"/>
                <w:color w:val="auto"/>
              </w:rPr>
              <w:t>(3)</w:t>
            </w:r>
          </w:p>
        </w:tc>
      </w:tr>
      <w:tr>
        <w:trPr>
          <w:trHeight w:val="27"/>
        </w:trPr>
        <w:tc>
          <w:tcPr>
            <w:tcW w:w="7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margin</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56.4%</w:t>
            </w:r>
          </w:p>
        </w:tc>
        <w:tc>
          <w:tcPr>
            <w:tcW w:w="4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58.3%</w:t>
            </w: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Non-operating income (expense)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95"/>
              <w:spacing w:after="0"/>
              <w:rPr>
                <w:sz w:val="20"/>
                <w:szCs w:val="20"/>
                <w:color w:val="auto"/>
              </w:rPr>
            </w:pPr>
            <w:r>
              <w:rPr>
                <w:rFonts w:ascii="Arial" w:cs="Arial" w:eastAsia="Arial" w:hAnsi="Arial"/>
                <w:sz w:val="18"/>
                <w:szCs w:val="18"/>
                <w:color w:val="auto"/>
              </w:rPr>
              <w:t>(17.9)</w:t>
            </w:r>
          </w:p>
        </w:tc>
        <w:tc>
          <w:tcPr>
            <w:tcW w:w="4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52"/>
              <w:spacing w:after="0"/>
              <w:rPr>
                <w:sz w:val="20"/>
                <w:szCs w:val="20"/>
                <w:color w:val="auto"/>
              </w:rPr>
            </w:pPr>
            <w:r>
              <w:rPr>
                <w:rFonts w:ascii="Arial" w:cs="Arial" w:eastAsia="Arial" w:hAnsi="Arial"/>
                <w:sz w:val="18"/>
                <w:szCs w:val="18"/>
                <w:color w:val="auto"/>
              </w:rPr>
              <w:t>(17.8)</w:t>
            </w:r>
          </w:p>
        </w:tc>
        <w:tc>
          <w:tcPr>
            <w:tcW w:w="1360" w:type="dxa"/>
            <w:vAlign w:val="bottom"/>
          </w:tcPr>
          <w:p>
            <w:pPr>
              <w:jc w:val="right"/>
              <w:ind w:right="153"/>
              <w:spacing w:after="0"/>
              <w:rPr>
                <w:sz w:val="20"/>
                <w:szCs w:val="20"/>
                <w:color w:val="auto"/>
              </w:rPr>
            </w:pPr>
            <w:r>
              <w:rPr>
                <w:rFonts w:ascii="Arial" w:cs="Arial" w:eastAsia="Arial" w:hAnsi="Arial"/>
                <w:sz w:val="18"/>
                <w:szCs w:val="18"/>
                <w:color w:val="auto"/>
              </w:rPr>
              <w:t>1</w:t>
            </w:r>
          </w:p>
        </w:tc>
      </w:tr>
      <w:tr>
        <w:trPr>
          <w:trHeight w:val="27"/>
        </w:trPr>
        <w:tc>
          <w:tcPr>
            <w:tcW w:w="7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Effective tax rate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38.8%</w:t>
            </w:r>
          </w:p>
        </w:tc>
        <w:tc>
          <w:tcPr>
            <w:tcW w:w="4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Net income attributable to CME Group</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55"/>
              <w:spacing w:after="0"/>
              <w:rPr>
                <w:sz w:val="20"/>
                <w:szCs w:val="20"/>
                <w:color w:val="auto"/>
              </w:rPr>
            </w:pPr>
            <w:r>
              <w:rPr>
                <w:rFonts w:ascii="Arial" w:cs="Arial" w:eastAsia="Arial" w:hAnsi="Arial"/>
                <w:sz w:val="18"/>
                <w:szCs w:val="18"/>
                <w:color w:val="auto"/>
              </w:rPr>
              <w:t>235.8</w:t>
            </w:r>
          </w:p>
        </w:tc>
        <w:tc>
          <w:tcPr>
            <w:tcW w:w="4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12"/>
              <w:spacing w:after="0"/>
              <w:rPr>
                <w:sz w:val="20"/>
                <w:szCs w:val="20"/>
                <w:color w:val="auto"/>
              </w:rPr>
            </w:pPr>
            <w:r>
              <w:rPr>
                <w:rFonts w:ascii="Arial" w:cs="Arial" w:eastAsia="Arial" w:hAnsi="Arial"/>
                <w:sz w:val="18"/>
                <w:szCs w:val="18"/>
                <w:color w:val="auto"/>
              </w:rPr>
              <w:t>266.6</w:t>
            </w:r>
          </w:p>
        </w:tc>
        <w:tc>
          <w:tcPr>
            <w:tcW w:w="1360" w:type="dxa"/>
            <w:vAlign w:val="bottom"/>
          </w:tcPr>
          <w:p>
            <w:pPr>
              <w:jc w:val="right"/>
              <w:ind w:right="93"/>
              <w:spacing w:after="0"/>
              <w:rPr>
                <w:sz w:val="20"/>
                <w:szCs w:val="20"/>
                <w:color w:val="auto"/>
              </w:rPr>
            </w:pPr>
            <w:r>
              <w:rPr>
                <w:rFonts w:ascii="Arial" w:cs="Arial" w:eastAsia="Arial" w:hAnsi="Arial"/>
                <w:sz w:val="18"/>
                <w:szCs w:val="18"/>
                <w:color w:val="auto"/>
              </w:rPr>
              <w:t>(12)</w:t>
            </w:r>
          </w:p>
        </w:tc>
      </w:tr>
      <w:tr>
        <w:trPr>
          <w:trHeight w:val="27"/>
        </w:trPr>
        <w:tc>
          <w:tcPr>
            <w:tcW w:w="7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common share attributable to CME Group</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color w:val="auto"/>
              </w:rPr>
              <w:t>0.71</w:t>
            </w:r>
          </w:p>
        </w:tc>
        <w:tc>
          <w:tcPr>
            <w:tcW w:w="4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0.80</w:t>
            </w:r>
          </w:p>
        </w:tc>
        <w:tc>
          <w:tcPr>
            <w:tcW w:w="13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(11)</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Cash flows from operating activities</w:t>
            </w:r>
          </w:p>
        </w:tc>
        <w:tc>
          <w:tcPr>
            <w:tcW w:w="300" w:type="dxa"/>
            <w:vAlign w:val="bottom"/>
          </w:tcPr>
          <w:p>
            <w:pPr>
              <w:spacing w:after="0"/>
              <w:rPr>
                <w:sz w:val="21"/>
                <w:szCs w:val="21"/>
                <w:color w:val="auto"/>
              </w:rPr>
            </w:pPr>
          </w:p>
        </w:tc>
        <w:tc>
          <w:tcPr>
            <w:tcW w:w="960" w:type="dxa"/>
            <w:vAlign w:val="bottom"/>
          </w:tcPr>
          <w:p>
            <w:pPr>
              <w:jc w:val="right"/>
              <w:ind w:right="155"/>
              <w:spacing w:after="0"/>
              <w:rPr>
                <w:sz w:val="20"/>
                <w:szCs w:val="20"/>
                <w:color w:val="auto"/>
              </w:rPr>
            </w:pPr>
            <w:r>
              <w:rPr>
                <w:rFonts w:ascii="Arial" w:cs="Arial" w:eastAsia="Arial" w:hAnsi="Arial"/>
                <w:sz w:val="18"/>
                <w:szCs w:val="18"/>
                <w:color w:val="auto"/>
              </w:rPr>
              <w:t>396.0</w:t>
            </w:r>
          </w:p>
        </w:tc>
        <w:tc>
          <w:tcPr>
            <w:tcW w:w="480" w:type="dxa"/>
            <w:vAlign w:val="bottom"/>
          </w:tcPr>
          <w:p>
            <w:pPr>
              <w:spacing w:after="0"/>
              <w:rPr>
                <w:sz w:val="21"/>
                <w:szCs w:val="21"/>
                <w:color w:val="auto"/>
              </w:rPr>
            </w:pPr>
          </w:p>
        </w:tc>
        <w:tc>
          <w:tcPr>
            <w:tcW w:w="780" w:type="dxa"/>
            <w:vAlign w:val="bottom"/>
          </w:tcPr>
          <w:p>
            <w:pPr>
              <w:jc w:val="right"/>
              <w:ind w:right="112"/>
              <w:spacing w:after="0"/>
              <w:rPr>
                <w:sz w:val="20"/>
                <w:szCs w:val="20"/>
                <w:color w:val="auto"/>
              </w:rPr>
            </w:pPr>
            <w:r>
              <w:rPr>
                <w:rFonts w:ascii="Arial" w:cs="Arial" w:eastAsia="Arial" w:hAnsi="Arial"/>
                <w:sz w:val="18"/>
                <w:szCs w:val="18"/>
                <w:color w:val="auto"/>
              </w:rPr>
              <w:t>395.6</w:t>
            </w:r>
          </w:p>
        </w:tc>
        <w:tc>
          <w:tcPr>
            <w:tcW w:w="1360" w:type="dxa"/>
            <w:vAlign w:val="bottom"/>
          </w:tcPr>
          <w:p>
            <w:pPr>
              <w:jc w:val="right"/>
              <w:ind w:right="153"/>
              <w:spacing w:after="0"/>
              <w:rPr>
                <w:sz w:val="20"/>
                <w:szCs w:val="20"/>
                <w:color w:val="auto"/>
              </w:rPr>
            </w:pPr>
            <w:r>
              <w:rPr>
                <w:rFonts w:ascii="Arial" w:cs="Arial" w:eastAsia="Arial" w:hAnsi="Arial"/>
                <w:sz w:val="18"/>
                <w:szCs w:val="18"/>
                <w:color w:val="auto"/>
              </w:rPr>
              <w:t>—</w:t>
            </w:r>
          </w:p>
        </w:tc>
      </w:tr>
    </w:tbl>
    <w:p>
      <w:pPr>
        <w:spacing w:after="0" w:line="121" w:lineRule="exact"/>
        <w:rPr>
          <w:sz w:val="20"/>
          <w:szCs w:val="20"/>
          <w:color w:val="auto"/>
        </w:rPr>
      </w:pPr>
    </w:p>
    <w:p>
      <w:pPr>
        <w:ind w:left="660" w:right="40" w:hanging="328"/>
        <w:spacing w:after="0" w:line="312"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 the first quarter of 2013 compared with the same period in 2012, the overall decrease in revenues was attributable to a decline in market data and information services revenue resulting from the contribution of certain Dow Jones Index assets and liabilities (DJI asset group) and the sale of Credit Market Analysis Ltd. (CMA) as well as a decrease in clearing and transaction fees resulting from a lower average rate per contract.</w:t>
      </w:r>
    </w:p>
    <w:p>
      <w:pPr>
        <w:spacing w:after="0" w:line="146" w:lineRule="exact"/>
        <w:rPr>
          <w:rFonts w:ascii="Arial" w:cs="Arial" w:eastAsia="Arial" w:hAnsi="Arial"/>
          <w:sz w:val="16"/>
          <w:szCs w:val="16"/>
          <w:color w:val="auto"/>
        </w:rPr>
      </w:pPr>
    </w:p>
    <w:p>
      <w:pPr>
        <w:ind w:left="660" w:right="60" w:hanging="328"/>
        <w:spacing w:after="0" w:line="286"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overall decrease in expenses in the first quarter of 2013 when compared with the same period in 2012 was largely due to the decline in expenses resulting from the contribution of the DJI asset group and the sale of CMA. The overall decrease in expenses was partially offset by an increase in currency fluctuation losses resulting from unfavorable changes in exchange rates on certain foreign cash balances.</w:t>
      </w:r>
    </w:p>
    <w:p>
      <w:pPr>
        <w:spacing w:after="0" w:line="165" w:lineRule="exact"/>
        <w:rPr>
          <w:rFonts w:ascii="Arial" w:cs="Arial" w:eastAsia="Arial" w:hAnsi="Arial"/>
          <w:sz w:val="17"/>
          <w:szCs w:val="17"/>
          <w:color w:val="auto"/>
        </w:rPr>
      </w:pPr>
    </w:p>
    <w:p>
      <w:pPr>
        <w:jc w:val="both"/>
        <w:ind w:left="660" w:right="300" w:hanging="328"/>
        <w:spacing w:after="0" w:line="26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Non-operating expense remained relatively flat in the first quarter of 2013 when compared with the same period in 2012. The increase in income from our investment in S&amp;P/Dow Jones Indices LLC (S&amp;P/DJI), a new business venture with The McGraw-Hill Companies Inc. (McGraw), was offset by an increase in interest and other borrowing costs and a decline in investment income.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gridSpan w:val="3"/>
          </w:tcPr>
          <w:p>
            <w:pPr>
              <w:jc w:val="right"/>
              <w:spacing w:after="0"/>
              <w:rPr>
                <w:sz w:val="20"/>
                <w:szCs w:val="20"/>
                <w:color w:val="auto"/>
              </w:rPr>
            </w:pPr>
            <w:r>
              <w:rPr>
                <w:rFonts w:ascii="Arial" w:cs="Arial" w:eastAsia="Arial" w:hAnsi="Arial"/>
                <w:sz w:val="14"/>
                <w:szCs w:val="14"/>
                <w:b w:val="1"/>
                <w:bCs w:val="1"/>
                <w:color w:val="auto"/>
              </w:rPr>
              <w:t>Quarter Ended</w:t>
            </w:r>
          </w:p>
        </w:tc>
        <w:tc>
          <w:tcPr>
            <w:tcW w:w="72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92"/>
        </w:trPr>
        <w:tc>
          <w:tcPr>
            <w:tcW w:w="76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March 31,</w:t>
            </w:r>
          </w:p>
        </w:tc>
        <w:tc>
          <w:tcPr>
            <w:tcW w:w="720" w:type="dxa"/>
            <w:vAlign w:val="bottom"/>
            <w:tcBorders>
              <w:bottom w:val="single" w:sz="8" w:color="auto"/>
            </w:tcBorders>
          </w:tcPr>
          <w:p>
            <w:pPr>
              <w:spacing w:after="0"/>
              <w:rPr>
                <w:sz w:val="16"/>
                <w:szCs w:val="16"/>
                <w:color w:val="auto"/>
              </w:rPr>
            </w:pPr>
          </w:p>
        </w:tc>
        <w:tc>
          <w:tcPr>
            <w:tcW w:w="1380" w:type="dxa"/>
            <w:vAlign w:val="bottom"/>
          </w:tcPr>
          <w:p>
            <w:pPr>
              <w:spacing w:after="0"/>
              <w:rPr>
                <w:sz w:val="16"/>
                <w:szCs w:val="16"/>
                <w:color w:val="auto"/>
              </w:rPr>
            </w:pPr>
          </w:p>
        </w:tc>
      </w:tr>
      <w:tr>
        <w:trPr>
          <w:trHeight w:val="264"/>
        </w:trPr>
        <w:tc>
          <w:tcPr>
            <w:tcW w:w="76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(dollars in millions)</w:t>
            </w: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w w:val="89"/>
              </w:rPr>
              <w:t>2012</w:t>
            </w:r>
          </w:p>
        </w:tc>
        <w:tc>
          <w:tcPr>
            <w:tcW w:w="138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Change</w:t>
            </w: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Clearing and transaction fees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593.2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621.1</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Market data and information services</w:t>
            </w:r>
          </w:p>
        </w:tc>
        <w:tc>
          <w:tcPr>
            <w:tcW w:w="280" w:type="dxa"/>
            <w:vAlign w:val="bottom"/>
          </w:tcPr>
          <w:p>
            <w:pPr>
              <w:spacing w:after="0"/>
              <w:rPr>
                <w:sz w:val="21"/>
                <w:szCs w:val="21"/>
                <w:color w:val="auto"/>
              </w:rPr>
            </w:pPr>
          </w:p>
        </w:tc>
        <w:tc>
          <w:tcPr>
            <w:tcW w:w="860" w:type="dxa"/>
            <w:vAlign w:val="bottom"/>
          </w:tcPr>
          <w:p>
            <w:pPr>
              <w:jc w:val="right"/>
              <w:ind w:right="17"/>
              <w:spacing w:after="0"/>
              <w:rPr>
                <w:sz w:val="20"/>
                <w:szCs w:val="20"/>
                <w:color w:val="auto"/>
              </w:rPr>
            </w:pPr>
            <w:r>
              <w:rPr>
                <w:rFonts w:ascii="Arial" w:cs="Arial" w:eastAsia="Arial" w:hAnsi="Arial"/>
                <w:sz w:val="18"/>
                <w:szCs w:val="18"/>
                <w:color w:val="auto"/>
              </w:rPr>
              <w:t>80.9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114.2</w:t>
            </w:r>
          </w:p>
        </w:tc>
        <w:tc>
          <w:tcPr>
            <w:tcW w:w="1380" w:type="dxa"/>
            <w:vAlign w:val="bottom"/>
          </w:tcPr>
          <w:p>
            <w:pPr>
              <w:jc w:val="right"/>
              <w:ind w:right="93"/>
              <w:spacing w:after="0"/>
              <w:rPr>
                <w:sz w:val="20"/>
                <w:szCs w:val="20"/>
                <w:color w:val="auto"/>
              </w:rPr>
            </w:pPr>
            <w:r>
              <w:rPr>
                <w:rFonts w:ascii="Arial" w:cs="Arial" w:eastAsia="Arial" w:hAnsi="Arial"/>
                <w:sz w:val="18"/>
                <w:szCs w:val="18"/>
                <w:color w:val="auto"/>
              </w:rPr>
              <w:t>(29)</w:t>
            </w:r>
          </w:p>
        </w:tc>
      </w:tr>
      <w:tr>
        <w:trPr>
          <w:trHeight w:val="27"/>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Access and communication fees</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21.5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19.7</w:t>
            </w:r>
          </w:p>
        </w:tc>
        <w:tc>
          <w:tcPr>
            <w:tcW w:w="138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9</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1"/>
                <w:szCs w:val="21"/>
                <w:color w:val="auto"/>
              </w:rPr>
            </w:pPr>
          </w:p>
        </w:tc>
        <w:tc>
          <w:tcPr>
            <w:tcW w:w="860" w:type="dxa"/>
            <w:vAlign w:val="bottom"/>
          </w:tcPr>
          <w:p>
            <w:pPr>
              <w:jc w:val="right"/>
              <w:ind w:right="17"/>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19.6</w:t>
            </w:r>
          </w:p>
        </w:tc>
        <w:tc>
          <w:tcPr>
            <w:tcW w:w="1380" w:type="dxa"/>
            <w:vAlign w:val="bottom"/>
          </w:tcPr>
          <w:p>
            <w:pPr>
              <w:jc w:val="right"/>
              <w:ind w:right="153"/>
              <w:spacing w:after="0"/>
              <w:rPr>
                <w:sz w:val="20"/>
                <w:szCs w:val="20"/>
                <w:color w:val="auto"/>
              </w:rPr>
            </w:pPr>
            <w:r>
              <w:rPr>
                <w:rFonts w:ascii="Arial" w:cs="Arial" w:eastAsia="Arial" w:hAnsi="Arial"/>
                <w:sz w:val="18"/>
                <w:szCs w:val="18"/>
                <w:color w:val="auto"/>
              </w:rPr>
              <w:t>18</w:t>
            </w:r>
          </w:p>
        </w:tc>
      </w:tr>
      <w:tr>
        <w:trPr>
          <w:trHeight w:val="27"/>
        </w:trPr>
        <w:tc>
          <w:tcPr>
            <w:tcW w:w="76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r>
      <w:tr>
        <w:trPr>
          <w:trHeight w:val="257"/>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718.6</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774.6</w:t>
            </w:r>
          </w:p>
        </w:tc>
        <w:tc>
          <w:tcPr>
            <w:tcW w:w="13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(7)</w:t>
            </w:r>
          </w:p>
        </w:tc>
      </w:tr>
      <w:tr>
        <w:trPr>
          <w:trHeight w:val="20"/>
        </w:trPr>
        <w:tc>
          <w:tcPr>
            <w:tcW w:w="7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Clearing and Transaction Fees</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following table summarizes our total contract volume, revenue and average rate per contract. Total contract volume includes contracts that are traded on our exchange and cleared through our clearing house. Contract volume also includes</w:t>
      </w:r>
    </w:p>
    <w:p>
      <w:pPr>
        <w:sectPr>
          <w:pgSz w:w="11900" w:h="16838" w:orient="portrait"/>
          <w:cols w:equalWidth="0" w:num="1">
            <w:col w:w="11420"/>
          </w:cols>
          <w:pgMar w:left="240" w:top="125" w:right="239" w:bottom="1440" w:gutter="0" w:footer="0" w:header="0"/>
        </w:sect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125" w:right="239" w:bottom="1440" w:gutter="0" w:footer="0" w:header="0"/>
          <w:type w:val="continuous"/>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jc w:val="both"/>
        <w:ind w:right="460"/>
        <w:spacing w:after="0" w:line="264" w:lineRule="auto"/>
        <w:rPr>
          <w:sz w:val="20"/>
          <w:szCs w:val="20"/>
          <w:color w:val="auto"/>
        </w:rPr>
      </w:pPr>
      <w:r>
        <w:rPr>
          <w:rFonts w:ascii="Arial" w:cs="Arial" w:eastAsia="Arial" w:hAnsi="Arial"/>
          <w:sz w:val="18"/>
          <w:szCs w:val="18"/>
          <w:color w:val="auto"/>
        </w:rPr>
        <w:t>cleared-only CME ClearPort contracts. Volume is measured in round turns, which is considered a completed transaction that involves a purchase and an offsetting sale of a contract. Average rate per contract is determined by dividing total clearing and transaction fee revenues by total contract volume. All amounts exclude our credit default swap, interest rate swap and CME Clearing Europe contracts.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gridSpan w:val="2"/>
          </w:tcPr>
          <w:p>
            <w:pPr>
              <w:jc w:val="right"/>
              <w:spacing w:after="0"/>
              <w:rPr>
                <w:sz w:val="20"/>
                <w:szCs w:val="20"/>
                <w:color w:val="auto"/>
              </w:rPr>
            </w:pPr>
            <w:r>
              <w:rPr>
                <w:rFonts w:ascii="Arial" w:cs="Arial" w:eastAsia="Arial" w:hAnsi="Arial"/>
                <w:sz w:val="14"/>
                <w:szCs w:val="14"/>
                <w:b w:val="1"/>
                <w:bCs w:val="1"/>
                <w:color w:val="auto"/>
              </w:rPr>
              <w:t>Quarter Ended</w:t>
            </w:r>
          </w:p>
        </w:tc>
        <w:tc>
          <w:tcPr>
            <w:tcW w:w="72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92"/>
        </w:trPr>
        <w:tc>
          <w:tcPr>
            <w:tcW w:w="76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4"/>
                <w:szCs w:val="14"/>
                <w:b w:val="1"/>
                <w:bCs w:val="1"/>
                <w:color w:val="auto"/>
              </w:rPr>
              <w:t>March 31,</w:t>
            </w:r>
          </w:p>
        </w:tc>
        <w:tc>
          <w:tcPr>
            <w:tcW w:w="720" w:type="dxa"/>
            <w:vAlign w:val="bottom"/>
            <w:tcBorders>
              <w:bottom w:val="single" w:sz="8" w:color="auto"/>
            </w:tcBorders>
          </w:tcPr>
          <w:p>
            <w:pPr>
              <w:spacing w:after="0"/>
              <w:rPr>
                <w:sz w:val="16"/>
                <w:szCs w:val="16"/>
                <w:color w:val="auto"/>
              </w:rPr>
            </w:pPr>
          </w:p>
        </w:tc>
        <w:tc>
          <w:tcPr>
            <w:tcW w:w="1380" w:type="dxa"/>
            <w:vAlign w:val="bottom"/>
          </w:tcPr>
          <w:p>
            <w:pPr>
              <w:spacing w:after="0"/>
              <w:rPr>
                <w:sz w:val="16"/>
                <w:szCs w:val="16"/>
                <w:color w:val="auto"/>
              </w:rPr>
            </w:pPr>
          </w:p>
        </w:tc>
      </w:tr>
      <w:tr>
        <w:trPr>
          <w:trHeight w:val="264"/>
        </w:trPr>
        <w:tc>
          <w:tcPr>
            <w:tcW w:w="766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2013</w:t>
            </w:r>
          </w:p>
        </w:tc>
        <w:tc>
          <w:tcPr>
            <w:tcW w:w="5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w w:val="89"/>
              </w:rPr>
              <w:t>2012</w:t>
            </w:r>
          </w:p>
        </w:tc>
        <w:tc>
          <w:tcPr>
            <w:tcW w:w="138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rPr>
              <w:t>Change</w:t>
            </w: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contract volume (in millions)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750.5</w:t>
            </w:r>
          </w:p>
        </w:tc>
        <w:tc>
          <w:tcPr>
            <w:tcW w:w="5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763.1</w:t>
            </w:r>
          </w:p>
        </w:tc>
        <w:tc>
          <w:tcPr>
            <w:tcW w:w="1380" w:type="dxa"/>
            <w:vAlign w:val="bottom"/>
            <w:tcBorders>
              <w:bottom w:val="single" w:sz="8" w:color="CCEEFF"/>
            </w:tcBorders>
            <w:shd w:val="clear" w:color="auto" w:fill="CCEEFF"/>
          </w:tcPr>
          <w:p>
            <w:pPr>
              <w:ind w:left="980"/>
              <w:spacing w:after="0"/>
              <w:rPr>
                <w:sz w:val="20"/>
                <w:szCs w:val="20"/>
                <w:color w:val="auto"/>
              </w:rPr>
            </w:pPr>
            <w:r>
              <w:rPr>
                <w:rFonts w:ascii="Arial" w:cs="Arial" w:eastAsia="Arial" w:hAnsi="Arial"/>
                <w:sz w:val="18"/>
                <w:szCs w:val="18"/>
                <w:color w:val="auto"/>
                <w:w w:val="99"/>
              </w:rPr>
              <w:t>(2)%</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Clearing and transaction fees (in millions)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9"/>
              <w:spacing w:after="0"/>
              <w:rPr>
                <w:sz w:val="20"/>
                <w:szCs w:val="20"/>
                <w:color w:val="auto"/>
              </w:rPr>
            </w:pPr>
            <w:r>
              <w:rPr>
                <w:rFonts w:ascii="Arial" w:cs="Arial" w:eastAsia="Arial" w:hAnsi="Arial"/>
                <w:sz w:val="18"/>
                <w:szCs w:val="18"/>
                <w:color w:val="auto"/>
              </w:rPr>
              <w:t>590.0</w:t>
            </w:r>
          </w:p>
        </w:tc>
        <w:tc>
          <w:tcPr>
            <w:tcW w:w="5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619.2</w:t>
            </w:r>
          </w:p>
        </w:tc>
        <w:tc>
          <w:tcPr>
            <w:tcW w:w="1380" w:type="dxa"/>
            <w:vAlign w:val="bottom"/>
          </w:tcPr>
          <w:p>
            <w:pPr>
              <w:ind w:left="980"/>
              <w:spacing w:after="0"/>
              <w:rPr>
                <w:sz w:val="20"/>
                <w:szCs w:val="20"/>
                <w:color w:val="auto"/>
              </w:rPr>
            </w:pPr>
            <w:r>
              <w:rPr>
                <w:rFonts w:ascii="Arial" w:cs="Arial" w:eastAsia="Arial" w:hAnsi="Arial"/>
                <w:sz w:val="18"/>
                <w:szCs w:val="18"/>
                <w:color w:val="auto"/>
              </w:rPr>
              <w:t>(5)</w:t>
            </w:r>
          </w:p>
        </w:tc>
      </w:tr>
      <w:tr>
        <w:trPr>
          <w:trHeight w:val="27"/>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43"/>
        </w:trPr>
        <w:tc>
          <w:tcPr>
            <w:tcW w:w="7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Average rate per contract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0.786</w:t>
            </w:r>
          </w:p>
        </w:tc>
        <w:tc>
          <w:tcPr>
            <w:tcW w:w="5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0.811</w:t>
            </w:r>
          </w:p>
        </w:tc>
        <w:tc>
          <w:tcPr>
            <w:tcW w:w="1380" w:type="dxa"/>
            <w:vAlign w:val="bottom"/>
            <w:shd w:val="clear" w:color="auto" w:fill="CCEEFF"/>
          </w:tcPr>
          <w:p>
            <w:pPr>
              <w:ind w:left="980"/>
              <w:spacing w:after="0"/>
              <w:rPr>
                <w:sz w:val="20"/>
                <w:szCs w:val="20"/>
                <w:color w:val="auto"/>
              </w:rPr>
            </w:pPr>
            <w:r>
              <w:rPr>
                <w:rFonts w:ascii="Arial" w:cs="Arial" w:eastAsia="Arial" w:hAnsi="Arial"/>
                <w:sz w:val="18"/>
                <w:szCs w:val="18"/>
                <w:color w:val="auto"/>
              </w:rPr>
              <w:t>(3)</w:t>
            </w:r>
          </w:p>
        </w:tc>
      </w:tr>
      <w:tr>
        <w:trPr>
          <w:trHeight w:val="27"/>
        </w:trPr>
        <w:tc>
          <w:tcPr>
            <w:tcW w:w="76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estimate the following decreases in clearing and transaction fees based on change in total contract volume and change in average rate per contract during the first quarter of 2013 when compared with the same period in 2012.</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80" w:type="dxa"/>
            <w:vAlign w:val="bottom"/>
          </w:tcPr>
          <w:p>
            <w:pPr>
              <w:spacing w:after="0"/>
              <w:rPr>
                <w:sz w:val="14"/>
                <w:szCs w:val="14"/>
                <w:color w:val="auto"/>
              </w:rPr>
            </w:pPr>
          </w:p>
        </w:tc>
        <w:tc>
          <w:tcPr>
            <w:tcW w:w="1140" w:type="dxa"/>
            <w:vAlign w:val="bottom"/>
            <w:gridSpan w:val="2"/>
          </w:tcPr>
          <w:p>
            <w:pPr>
              <w:jc w:val="right"/>
              <w:ind w:right="14"/>
              <w:spacing w:after="0"/>
              <w:rPr>
                <w:sz w:val="20"/>
                <w:szCs w:val="20"/>
                <w:color w:val="auto"/>
              </w:rPr>
            </w:pPr>
            <w:r>
              <w:rPr>
                <w:rFonts w:ascii="Arial" w:cs="Arial" w:eastAsia="Arial" w:hAnsi="Arial"/>
                <w:sz w:val="14"/>
                <w:szCs w:val="14"/>
                <w:b w:val="1"/>
                <w:bCs w:val="1"/>
                <w:color w:val="auto"/>
              </w:rPr>
              <w:t>Quarter Ended</w:t>
            </w:r>
          </w:p>
        </w:tc>
      </w:tr>
      <w:tr>
        <w:trPr>
          <w:trHeight w:val="192"/>
        </w:trPr>
        <w:tc>
          <w:tcPr>
            <w:tcW w:w="102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March 31</w:t>
            </w:r>
          </w:p>
        </w:tc>
      </w:tr>
      <w:tr>
        <w:trPr>
          <w:trHeight w:val="250"/>
        </w:trPr>
        <w:tc>
          <w:tcPr>
            <w:tcW w:w="10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Decrease due to change in total contract volume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r>
      <w:tr>
        <w:trPr>
          <w:trHeight w:val="243"/>
        </w:trPr>
        <w:tc>
          <w:tcPr>
            <w:tcW w:w="10280" w:type="dxa"/>
            <w:vAlign w:val="bottom"/>
          </w:tcPr>
          <w:p>
            <w:pPr>
              <w:ind w:left="40"/>
              <w:spacing w:after="0"/>
              <w:rPr>
                <w:sz w:val="20"/>
                <w:szCs w:val="20"/>
                <w:color w:val="auto"/>
              </w:rPr>
            </w:pPr>
            <w:r>
              <w:rPr>
                <w:rFonts w:ascii="Arial" w:cs="Arial" w:eastAsia="Arial" w:hAnsi="Arial"/>
                <w:sz w:val="18"/>
                <w:szCs w:val="18"/>
                <w:color w:val="auto"/>
              </w:rPr>
              <w:t>Decrease due to change in average rate per contract</w:t>
            </w: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(19.3)</w:t>
            </w:r>
          </w:p>
        </w:tc>
      </w:tr>
      <w:tr>
        <w:trPr>
          <w:trHeight w:val="27"/>
        </w:trPr>
        <w:tc>
          <w:tcPr>
            <w:tcW w:w="102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10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Decrease in clearing and transaction fees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r>
      <w:tr>
        <w:trPr>
          <w:trHeight w:val="27"/>
        </w:trPr>
        <w:tc>
          <w:tcPr>
            <w:tcW w:w="102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Average rate per contract is impacted by our rate structure, including volume-based incentives; product mix; trading venue, and the percentage of volume executed by customers who are members compared with non-member customers. Due to the relationship between average rate per contract and volume, the change in revenues attributable to changes in each is only an approximation.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Volume</w:t>
      </w:r>
    </w:p>
    <w:p>
      <w:pPr>
        <w:spacing w:after="0" w:line="22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following table summarizes average daily contract volume. Contract volume can be influenced by many factors, including political and economic factors, the regulatory environment and market competition. Total contract volume decreased by 2% while average daily volume increased by 2% because there were two fewer trading days in the first quarter of 2013 than in the same period in 2012.</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4"/>
                <w:szCs w:val="14"/>
                <w:color w:val="auto"/>
              </w:rPr>
            </w:pPr>
          </w:p>
        </w:tc>
        <w:tc>
          <w:tcPr>
            <w:tcW w:w="1660" w:type="dxa"/>
            <w:vAlign w:val="bottom"/>
            <w:gridSpan w:val="3"/>
          </w:tcPr>
          <w:p>
            <w:pPr>
              <w:jc w:val="center"/>
              <w:ind w:left="633"/>
              <w:spacing w:after="0"/>
              <w:rPr>
                <w:sz w:val="20"/>
                <w:szCs w:val="20"/>
                <w:color w:val="auto"/>
              </w:rPr>
            </w:pPr>
            <w:r>
              <w:rPr>
                <w:rFonts w:ascii="Arial" w:cs="Arial" w:eastAsia="Arial" w:hAnsi="Arial"/>
                <w:sz w:val="14"/>
                <w:szCs w:val="14"/>
                <w:b w:val="1"/>
                <w:bCs w:val="1"/>
                <w:color w:val="auto"/>
                <w:w w:val="96"/>
              </w:rPr>
              <w:t>Quarter Ended</w:t>
            </w:r>
          </w:p>
        </w:tc>
        <w:tc>
          <w:tcPr>
            <w:tcW w:w="72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92"/>
        </w:trPr>
        <w:tc>
          <w:tcPr>
            <w:tcW w:w="7680" w:type="dxa"/>
            <w:vAlign w:val="bottom"/>
          </w:tcPr>
          <w:p>
            <w:pPr>
              <w:spacing w:after="0"/>
              <w:rPr>
                <w:sz w:val="16"/>
                <w:szCs w:val="16"/>
                <w:color w:val="auto"/>
              </w:rPr>
            </w:pPr>
          </w:p>
        </w:tc>
        <w:tc>
          <w:tcPr>
            <w:tcW w:w="1660" w:type="dxa"/>
            <w:vAlign w:val="bottom"/>
            <w:tcBorders>
              <w:bottom w:val="single" w:sz="8" w:color="auto"/>
            </w:tcBorders>
            <w:gridSpan w:val="3"/>
          </w:tcPr>
          <w:p>
            <w:pPr>
              <w:jc w:val="center"/>
              <w:ind w:left="653"/>
              <w:spacing w:after="0"/>
              <w:rPr>
                <w:sz w:val="20"/>
                <w:szCs w:val="20"/>
                <w:color w:val="auto"/>
              </w:rPr>
            </w:pPr>
            <w:r>
              <w:rPr>
                <w:rFonts w:ascii="Arial" w:cs="Arial" w:eastAsia="Arial" w:hAnsi="Arial"/>
                <w:sz w:val="14"/>
                <w:szCs w:val="14"/>
                <w:b w:val="1"/>
                <w:bCs w:val="1"/>
                <w:color w:val="auto"/>
                <w:w w:val="99"/>
              </w:rPr>
              <w:t>March 31,</w:t>
            </w:r>
          </w:p>
        </w:tc>
        <w:tc>
          <w:tcPr>
            <w:tcW w:w="720" w:type="dxa"/>
            <w:vAlign w:val="bottom"/>
            <w:tcBorders>
              <w:bottom w:val="single" w:sz="8" w:color="auto"/>
            </w:tcBorders>
          </w:tcPr>
          <w:p>
            <w:pPr>
              <w:spacing w:after="0"/>
              <w:rPr>
                <w:sz w:val="16"/>
                <w:szCs w:val="16"/>
                <w:color w:val="auto"/>
              </w:rPr>
            </w:pPr>
          </w:p>
        </w:tc>
        <w:tc>
          <w:tcPr>
            <w:tcW w:w="1360" w:type="dxa"/>
            <w:vAlign w:val="bottom"/>
          </w:tcPr>
          <w:p>
            <w:pPr>
              <w:spacing w:after="0"/>
              <w:rPr>
                <w:sz w:val="16"/>
                <w:szCs w:val="16"/>
                <w:color w:val="auto"/>
              </w:rPr>
            </w:pPr>
          </w:p>
        </w:tc>
      </w:tr>
      <w:tr>
        <w:trPr>
          <w:trHeight w:val="264"/>
        </w:trPr>
        <w:tc>
          <w:tcPr>
            <w:tcW w:w="76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(amounts in thousands)</w:t>
            </w:r>
          </w:p>
        </w:tc>
        <w:tc>
          <w:tcPr>
            <w:tcW w:w="114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w w:val="89"/>
              </w:rPr>
              <w:t>2012</w:t>
            </w:r>
          </w:p>
        </w:tc>
        <w:tc>
          <w:tcPr>
            <w:tcW w:w="136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Change</w:t>
            </w:r>
          </w:p>
        </w:tc>
      </w:tr>
      <w:tr>
        <w:trPr>
          <w:trHeight w:val="250"/>
        </w:trPr>
        <w:tc>
          <w:tcPr>
            <w:tcW w:w="7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Average Daily Volume by Product Line:</w:t>
            </w: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7680" w:type="dxa"/>
            <w:vAlign w:val="bottom"/>
          </w:tcPr>
          <w:p>
            <w:pPr>
              <w:ind w:left="40"/>
              <w:spacing w:after="0"/>
              <w:rPr>
                <w:sz w:val="20"/>
                <w:szCs w:val="20"/>
                <w:color w:val="auto"/>
              </w:rPr>
            </w:pPr>
            <w:r>
              <w:rPr>
                <w:rFonts w:ascii="Arial" w:cs="Arial" w:eastAsia="Arial" w:hAnsi="Arial"/>
                <w:sz w:val="18"/>
                <w:szCs w:val="18"/>
                <w:color w:val="auto"/>
              </w:rPr>
              <w:t>Interest rate</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5,656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5,613</w:t>
            </w:r>
          </w:p>
        </w:tc>
        <w:tc>
          <w:tcPr>
            <w:tcW w:w="1360" w:type="dxa"/>
            <w:vAlign w:val="bottom"/>
          </w:tcPr>
          <w:p>
            <w:pPr>
              <w:jc w:val="right"/>
              <w:spacing w:after="0"/>
              <w:rPr>
                <w:sz w:val="20"/>
                <w:szCs w:val="20"/>
                <w:color w:val="auto"/>
              </w:rPr>
            </w:pPr>
            <w:r>
              <w:rPr>
                <w:rFonts w:ascii="Arial" w:cs="Arial" w:eastAsia="Arial" w:hAnsi="Arial"/>
                <w:sz w:val="18"/>
                <w:szCs w:val="18"/>
                <w:color w:val="auto"/>
              </w:rPr>
              <w:t>1 %</w:t>
            </w:r>
          </w:p>
        </w:tc>
      </w:tr>
      <w:tr>
        <w:trPr>
          <w:trHeight w:val="27"/>
        </w:trPr>
        <w:tc>
          <w:tcPr>
            <w:tcW w:w="76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2,608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2,390</w:t>
            </w:r>
          </w:p>
        </w:tc>
        <w:tc>
          <w:tcPr>
            <w:tcW w:w="13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9</w:t>
            </w:r>
          </w:p>
        </w:tc>
      </w:tr>
      <w:tr>
        <w:trPr>
          <w:trHeight w:val="243"/>
        </w:trPr>
        <w:tc>
          <w:tcPr>
            <w:tcW w:w="7680" w:type="dxa"/>
            <w:vAlign w:val="bottom"/>
          </w:tcPr>
          <w:p>
            <w:pPr>
              <w:ind w:left="40"/>
              <w:spacing w:after="0"/>
              <w:rPr>
                <w:sz w:val="20"/>
                <w:szCs w:val="20"/>
                <w:color w:val="auto"/>
              </w:rPr>
            </w:pPr>
            <w:r>
              <w:rPr>
                <w:rFonts w:ascii="Arial" w:cs="Arial" w:eastAsia="Arial" w:hAnsi="Arial"/>
                <w:sz w:val="18"/>
                <w:szCs w:val="18"/>
                <w:color w:val="auto"/>
              </w:rPr>
              <w:t>Foreign exchange</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1,010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846</w:t>
            </w:r>
          </w:p>
        </w:tc>
        <w:tc>
          <w:tcPr>
            <w:tcW w:w="1360" w:type="dxa"/>
            <w:vAlign w:val="bottom"/>
          </w:tcPr>
          <w:p>
            <w:pPr>
              <w:jc w:val="right"/>
              <w:ind w:right="131"/>
              <w:spacing w:after="0"/>
              <w:rPr>
                <w:sz w:val="20"/>
                <w:szCs w:val="20"/>
                <w:color w:val="auto"/>
              </w:rPr>
            </w:pPr>
            <w:r>
              <w:rPr>
                <w:rFonts w:ascii="Arial" w:cs="Arial" w:eastAsia="Arial" w:hAnsi="Arial"/>
                <w:sz w:val="18"/>
                <w:szCs w:val="18"/>
                <w:color w:val="auto"/>
              </w:rPr>
              <w:t>19</w:t>
            </w:r>
          </w:p>
        </w:tc>
      </w:tr>
      <w:tr>
        <w:trPr>
          <w:trHeight w:val="27"/>
        </w:trPr>
        <w:tc>
          <w:tcPr>
            <w:tcW w:w="76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76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Agricultural commodity </w:t>
            </w:r>
            <w:r>
              <w:rPr>
                <w:rFonts w:ascii="Arial" w:cs="Arial" w:eastAsia="Arial" w:hAnsi="Arial"/>
                <w:sz w:val="25"/>
                <w:szCs w:val="25"/>
                <w:color w:val="auto"/>
                <w:vertAlign w:val="superscript"/>
              </w:rPr>
              <w:t>(1)</w:t>
            </w:r>
          </w:p>
        </w:tc>
        <w:tc>
          <w:tcPr>
            <w:tcW w:w="11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1,108</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1,122</w:t>
            </w:r>
          </w:p>
        </w:tc>
        <w:tc>
          <w:tcPr>
            <w:tcW w:w="13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w:t>
            </w:r>
          </w:p>
        </w:tc>
      </w:tr>
      <w:tr>
        <w:trPr>
          <w:trHeight w:val="243"/>
        </w:trPr>
        <w:tc>
          <w:tcPr>
            <w:tcW w:w="7680" w:type="dxa"/>
            <w:vAlign w:val="bottom"/>
          </w:tcPr>
          <w:p>
            <w:pPr>
              <w:ind w:left="40"/>
              <w:spacing w:after="0"/>
              <w:rPr>
                <w:sz w:val="20"/>
                <w:szCs w:val="20"/>
                <w:color w:val="auto"/>
              </w:rPr>
            </w:pPr>
            <w:r>
              <w:rPr>
                <w:rFonts w:ascii="Arial" w:cs="Arial" w:eastAsia="Arial" w:hAnsi="Arial"/>
                <w:sz w:val="18"/>
                <w:szCs w:val="18"/>
                <w:color w:val="auto"/>
              </w:rPr>
              <w:t>Energy</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1,730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1,952</w:t>
            </w:r>
          </w:p>
        </w:tc>
        <w:tc>
          <w:tcPr>
            <w:tcW w:w="1360" w:type="dxa"/>
            <w:vAlign w:val="bottom"/>
          </w:tcPr>
          <w:p>
            <w:pPr>
              <w:jc w:val="right"/>
              <w:ind w:right="71"/>
              <w:spacing w:after="0"/>
              <w:rPr>
                <w:sz w:val="20"/>
                <w:szCs w:val="20"/>
                <w:color w:val="auto"/>
              </w:rPr>
            </w:pPr>
            <w:r>
              <w:rPr>
                <w:rFonts w:ascii="Arial" w:cs="Arial" w:eastAsia="Arial" w:hAnsi="Arial"/>
                <w:sz w:val="18"/>
                <w:szCs w:val="18"/>
                <w:color w:val="auto"/>
              </w:rPr>
              <w:t>(12)</w:t>
            </w:r>
          </w:p>
        </w:tc>
      </w:tr>
      <w:tr>
        <w:trPr>
          <w:trHeight w:val="27"/>
        </w:trPr>
        <w:tc>
          <w:tcPr>
            <w:tcW w:w="76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7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Metal</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397</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385</w:t>
            </w:r>
          </w:p>
        </w:tc>
        <w:tc>
          <w:tcPr>
            <w:tcW w:w="13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3</w:t>
            </w:r>
          </w:p>
        </w:tc>
      </w:tr>
      <w:tr>
        <w:trPr>
          <w:trHeight w:val="237"/>
        </w:trPr>
        <w:tc>
          <w:tcPr>
            <w:tcW w:w="7680" w:type="dxa"/>
            <w:vAlign w:val="bottom"/>
          </w:tcPr>
          <w:p>
            <w:pPr>
              <w:ind w:left="40"/>
              <w:spacing w:after="0"/>
              <w:rPr>
                <w:sz w:val="20"/>
                <w:szCs w:val="20"/>
                <w:color w:val="auto"/>
              </w:rPr>
            </w:pPr>
            <w:r>
              <w:rPr>
                <w:rFonts w:ascii="Arial" w:cs="Arial" w:eastAsia="Arial" w:hAnsi="Arial"/>
                <w:sz w:val="18"/>
                <w:szCs w:val="18"/>
                <w:color w:val="auto"/>
              </w:rPr>
              <w:t>Aggregate average daily volume</w:t>
            </w:r>
          </w:p>
        </w:tc>
        <w:tc>
          <w:tcPr>
            <w:tcW w:w="11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12,509</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12,308</w:t>
            </w:r>
          </w:p>
        </w:tc>
        <w:tc>
          <w:tcPr>
            <w:tcW w:w="1360" w:type="dxa"/>
            <w:vAlign w:val="bottom"/>
          </w:tcPr>
          <w:p>
            <w:pPr>
              <w:jc w:val="right"/>
              <w:ind w:right="131"/>
              <w:spacing w:after="0"/>
              <w:rPr>
                <w:sz w:val="20"/>
                <w:szCs w:val="20"/>
                <w:color w:val="auto"/>
              </w:rPr>
            </w:pPr>
            <w:r>
              <w:rPr>
                <w:rFonts w:ascii="Arial" w:cs="Arial" w:eastAsia="Arial" w:hAnsi="Arial"/>
                <w:sz w:val="18"/>
                <w:szCs w:val="18"/>
                <w:color w:val="auto"/>
              </w:rPr>
              <w:t>2</w:t>
            </w:r>
          </w:p>
        </w:tc>
      </w:tr>
      <w:tr>
        <w:trPr>
          <w:trHeight w:val="27"/>
        </w:trPr>
        <w:tc>
          <w:tcPr>
            <w:tcW w:w="76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Average Daily Volume by Venue:</w:t>
            </w: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7680" w:type="dxa"/>
            <w:vAlign w:val="bottom"/>
          </w:tcPr>
          <w:p>
            <w:pPr>
              <w:ind w:left="40"/>
              <w:spacing w:after="0"/>
              <w:rPr>
                <w:sz w:val="20"/>
                <w:szCs w:val="20"/>
                <w:color w:val="auto"/>
              </w:rPr>
            </w:pPr>
            <w:r>
              <w:rPr>
                <w:rFonts w:ascii="Arial" w:cs="Arial" w:eastAsia="Arial" w:hAnsi="Arial"/>
                <w:sz w:val="18"/>
                <w:szCs w:val="18"/>
                <w:color w:val="auto"/>
              </w:rPr>
              <w:t>Electronic</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10,932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10,177</w:t>
            </w:r>
          </w:p>
        </w:tc>
        <w:tc>
          <w:tcPr>
            <w:tcW w:w="1360" w:type="dxa"/>
            <w:vAlign w:val="bottom"/>
          </w:tcPr>
          <w:p>
            <w:pPr>
              <w:jc w:val="right"/>
              <w:ind w:right="131"/>
              <w:spacing w:after="0"/>
              <w:rPr>
                <w:sz w:val="20"/>
                <w:szCs w:val="20"/>
                <w:color w:val="auto"/>
              </w:rPr>
            </w:pPr>
            <w:r>
              <w:rPr>
                <w:rFonts w:ascii="Arial" w:cs="Arial" w:eastAsia="Arial" w:hAnsi="Arial"/>
                <w:sz w:val="18"/>
                <w:szCs w:val="18"/>
                <w:color w:val="auto"/>
              </w:rPr>
              <w:t>7</w:t>
            </w:r>
          </w:p>
        </w:tc>
      </w:tr>
      <w:tr>
        <w:trPr>
          <w:trHeight w:val="27"/>
        </w:trPr>
        <w:tc>
          <w:tcPr>
            <w:tcW w:w="76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Open outcry</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886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1,348</w:t>
            </w:r>
          </w:p>
        </w:tc>
        <w:tc>
          <w:tcPr>
            <w:tcW w:w="13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(34)</w:t>
            </w:r>
          </w:p>
        </w:tc>
      </w:tr>
      <w:tr>
        <w:trPr>
          <w:trHeight w:val="243"/>
        </w:trPr>
        <w:tc>
          <w:tcPr>
            <w:tcW w:w="7680" w:type="dxa"/>
            <w:vAlign w:val="bottom"/>
          </w:tcPr>
          <w:p>
            <w:pPr>
              <w:ind w:left="40"/>
              <w:spacing w:after="0"/>
              <w:rPr>
                <w:sz w:val="20"/>
                <w:szCs w:val="20"/>
                <w:color w:val="auto"/>
              </w:rPr>
            </w:pPr>
            <w:r>
              <w:rPr>
                <w:rFonts w:ascii="Arial" w:cs="Arial" w:eastAsia="Arial" w:hAnsi="Arial"/>
                <w:sz w:val="18"/>
                <w:szCs w:val="18"/>
                <w:color w:val="auto"/>
              </w:rPr>
              <w:t>Privately negotiated</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229</w:t>
            </w:r>
          </w:p>
        </w:tc>
        <w:tc>
          <w:tcPr>
            <w:tcW w:w="1360" w:type="dxa"/>
            <w:vAlign w:val="bottom"/>
          </w:tcPr>
          <w:p>
            <w:pPr>
              <w:jc w:val="right"/>
              <w:ind w:right="131"/>
              <w:spacing w:after="0"/>
              <w:rPr>
                <w:sz w:val="20"/>
                <w:szCs w:val="20"/>
                <w:color w:val="auto"/>
              </w:rPr>
            </w:pPr>
            <w:r>
              <w:rPr>
                <w:rFonts w:ascii="Arial" w:cs="Arial" w:eastAsia="Arial" w:hAnsi="Arial"/>
                <w:sz w:val="18"/>
                <w:szCs w:val="18"/>
                <w:color w:val="auto"/>
              </w:rPr>
              <w:t>20</w:t>
            </w:r>
          </w:p>
        </w:tc>
      </w:tr>
      <w:tr>
        <w:trPr>
          <w:trHeight w:val="27"/>
        </w:trPr>
        <w:tc>
          <w:tcPr>
            <w:tcW w:w="768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r>
      <w:tr>
        <w:trPr>
          <w:trHeight w:val="244"/>
        </w:trPr>
        <w:tc>
          <w:tcPr>
            <w:tcW w:w="7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exchange-traded volume</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12,093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11,754</w:t>
            </w:r>
          </w:p>
        </w:tc>
        <w:tc>
          <w:tcPr>
            <w:tcW w:w="13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3</w:t>
            </w:r>
          </w:p>
        </w:tc>
      </w:tr>
      <w:tr>
        <w:trPr>
          <w:trHeight w:val="243"/>
        </w:trPr>
        <w:tc>
          <w:tcPr>
            <w:tcW w:w="7680" w:type="dxa"/>
            <w:vAlign w:val="bottom"/>
          </w:tcPr>
          <w:p>
            <w:pPr>
              <w:ind w:left="40"/>
              <w:spacing w:after="0"/>
              <w:rPr>
                <w:sz w:val="20"/>
                <w:szCs w:val="20"/>
                <w:color w:val="auto"/>
              </w:rPr>
            </w:pPr>
            <w:r>
              <w:rPr>
                <w:rFonts w:ascii="Arial" w:cs="Arial" w:eastAsia="Arial" w:hAnsi="Arial"/>
                <w:sz w:val="18"/>
                <w:szCs w:val="18"/>
                <w:color w:val="auto"/>
              </w:rPr>
              <w:t>Total CME ClearPort</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416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554</w:t>
            </w:r>
          </w:p>
        </w:tc>
        <w:tc>
          <w:tcPr>
            <w:tcW w:w="1360" w:type="dxa"/>
            <w:vAlign w:val="bottom"/>
          </w:tcPr>
          <w:p>
            <w:pPr>
              <w:jc w:val="right"/>
              <w:ind w:right="71"/>
              <w:spacing w:after="0"/>
              <w:rPr>
                <w:sz w:val="20"/>
                <w:szCs w:val="20"/>
                <w:color w:val="auto"/>
              </w:rPr>
            </w:pPr>
            <w:r>
              <w:rPr>
                <w:rFonts w:ascii="Arial" w:cs="Arial" w:eastAsia="Arial" w:hAnsi="Arial"/>
                <w:sz w:val="18"/>
                <w:szCs w:val="18"/>
                <w:color w:val="auto"/>
              </w:rPr>
              <w:t>(25)</w:t>
            </w:r>
          </w:p>
        </w:tc>
      </w:tr>
      <w:tr>
        <w:trPr>
          <w:trHeight w:val="27"/>
        </w:trPr>
        <w:tc>
          <w:tcPr>
            <w:tcW w:w="768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r>
      <w:tr>
        <w:trPr>
          <w:trHeight w:val="237"/>
        </w:trPr>
        <w:tc>
          <w:tcPr>
            <w:tcW w:w="7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Aggregate average daily volume</w:t>
            </w:r>
          </w:p>
        </w:tc>
        <w:tc>
          <w:tcPr>
            <w:tcW w:w="11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12,509</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12,308</w:t>
            </w:r>
          </w:p>
        </w:tc>
        <w:tc>
          <w:tcPr>
            <w:tcW w:w="13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w:t>
            </w:r>
          </w:p>
        </w:tc>
      </w:tr>
      <w:tr>
        <w:trPr>
          <w:trHeight w:val="27"/>
        </w:trPr>
        <w:tc>
          <w:tcPr>
            <w:tcW w:w="76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310" w:lineRule="exact"/>
        <w:rPr>
          <w:sz w:val="20"/>
          <w:szCs w:val="20"/>
          <w:color w:val="auto"/>
        </w:rPr>
      </w:pPr>
    </w:p>
    <w:p>
      <w:pPr>
        <w:ind w:left="5620" w:right="2680" w:hanging="5612"/>
        <w:spacing w:after="0" w:line="559" w:lineRule="auto"/>
        <w:tabs>
          <w:tab w:leader="none" w:pos="259" w:val="left"/>
        </w:tabs>
        <w:numPr>
          <w:ilvl w:val="0"/>
          <w:numId w:val="9"/>
        </w:numPr>
        <w:rPr>
          <w:rFonts w:ascii="Arial" w:cs="Arial" w:eastAsia="Arial" w:hAnsi="Arial"/>
          <w:sz w:val="18"/>
          <w:szCs w:val="18"/>
          <w:color w:val="auto"/>
        </w:rPr>
      </w:pPr>
      <w:r>
        <w:rPr>
          <w:rFonts w:ascii="Arial" w:cs="Arial" w:eastAsia="Arial" w:hAnsi="Arial"/>
          <w:sz w:val="18"/>
          <w:szCs w:val="18"/>
          <w:color w:val="auto"/>
        </w:rPr>
        <w:t>Average daily volume for agricultural commodity products includes volume for KCBT beginning on January 1, 2013. 19</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Products</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following table summarizes average daily contract volume for our key interest rate products. Eurodollar Front 8 futures include contracts expiring in two years or less while Eurodollar Back 32 futures include contracts with expirations after two years through ten years.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Quarter Ended</w:t>
            </w:r>
          </w:p>
        </w:tc>
        <w:tc>
          <w:tcPr>
            <w:tcW w:w="72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92"/>
        </w:trPr>
        <w:tc>
          <w:tcPr>
            <w:tcW w:w="7660" w:type="dxa"/>
            <w:vAlign w:val="bottom"/>
          </w:tcPr>
          <w:p>
            <w:pPr>
              <w:spacing w:after="0"/>
              <w:rPr>
                <w:sz w:val="16"/>
                <w:szCs w:val="16"/>
                <w:color w:val="auto"/>
              </w:rPr>
            </w:pPr>
          </w:p>
        </w:tc>
        <w:tc>
          <w:tcPr>
            <w:tcW w:w="166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rPr>
              <w:t>March 31,</w:t>
            </w:r>
          </w:p>
        </w:tc>
        <w:tc>
          <w:tcPr>
            <w:tcW w:w="720" w:type="dxa"/>
            <w:vAlign w:val="bottom"/>
            <w:tcBorders>
              <w:bottom w:val="single" w:sz="8" w:color="auto"/>
            </w:tcBorders>
          </w:tcPr>
          <w:p>
            <w:pPr>
              <w:spacing w:after="0"/>
              <w:rPr>
                <w:sz w:val="16"/>
                <w:szCs w:val="16"/>
                <w:color w:val="auto"/>
              </w:rPr>
            </w:pPr>
          </w:p>
        </w:tc>
        <w:tc>
          <w:tcPr>
            <w:tcW w:w="1380" w:type="dxa"/>
            <w:vAlign w:val="bottom"/>
          </w:tcPr>
          <w:p>
            <w:pPr>
              <w:spacing w:after="0"/>
              <w:rPr>
                <w:sz w:val="16"/>
                <w:szCs w:val="16"/>
                <w:color w:val="auto"/>
              </w:rPr>
            </w:pPr>
          </w:p>
        </w:tc>
      </w:tr>
      <w:tr>
        <w:trPr>
          <w:trHeight w:val="264"/>
        </w:trPr>
        <w:tc>
          <w:tcPr>
            <w:tcW w:w="76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(amounts in thousands)</w:t>
            </w:r>
          </w:p>
        </w:tc>
        <w:tc>
          <w:tcPr>
            <w:tcW w:w="1660" w:type="dxa"/>
            <w:vAlign w:val="bottom"/>
            <w:tcBorders>
              <w:bottom w:val="single" w:sz="8" w:color="auto"/>
            </w:tcBorders>
          </w:tcPr>
          <w:p>
            <w:pPr>
              <w:jc w:val="right"/>
              <w:ind w:right="855"/>
              <w:spacing w:after="0"/>
              <w:rPr>
                <w:sz w:val="20"/>
                <w:szCs w:val="20"/>
                <w:color w:val="auto"/>
              </w:rPr>
            </w:pPr>
            <w:r>
              <w:rPr>
                <w:rFonts w:ascii="Arial" w:cs="Arial" w:eastAsia="Arial" w:hAnsi="Arial"/>
                <w:sz w:val="14"/>
                <w:szCs w:val="14"/>
                <w:b w:val="1"/>
                <w:bCs w:val="1"/>
                <w:color w:val="auto"/>
              </w:rPr>
              <w:t>2013</w:t>
            </w:r>
          </w:p>
        </w:tc>
        <w:tc>
          <w:tcPr>
            <w:tcW w:w="72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w w:val="89"/>
              </w:rPr>
              <w:t>2012</w:t>
            </w:r>
          </w:p>
        </w:tc>
        <w:tc>
          <w:tcPr>
            <w:tcW w:w="138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Change</w:t>
            </w: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Eurodollar futures and options:</w:t>
            </w:r>
          </w:p>
        </w:tc>
        <w:tc>
          <w:tcPr>
            <w:tcW w:w="16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Front 8 futures</w:t>
            </w:r>
          </w:p>
        </w:tc>
        <w:tc>
          <w:tcPr>
            <w:tcW w:w="1660" w:type="dxa"/>
            <w:vAlign w:val="bottom"/>
          </w:tcPr>
          <w:p>
            <w:pPr>
              <w:jc w:val="right"/>
              <w:ind w:right="535"/>
              <w:spacing w:after="0"/>
              <w:rPr>
                <w:sz w:val="20"/>
                <w:szCs w:val="20"/>
                <w:color w:val="auto"/>
              </w:rPr>
            </w:pPr>
            <w:r>
              <w:rPr>
                <w:rFonts w:ascii="Arial" w:cs="Arial" w:eastAsia="Arial" w:hAnsi="Arial"/>
                <w:sz w:val="18"/>
                <w:szCs w:val="18"/>
                <w:color w:val="auto"/>
              </w:rPr>
              <w:t>1,097</w:t>
            </w: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1,347</w:t>
            </w:r>
          </w:p>
        </w:tc>
        <w:tc>
          <w:tcPr>
            <w:tcW w:w="13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7"/>
        </w:trPr>
        <w:tc>
          <w:tcPr>
            <w:tcW w:w="76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Back 32 futures</w:t>
            </w:r>
          </w:p>
        </w:tc>
        <w:tc>
          <w:tcPr>
            <w:tcW w:w="1660" w:type="dxa"/>
            <w:vAlign w:val="bottom"/>
            <w:tcBorders>
              <w:bottom w:val="single" w:sz="8" w:color="CCEEFF"/>
            </w:tcBorders>
            <w:shd w:val="clear" w:color="auto" w:fill="CCEEFF"/>
          </w:tcPr>
          <w:p>
            <w:pPr>
              <w:jc w:val="right"/>
              <w:ind w:right="535"/>
              <w:spacing w:after="0"/>
              <w:rPr>
                <w:sz w:val="20"/>
                <w:szCs w:val="20"/>
                <w:color w:val="auto"/>
              </w:rPr>
            </w:pPr>
            <w:r>
              <w:rPr>
                <w:rFonts w:ascii="Arial" w:cs="Arial" w:eastAsia="Arial" w:hAnsi="Arial"/>
                <w:sz w:val="18"/>
                <w:szCs w:val="18"/>
                <w:color w:val="auto"/>
              </w:rPr>
              <w:t>734</w:t>
            </w: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684</w:t>
            </w:r>
          </w:p>
        </w:tc>
        <w:tc>
          <w:tcPr>
            <w:tcW w:w="138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7</w:t>
            </w: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Options</w:t>
            </w:r>
          </w:p>
        </w:tc>
        <w:tc>
          <w:tcPr>
            <w:tcW w:w="1660" w:type="dxa"/>
            <w:vAlign w:val="bottom"/>
          </w:tcPr>
          <w:p>
            <w:pPr>
              <w:jc w:val="right"/>
              <w:ind w:right="535"/>
              <w:spacing w:after="0"/>
              <w:rPr>
                <w:sz w:val="20"/>
                <w:szCs w:val="20"/>
                <w:color w:val="auto"/>
              </w:rPr>
            </w:pPr>
            <w:r>
              <w:rPr>
                <w:rFonts w:ascii="Arial" w:cs="Arial" w:eastAsia="Arial" w:hAnsi="Arial"/>
                <w:sz w:val="18"/>
                <w:szCs w:val="18"/>
                <w:color w:val="auto"/>
              </w:rPr>
              <w:t>400</w:t>
            </w: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811</w:t>
            </w:r>
          </w:p>
        </w:tc>
        <w:tc>
          <w:tcPr>
            <w:tcW w:w="1380" w:type="dxa"/>
            <w:vAlign w:val="bottom"/>
          </w:tcPr>
          <w:p>
            <w:pPr>
              <w:jc w:val="right"/>
              <w:ind w:right="92"/>
              <w:spacing w:after="0"/>
              <w:rPr>
                <w:sz w:val="20"/>
                <w:szCs w:val="20"/>
                <w:color w:val="auto"/>
              </w:rPr>
            </w:pPr>
            <w:r>
              <w:rPr>
                <w:rFonts w:ascii="Arial" w:cs="Arial" w:eastAsia="Arial" w:hAnsi="Arial"/>
                <w:sz w:val="18"/>
                <w:szCs w:val="18"/>
                <w:color w:val="auto"/>
              </w:rPr>
              <w:t>(51)</w:t>
            </w:r>
          </w:p>
        </w:tc>
      </w:tr>
      <w:tr>
        <w:trPr>
          <w:trHeight w:val="27"/>
        </w:trPr>
        <w:tc>
          <w:tcPr>
            <w:tcW w:w="76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Treasury futures and options:</w:t>
            </w:r>
          </w:p>
        </w:tc>
        <w:tc>
          <w:tcPr>
            <w:tcW w:w="16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10-Year</w:t>
            </w:r>
          </w:p>
        </w:tc>
        <w:tc>
          <w:tcPr>
            <w:tcW w:w="1660" w:type="dxa"/>
            <w:vAlign w:val="bottom"/>
          </w:tcPr>
          <w:p>
            <w:pPr>
              <w:jc w:val="right"/>
              <w:ind w:right="535"/>
              <w:spacing w:after="0"/>
              <w:rPr>
                <w:sz w:val="20"/>
                <w:szCs w:val="20"/>
                <w:color w:val="auto"/>
              </w:rPr>
            </w:pPr>
            <w:r>
              <w:rPr>
                <w:rFonts w:ascii="Arial" w:cs="Arial" w:eastAsia="Arial" w:hAnsi="Arial"/>
                <w:sz w:val="18"/>
                <w:szCs w:val="18"/>
                <w:color w:val="auto"/>
              </w:rPr>
              <w:t>1,693</w:t>
            </w: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1,353</w:t>
            </w:r>
          </w:p>
        </w:tc>
        <w:tc>
          <w:tcPr>
            <w:tcW w:w="1380" w:type="dxa"/>
            <w:vAlign w:val="bottom"/>
          </w:tcPr>
          <w:p>
            <w:pPr>
              <w:jc w:val="right"/>
              <w:ind w:right="152"/>
              <w:spacing w:after="0"/>
              <w:rPr>
                <w:sz w:val="20"/>
                <w:szCs w:val="20"/>
                <w:color w:val="auto"/>
              </w:rPr>
            </w:pPr>
            <w:r>
              <w:rPr>
                <w:rFonts w:ascii="Arial" w:cs="Arial" w:eastAsia="Arial" w:hAnsi="Arial"/>
                <w:sz w:val="18"/>
                <w:szCs w:val="18"/>
                <w:color w:val="auto"/>
              </w:rPr>
              <w:t>25</w:t>
            </w:r>
          </w:p>
        </w:tc>
      </w:tr>
      <w:tr>
        <w:trPr>
          <w:trHeight w:val="27"/>
        </w:trPr>
        <w:tc>
          <w:tcPr>
            <w:tcW w:w="76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5-Year</w:t>
            </w:r>
          </w:p>
        </w:tc>
        <w:tc>
          <w:tcPr>
            <w:tcW w:w="1660" w:type="dxa"/>
            <w:vAlign w:val="bottom"/>
            <w:tcBorders>
              <w:bottom w:val="single" w:sz="8" w:color="CCEEFF"/>
            </w:tcBorders>
            <w:shd w:val="clear" w:color="auto" w:fill="CCEEFF"/>
          </w:tcPr>
          <w:p>
            <w:pPr>
              <w:jc w:val="right"/>
              <w:ind w:right="535"/>
              <w:spacing w:after="0"/>
              <w:rPr>
                <w:sz w:val="20"/>
                <w:szCs w:val="20"/>
                <w:color w:val="auto"/>
              </w:rPr>
            </w:pPr>
            <w:r>
              <w:rPr>
                <w:rFonts w:ascii="Arial" w:cs="Arial" w:eastAsia="Arial" w:hAnsi="Arial"/>
                <w:sz w:val="18"/>
                <w:szCs w:val="18"/>
                <w:color w:val="auto"/>
              </w:rPr>
              <w:t>811</w:t>
            </w: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627</w:t>
            </w:r>
          </w:p>
        </w:tc>
        <w:tc>
          <w:tcPr>
            <w:tcW w:w="138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29</w:t>
            </w: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Treasury bond</w:t>
            </w:r>
          </w:p>
        </w:tc>
        <w:tc>
          <w:tcPr>
            <w:tcW w:w="1660" w:type="dxa"/>
            <w:vAlign w:val="bottom"/>
          </w:tcPr>
          <w:p>
            <w:pPr>
              <w:jc w:val="right"/>
              <w:ind w:right="535"/>
              <w:spacing w:after="0"/>
              <w:rPr>
                <w:sz w:val="20"/>
                <w:szCs w:val="20"/>
                <w:color w:val="auto"/>
              </w:rPr>
            </w:pPr>
            <w:r>
              <w:rPr>
                <w:rFonts w:ascii="Arial" w:cs="Arial" w:eastAsia="Arial" w:hAnsi="Arial"/>
                <w:sz w:val="18"/>
                <w:szCs w:val="18"/>
                <w:color w:val="auto"/>
              </w:rPr>
              <w:t>508</w:t>
            </w: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421</w:t>
            </w:r>
          </w:p>
        </w:tc>
        <w:tc>
          <w:tcPr>
            <w:tcW w:w="1380" w:type="dxa"/>
            <w:vAlign w:val="bottom"/>
          </w:tcPr>
          <w:p>
            <w:pPr>
              <w:jc w:val="right"/>
              <w:ind w:right="152"/>
              <w:spacing w:after="0"/>
              <w:rPr>
                <w:sz w:val="20"/>
                <w:szCs w:val="20"/>
                <w:color w:val="auto"/>
              </w:rPr>
            </w:pPr>
            <w:r>
              <w:rPr>
                <w:rFonts w:ascii="Arial" w:cs="Arial" w:eastAsia="Arial" w:hAnsi="Arial"/>
                <w:sz w:val="18"/>
                <w:szCs w:val="18"/>
                <w:color w:val="auto"/>
              </w:rPr>
              <w:t>20</w:t>
            </w:r>
          </w:p>
        </w:tc>
      </w:tr>
      <w:tr>
        <w:trPr>
          <w:trHeight w:val="27"/>
        </w:trPr>
        <w:tc>
          <w:tcPr>
            <w:tcW w:w="76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43"/>
        </w:trPr>
        <w:tc>
          <w:tcPr>
            <w:tcW w:w="76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2-Year</w:t>
            </w:r>
          </w:p>
        </w:tc>
        <w:tc>
          <w:tcPr>
            <w:tcW w:w="1660" w:type="dxa"/>
            <w:vAlign w:val="bottom"/>
            <w:shd w:val="clear" w:color="auto" w:fill="CCEEFF"/>
          </w:tcPr>
          <w:p>
            <w:pPr>
              <w:jc w:val="right"/>
              <w:ind w:right="535"/>
              <w:spacing w:after="0"/>
              <w:rPr>
                <w:sz w:val="20"/>
                <w:szCs w:val="20"/>
                <w:color w:val="auto"/>
              </w:rPr>
            </w:pPr>
            <w:r>
              <w:rPr>
                <w:rFonts w:ascii="Arial" w:cs="Arial" w:eastAsia="Arial" w:hAnsi="Arial"/>
                <w:sz w:val="18"/>
                <w:szCs w:val="18"/>
                <w:color w:val="auto"/>
              </w:rPr>
              <w:t>267</w:t>
            </w: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236</w:t>
            </w:r>
          </w:p>
        </w:tc>
        <w:tc>
          <w:tcPr>
            <w:tcW w:w="13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13</w:t>
            </w:r>
          </w:p>
        </w:tc>
      </w:tr>
      <w:tr>
        <w:trPr>
          <w:trHeight w:val="27"/>
        </w:trPr>
        <w:tc>
          <w:tcPr>
            <w:tcW w:w="766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Total interest rate contract volume remained flat in the first quarter of 2013 when compared with the same period in 2012. The increase in volume for long-term interest rate contracts, including the U.S. Treasury futures and options and Eurodollar Back 32 futures, was due to higher volatility in long-term interest rates resulting from the Federal Reserve's intention to revisit their quantitative easing strategy and to outline a quantitative easing exit strategy. The Federal Reserve's ongoing quantitative easing and zero interest rate policy resulted in decreased volatility in short-term interest rates throughout 2012 and early 2013, which contributed to the decline in volume for short-term interest rate contracts, including Eurodollar Front 8 futures and Eurodollar options.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Products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average daily contract volume for our key equity products.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Quarter Ended</w:t>
            </w:r>
          </w:p>
        </w:tc>
        <w:tc>
          <w:tcPr>
            <w:tcW w:w="7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92"/>
        </w:trPr>
        <w:tc>
          <w:tcPr>
            <w:tcW w:w="7720" w:type="dxa"/>
            <w:vAlign w:val="bottom"/>
          </w:tcPr>
          <w:p>
            <w:pPr>
              <w:spacing w:after="0"/>
              <w:rPr>
                <w:sz w:val="16"/>
                <w:szCs w:val="16"/>
                <w:color w:val="auto"/>
              </w:rPr>
            </w:pPr>
          </w:p>
        </w:tc>
        <w:tc>
          <w:tcPr>
            <w:tcW w:w="166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rPr>
              <w:t>March 31,</w:t>
            </w:r>
          </w:p>
        </w:tc>
        <w:tc>
          <w:tcPr>
            <w:tcW w:w="720" w:type="dxa"/>
            <w:vAlign w:val="bottom"/>
            <w:tcBorders>
              <w:bottom w:val="single" w:sz="8" w:color="auto"/>
            </w:tcBorders>
          </w:tcPr>
          <w:p>
            <w:pPr>
              <w:spacing w:after="0"/>
              <w:rPr>
                <w:sz w:val="16"/>
                <w:szCs w:val="16"/>
                <w:color w:val="auto"/>
              </w:rPr>
            </w:pPr>
          </w:p>
        </w:tc>
        <w:tc>
          <w:tcPr>
            <w:tcW w:w="1320" w:type="dxa"/>
            <w:vAlign w:val="bottom"/>
          </w:tcPr>
          <w:p>
            <w:pPr>
              <w:spacing w:after="0"/>
              <w:rPr>
                <w:sz w:val="16"/>
                <w:szCs w:val="16"/>
                <w:color w:val="auto"/>
              </w:rPr>
            </w:pPr>
          </w:p>
        </w:tc>
      </w:tr>
      <w:tr>
        <w:trPr>
          <w:trHeight w:val="264"/>
        </w:trPr>
        <w:tc>
          <w:tcPr>
            <w:tcW w:w="77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(amounts in thousands)</w:t>
            </w:r>
          </w:p>
        </w:tc>
        <w:tc>
          <w:tcPr>
            <w:tcW w:w="1660" w:type="dxa"/>
            <w:vAlign w:val="bottom"/>
            <w:tcBorders>
              <w:bottom w:val="single" w:sz="8" w:color="auto"/>
            </w:tcBorders>
          </w:tcPr>
          <w:p>
            <w:pPr>
              <w:jc w:val="right"/>
              <w:ind w:right="861"/>
              <w:spacing w:after="0"/>
              <w:rPr>
                <w:sz w:val="20"/>
                <w:szCs w:val="20"/>
                <w:color w:val="auto"/>
              </w:rPr>
            </w:pPr>
            <w:r>
              <w:rPr>
                <w:rFonts w:ascii="Arial" w:cs="Arial" w:eastAsia="Arial" w:hAnsi="Arial"/>
                <w:sz w:val="14"/>
                <w:szCs w:val="14"/>
                <w:b w:val="1"/>
                <w:bCs w:val="1"/>
                <w:color w:val="auto"/>
              </w:rPr>
              <w:t>2013</w:t>
            </w:r>
          </w:p>
        </w:tc>
        <w:tc>
          <w:tcPr>
            <w:tcW w:w="72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w w:val="89"/>
              </w:rPr>
              <w:t>2012</w:t>
            </w:r>
          </w:p>
        </w:tc>
        <w:tc>
          <w:tcPr>
            <w:tcW w:w="132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Change</w:t>
            </w:r>
          </w:p>
        </w:tc>
      </w:tr>
      <w:tr>
        <w:trPr>
          <w:trHeight w:val="250"/>
        </w:trPr>
        <w:tc>
          <w:tcPr>
            <w:tcW w:w="7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E-mini S&amp;P futures and options</w:t>
            </w:r>
          </w:p>
        </w:tc>
        <w:tc>
          <w:tcPr>
            <w:tcW w:w="1660" w:type="dxa"/>
            <w:vAlign w:val="bottom"/>
            <w:tcBorders>
              <w:bottom w:val="single" w:sz="8" w:color="CCEEFF"/>
            </w:tcBorders>
            <w:shd w:val="clear" w:color="auto" w:fill="CCEEFF"/>
          </w:tcPr>
          <w:p>
            <w:pPr>
              <w:jc w:val="right"/>
              <w:ind w:right="561"/>
              <w:spacing w:after="0"/>
              <w:rPr>
                <w:sz w:val="20"/>
                <w:szCs w:val="20"/>
                <w:color w:val="auto"/>
              </w:rPr>
            </w:pPr>
            <w:r>
              <w:rPr>
                <w:rFonts w:ascii="Arial" w:cs="Arial" w:eastAsia="Arial" w:hAnsi="Arial"/>
                <w:sz w:val="18"/>
                <w:szCs w:val="18"/>
                <w:color w:val="auto"/>
              </w:rPr>
              <w:t>2,115</w:t>
            </w:r>
          </w:p>
        </w:tc>
        <w:tc>
          <w:tcPr>
            <w:tcW w:w="7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1,905</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43"/>
        </w:trPr>
        <w:tc>
          <w:tcPr>
            <w:tcW w:w="7720" w:type="dxa"/>
            <w:vAlign w:val="bottom"/>
          </w:tcPr>
          <w:p>
            <w:pPr>
              <w:ind w:left="40"/>
              <w:spacing w:after="0"/>
              <w:rPr>
                <w:sz w:val="20"/>
                <w:szCs w:val="20"/>
                <w:color w:val="auto"/>
              </w:rPr>
            </w:pPr>
            <w:r>
              <w:rPr>
                <w:rFonts w:ascii="Arial" w:cs="Arial" w:eastAsia="Arial" w:hAnsi="Arial"/>
                <w:sz w:val="18"/>
                <w:szCs w:val="18"/>
                <w:color w:val="auto"/>
              </w:rPr>
              <w:t>E-mini NASDAQ futures and options</w:t>
            </w:r>
          </w:p>
        </w:tc>
        <w:tc>
          <w:tcPr>
            <w:tcW w:w="1660" w:type="dxa"/>
            <w:vAlign w:val="bottom"/>
          </w:tcPr>
          <w:p>
            <w:pPr>
              <w:jc w:val="right"/>
              <w:ind w:right="561"/>
              <w:spacing w:after="0"/>
              <w:rPr>
                <w:sz w:val="20"/>
                <w:szCs w:val="20"/>
                <w:color w:val="auto"/>
              </w:rPr>
            </w:pPr>
            <w:r>
              <w:rPr>
                <w:rFonts w:ascii="Arial" w:cs="Arial" w:eastAsia="Arial" w:hAnsi="Arial"/>
                <w:sz w:val="18"/>
                <w:szCs w:val="18"/>
                <w:color w:val="auto"/>
              </w:rPr>
              <w:t>231</w:t>
            </w:r>
          </w:p>
        </w:tc>
        <w:tc>
          <w:tcPr>
            <w:tcW w:w="720" w:type="dxa"/>
            <w:vAlign w:val="bottom"/>
          </w:tcPr>
          <w:p>
            <w:pPr>
              <w:jc w:val="right"/>
              <w:ind w:right="36"/>
              <w:spacing w:after="0"/>
              <w:rPr>
                <w:sz w:val="20"/>
                <w:szCs w:val="20"/>
                <w:color w:val="auto"/>
              </w:rPr>
            </w:pPr>
            <w:r>
              <w:rPr>
                <w:rFonts w:ascii="Arial" w:cs="Arial" w:eastAsia="Arial" w:hAnsi="Arial"/>
                <w:sz w:val="18"/>
                <w:szCs w:val="18"/>
                <w:color w:val="auto"/>
              </w:rPr>
              <w:t>228</w:t>
            </w:r>
          </w:p>
        </w:tc>
        <w:tc>
          <w:tcPr>
            <w:tcW w:w="1320" w:type="dxa"/>
            <w:vAlign w:val="bottom"/>
          </w:tcPr>
          <w:p>
            <w:pPr>
              <w:jc w:val="right"/>
              <w:ind w:right="96"/>
              <w:spacing w:after="0"/>
              <w:rPr>
                <w:sz w:val="20"/>
                <w:szCs w:val="20"/>
                <w:color w:val="auto"/>
              </w:rPr>
            </w:pPr>
            <w:r>
              <w:rPr>
                <w:rFonts w:ascii="Arial" w:cs="Arial" w:eastAsia="Arial" w:hAnsi="Arial"/>
                <w:sz w:val="18"/>
                <w:szCs w:val="18"/>
                <w:color w:val="auto"/>
              </w:rPr>
              <w:t>1</w:t>
            </w:r>
          </w:p>
        </w:tc>
      </w:tr>
    </w:tbl>
    <w:p>
      <w:pPr>
        <w:spacing w:after="0" w:line="12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increase in equity contract volume in the first quarter of 2013 when compared with the same period in 2012 was due to improved domestic macroeconomic conditions as well as short periods of volatility related to the Eurozone crisis in early 2013. We believe the increase in overall equity contract volume in the first quarter of 2013 was also due to a greater need for equity futures and options contracts resulting from an increase in assets under management in equity-based funds.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Products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average daily contract volume for our key foreign exchange products.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4"/>
                <w:szCs w:val="14"/>
                <w:color w:val="auto"/>
              </w:rPr>
            </w:pP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Quarter Ended</w:t>
            </w:r>
          </w:p>
        </w:tc>
        <w:tc>
          <w:tcPr>
            <w:tcW w:w="72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92"/>
        </w:trPr>
        <w:tc>
          <w:tcPr>
            <w:tcW w:w="7680" w:type="dxa"/>
            <w:vAlign w:val="bottom"/>
          </w:tcPr>
          <w:p>
            <w:pPr>
              <w:spacing w:after="0"/>
              <w:rPr>
                <w:sz w:val="16"/>
                <w:szCs w:val="16"/>
                <w:color w:val="auto"/>
              </w:rPr>
            </w:pPr>
          </w:p>
        </w:tc>
        <w:tc>
          <w:tcPr>
            <w:tcW w:w="166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rPr>
              <w:t>March 31,</w:t>
            </w:r>
          </w:p>
        </w:tc>
        <w:tc>
          <w:tcPr>
            <w:tcW w:w="720" w:type="dxa"/>
            <w:vAlign w:val="bottom"/>
            <w:tcBorders>
              <w:bottom w:val="single" w:sz="8" w:color="auto"/>
            </w:tcBorders>
          </w:tcPr>
          <w:p>
            <w:pPr>
              <w:spacing w:after="0"/>
              <w:rPr>
                <w:sz w:val="16"/>
                <w:szCs w:val="16"/>
                <w:color w:val="auto"/>
              </w:rPr>
            </w:pPr>
          </w:p>
        </w:tc>
        <w:tc>
          <w:tcPr>
            <w:tcW w:w="1360" w:type="dxa"/>
            <w:vAlign w:val="bottom"/>
          </w:tcPr>
          <w:p>
            <w:pPr>
              <w:spacing w:after="0"/>
              <w:rPr>
                <w:sz w:val="16"/>
                <w:szCs w:val="16"/>
                <w:color w:val="auto"/>
              </w:rPr>
            </w:pPr>
          </w:p>
        </w:tc>
      </w:tr>
      <w:tr>
        <w:trPr>
          <w:trHeight w:val="264"/>
        </w:trPr>
        <w:tc>
          <w:tcPr>
            <w:tcW w:w="76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(amounts in thousands)</w:t>
            </w:r>
          </w:p>
        </w:tc>
        <w:tc>
          <w:tcPr>
            <w:tcW w:w="1660" w:type="dxa"/>
            <w:vAlign w:val="bottom"/>
            <w:tcBorders>
              <w:bottom w:val="single" w:sz="8" w:color="auto"/>
            </w:tcBorders>
          </w:tcPr>
          <w:p>
            <w:pPr>
              <w:jc w:val="right"/>
              <w:ind w:right="857"/>
              <w:spacing w:after="0"/>
              <w:rPr>
                <w:sz w:val="20"/>
                <w:szCs w:val="20"/>
                <w:color w:val="auto"/>
              </w:rPr>
            </w:pPr>
            <w:r>
              <w:rPr>
                <w:rFonts w:ascii="Arial" w:cs="Arial" w:eastAsia="Arial" w:hAnsi="Arial"/>
                <w:sz w:val="14"/>
                <w:szCs w:val="14"/>
                <w:b w:val="1"/>
                <w:bCs w:val="1"/>
                <w:color w:val="auto"/>
              </w:rPr>
              <w:t>2013</w:t>
            </w:r>
          </w:p>
        </w:tc>
        <w:tc>
          <w:tcPr>
            <w:tcW w:w="7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w w:val="89"/>
              </w:rPr>
              <w:t>2012</w:t>
            </w:r>
          </w:p>
        </w:tc>
        <w:tc>
          <w:tcPr>
            <w:tcW w:w="136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Change</w:t>
            </w:r>
          </w:p>
        </w:tc>
      </w:tr>
      <w:tr>
        <w:trPr>
          <w:trHeight w:val="250"/>
        </w:trPr>
        <w:tc>
          <w:tcPr>
            <w:tcW w:w="7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Euro</w:t>
            </w:r>
          </w:p>
        </w:tc>
        <w:tc>
          <w:tcPr>
            <w:tcW w:w="1660" w:type="dxa"/>
            <w:vAlign w:val="bottom"/>
            <w:tcBorders>
              <w:bottom w:val="single" w:sz="8" w:color="CCEEFF"/>
            </w:tcBorders>
            <w:shd w:val="clear" w:color="auto" w:fill="CCEEFF"/>
          </w:tcPr>
          <w:p>
            <w:pPr>
              <w:jc w:val="right"/>
              <w:ind w:right="557"/>
              <w:spacing w:after="0"/>
              <w:rPr>
                <w:sz w:val="20"/>
                <w:szCs w:val="20"/>
                <w:color w:val="auto"/>
              </w:rPr>
            </w:pPr>
            <w:r>
              <w:rPr>
                <w:rFonts w:ascii="Arial" w:cs="Arial" w:eastAsia="Arial" w:hAnsi="Arial"/>
                <w:sz w:val="18"/>
                <w:szCs w:val="18"/>
                <w:color w:val="auto"/>
              </w:rPr>
              <w:t>333</w:t>
            </w: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308</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8 %</w:t>
            </w:r>
          </w:p>
        </w:tc>
      </w:tr>
      <w:tr>
        <w:trPr>
          <w:trHeight w:val="243"/>
        </w:trPr>
        <w:tc>
          <w:tcPr>
            <w:tcW w:w="7680" w:type="dxa"/>
            <w:vAlign w:val="bottom"/>
          </w:tcPr>
          <w:p>
            <w:pPr>
              <w:ind w:left="40"/>
              <w:spacing w:after="0"/>
              <w:rPr>
                <w:sz w:val="20"/>
                <w:szCs w:val="20"/>
                <w:color w:val="auto"/>
              </w:rPr>
            </w:pPr>
            <w:r>
              <w:rPr>
                <w:rFonts w:ascii="Arial" w:cs="Arial" w:eastAsia="Arial" w:hAnsi="Arial"/>
                <w:sz w:val="18"/>
                <w:szCs w:val="18"/>
                <w:color w:val="auto"/>
              </w:rPr>
              <w:t>Japanese yen</w:t>
            </w:r>
          </w:p>
        </w:tc>
        <w:tc>
          <w:tcPr>
            <w:tcW w:w="1660" w:type="dxa"/>
            <w:vAlign w:val="bottom"/>
          </w:tcPr>
          <w:p>
            <w:pPr>
              <w:jc w:val="right"/>
              <w:ind w:right="557"/>
              <w:spacing w:after="0"/>
              <w:rPr>
                <w:sz w:val="20"/>
                <w:szCs w:val="20"/>
                <w:color w:val="auto"/>
              </w:rPr>
            </w:pPr>
            <w:r>
              <w:rPr>
                <w:rFonts w:ascii="Arial" w:cs="Arial" w:eastAsia="Arial" w:hAnsi="Arial"/>
                <w:sz w:val="18"/>
                <w:szCs w:val="18"/>
                <w:color w:val="auto"/>
              </w:rPr>
              <w:t>213</w:t>
            </w: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100</w:t>
            </w:r>
          </w:p>
        </w:tc>
        <w:tc>
          <w:tcPr>
            <w:tcW w:w="1360" w:type="dxa"/>
            <w:vAlign w:val="bottom"/>
          </w:tcPr>
          <w:p>
            <w:pPr>
              <w:jc w:val="right"/>
              <w:ind w:right="133"/>
              <w:spacing w:after="0"/>
              <w:rPr>
                <w:sz w:val="20"/>
                <w:szCs w:val="20"/>
                <w:color w:val="auto"/>
              </w:rPr>
            </w:pPr>
            <w:r>
              <w:rPr>
                <w:rFonts w:ascii="Arial" w:cs="Arial" w:eastAsia="Arial" w:hAnsi="Arial"/>
                <w:sz w:val="18"/>
                <w:szCs w:val="18"/>
                <w:color w:val="auto"/>
              </w:rPr>
              <w:t>112</w:t>
            </w:r>
          </w:p>
        </w:tc>
      </w:tr>
      <w:tr>
        <w:trPr>
          <w:trHeight w:val="27"/>
        </w:trPr>
        <w:tc>
          <w:tcPr>
            <w:tcW w:w="76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British pound</w:t>
            </w:r>
          </w:p>
        </w:tc>
        <w:tc>
          <w:tcPr>
            <w:tcW w:w="1660" w:type="dxa"/>
            <w:vAlign w:val="bottom"/>
            <w:tcBorders>
              <w:bottom w:val="single" w:sz="8" w:color="CCEEFF"/>
            </w:tcBorders>
            <w:shd w:val="clear" w:color="auto" w:fill="CCEEFF"/>
          </w:tcPr>
          <w:p>
            <w:pPr>
              <w:jc w:val="right"/>
              <w:ind w:right="557"/>
              <w:spacing w:after="0"/>
              <w:rPr>
                <w:sz w:val="20"/>
                <w:szCs w:val="20"/>
                <w:color w:val="auto"/>
              </w:rPr>
            </w:pPr>
            <w:r>
              <w:rPr>
                <w:rFonts w:ascii="Arial" w:cs="Arial" w:eastAsia="Arial" w:hAnsi="Arial"/>
                <w:sz w:val="18"/>
                <w:szCs w:val="18"/>
                <w:color w:val="auto"/>
              </w:rPr>
              <w:t>141</w:t>
            </w: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101</w:t>
            </w:r>
          </w:p>
        </w:tc>
        <w:tc>
          <w:tcPr>
            <w:tcW w:w="136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40</w:t>
            </w:r>
          </w:p>
        </w:tc>
      </w:tr>
      <w:tr>
        <w:trPr>
          <w:trHeight w:val="243"/>
        </w:trPr>
        <w:tc>
          <w:tcPr>
            <w:tcW w:w="7680" w:type="dxa"/>
            <w:vAlign w:val="bottom"/>
          </w:tcPr>
          <w:p>
            <w:pPr>
              <w:ind w:left="40"/>
              <w:spacing w:after="0"/>
              <w:rPr>
                <w:sz w:val="20"/>
                <w:szCs w:val="20"/>
                <w:color w:val="auto"/>
              </w:rPr>
            </w:pPr>
            <w:r>
              <w:rPr>
                <w:rFonts w:ascii="Arial" w:cs="Arial" w:eastAsia="Arial" w:hAnsi="Arial"/>
                <w:sz w:val="18"/>
                <w:szCs w:val="18"/>
                <w:color w:val="auto"/>
              </w:rPr>
              <w:t>Australian dollar</w:t>
            </w:r>
          </w:p>
        </w:tc>
        <w:tc>
          <w:tcPr>
            <w:tcW w:w="1660" w:type="dxa"/>
            <w:vAlign w:val="bottom"/>
          </w:tcPr>
          <w:p>
            <w:pPr>
              <w:jc w:val="right"/>
              <w:ind w:right="557"/>
              <w:spacing w:after="0"/>
              <w:rPr>
                <w:sz w:val="20"/>
                <w:szCs w:val="20"/>
                <w:color w:val="auto"/>
              </w:rPr>
            </w:pPr>
            <w:r>
              <w:rPr>
                <w:rFonts w:ascii="Arial" w:cs="Arial" w:eastAsia="Arial" w:hAnsi="Arial"/>
                <w:sz w:val="18"/>
                <w:szCs w:val="18"/>
                <w:color w:val="auto"/>
              </w:rPr>
              <w:t>105</w:t>
            </w: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133</w:t>
            </w:r>
          </w:p>
        </w:tc>
        <w:tc>
          <w:tcPr>
            <w:tcW w:w="1360" w:type="dxa"/>
            <w:vAlign w:val="bottom"/>
          </w:tcPr>
          <w:p>
            <w:pPr>
              <w:jc w:val="right"/>
              <w:ind w:right="73"/>
              <w:spacing w:after="0"/>
              <w:rPr>
                <w:sz w:val="20"/>
                <w:szCs w:val="20"/>
                <w:color w:val="auto"/>
              </w:rPr>
            </w:pPr>
            <w:r>
              <w:rPr>
                <w:rFonts w:ascii="Arial" w:cs="Arial" w:eastAsia="Arial" w:hAnsi="Arial"/>
                <w:sz w:val="18"/>
                <w:szCs w:val="18"/>
                <w:color w:val="auto"/>
              </w:rPr>
              <w:t>(21)</w:t>
            </w:r>
          </w:p>
        </w:tc>
      </w:tr>
      <w:tr>
        <w:trPr>
          <w:trHeight w:val="27"/>
        </w:trPr>
        <w:tc>
          <w:tcPr>
            <w:tcW w:w="76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43"/>
        </w:trPr>
        <w:tc>
          <w:tcPr>
            <w:tcW w:w="7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Canadian dollar</w:t>
            </w:r>
          </w:p>
        </w:tc>
        <w:tc>
          <w:tcPr>
            <w:tcW w:w="1660" w:type="dxa"/>
            <w:vAlign w:val="bottom"/>
            <w:shd w:val="clear" w:color="auto" w:fill="CCEEFF"/>
          </w:tcPr>
          <w:p>
            <w:pPr>
              <w:jc w:val="right"/>
              <w:ind w:right="557"/>
              <w:spacing w:after="0"/>
              <w:rPr>
                <w:sz w:val="20"/>
                <w:szCs w:val="20"/>
                <w:color w:val="auto"/>
              </w:rPr>
            </w:pPr>
            <w:r>
              <w:rPr>
                <w:rFonts w:ascii="Arial" w:cs="Arial" w:eastAsia="Arial" w:hAnsi="Arial"/>
                <w:sz w:val="18"/>
                <w:szCs w:val="18"/>
                <w:color w:val="auto"/>
              </w:rPr>
              <w:t>83</w:t>
            </w:r>
          </w:p>
        </w:tc>
        <w:tc>
          <w:tcPr>
            <w:tcW w:w="7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90</w:t>
            </w:r>
          </w:p>
        </w:tc>
        <w:tc>
          <w:tcPr>
            <w:tcW w:w="13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(7)</w:t>
            </w:r>
          </w:p>
        </w:tc>
      </w:tr>
      <w:tr>
        <w:trPr>
          <w:trHeight w:val="27"/>
        </w:trPr>
        <w:tc>
          <w:tcPr>
            <w:tcW w:w="768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overall increase in foreign exchange contract volume in the first quarter of 2013 when compared with the same period in 2012 was largely due to higher volatility in the Japanese yen resulting from reduced efforts by the Japanese central bank to control yen exchange rates. Increased volatility and uncertainty within the European Union contributed to the increase in volume in the euro and British pound contracts in the first quarter of 2013 when compared with the same period in 2012. As</w:t>
      </w:r>
    </w:p>
    <w:p>
      <w:pPr>
        <w:sectPr>
          <w:pgSz w:w="11900" w:h="16838" w:orient="portrait"/>
          <w:cols w:equalWidth="0" w:num="1">
            <w:col w:w="11420"/>
          </w:cols>
          <w:pgMar w:left="240" w:top="125" w:right="239" w:bottom="1440" w:gutter="0" w:footer="0" w:header="0"/>
        </w:sect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125" w:right="239" w:bottom="1440" w:gutter="0" w:footer="0" w:header="0"/>
          <w:type w:val="continuous"/>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volatility returned to the Japanese and European markets, market participants shifted their focus from safe haven currencies, such as the Australian and Canadian dollars, to the Japanese and European markets.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Agricultural Commodity Products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average daily contract volume for our key agricultural commodity products.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Quarter Ended</w:t>
            </w:r>
          </w:p>
        </w:tc>
        <w:tc>
          <w:tcPr>
            <w:tcW w:w="72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92"/>
        </w:trPr>
        <w:tc>
          <w:tcPr>
            <w:tcW w:w="7660" w:type="dxa"/>
            <w:vAlign w:val="bottom"/>
          </w:tcPr>
          <w:p>
            <w:pPr>
              <w:spacing w:after="0"/>
              <w:rPr>
                <w:sz w:val="16"/>
                <w:szCs w:val="16"/>
                <w:color w:val="auto"/>
              </w:rPr>
            </w:pPr>
          </w:p>
        </w:tc>
        <w:tc>
          <w:tcPr>
            <w:tcW w:w="1660" w:type="dxa"/>
            <w:vAlign w:val="bottom"/>
            <w:tcBorders>
              <w:bottom w:val="single" w:sz="8" w:color="auto"/>
            </w:tcBorders>
          </w:tcPr>
          <w:p>
            <w:pPr>
              <w:jc w:val="right"/>
              <w:ind w:right="58"/>
              <w:spacing w:after="0"/>
              <w:rPr>
                <w:sz w:val="20"/>
                <w:szCs w:val="20"/>
                <w:color w:val="auto"/>
              </w:rPr>
            </w:pPr>
            <w:r>
              <w:rPr>
                <w:rFonts w:ascii="Arial" w:cs="Arial" w:eastAsia="Arial" w:hAnsi="Arial"/>
                <w:sz w:val="14"/>
                <w:szCs w:val="14"/>
                <w:b w:val="1"/>
                <w:bCs w:val="1"/>
                <w:color w:val="auto"/>
              </w:rPr>
              <w:t>March 31,</w:t>
            </w:r>
          </w:p>
        </w:tc>
        <w:tc>
          <w:tcPr>
            <w:tcW w:w="720" w:type="dxa"/>
            <w:vAlign w:val="bottom"/>
            <w:tcBorders>
              <w:bottom w:val="single" w:sz="8" w:color="auto"/>
            </w:tcBorders>
          </w:tcPr>
          <w:p>
            <w:pPr>
              <w:spacing w:after="0"/>
              <w:rPr>
                <w:sz w:val="16"/>
                <w:szCs w:val="16"/>
                <w:color w:val="auto"/>
              </w:rPr>
            </w:pPr>
          </w:p>
        </w:tc>
        <w:tc>
          <w:tcPr>
            <w:tcW w:w="1380" w:type="dxa"/>
            <w:vAlign w:val="bottom"/>
          </w:tcPr>
          <w:p>
            <w:pPr>
              <w:spacing w:after="0"/>
              <w:rPr>
                <w:sz w:val="16"/>
                <w:szCs w:val="16"/>
                <w:color w:val="auto"/>
              </w:rPr>
            </w:pPr>
          </w:p>
        </w:tc>
      </w:tr>
      <w:tr>
        <w:trPr>
          <w:trHeight w:val="264"/>
        </w:trPr>
        <w:tc>
          <w:tcPr>
            <w:tcW w:w="76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(amounts in thousands)</w:t>
            </w:r>
          </w:p>
        </w:tc>
        <w:tc>
          <w:tcPr>
            <w:tcW w:w="1660" w:type="dxa"/>
            <w:vAlign w:val="bottom"/>
            <w:tcBorders>
              <w:bottom w:val="single" w:sz="8" w:color="auto"/>
            </w:tcBorders>
          </w:tcPr>
          <w:p>
            <w:pPr>
              <w:jc w:val="right"/>
              <w:ind w:right="858"/>
              <w:spacing w:after="0"/>
              <w:rPr>
                <w:sz w:val="20"/>
                <w:szCs w:val="20"/>
                <w:color w:val="auto"/>
              </w:rPr>
            </w:pPr>
            <w:r>
              <w:rPr>
                <w:rFonts w:ascii="Arial" w:cs="Arial" w:eastAsia="Arial" w:hAnsi="Arial"/>
                <w:sz w:val="14"/>
                <w:szCs w:val="14"/>
                <w:b w:val="1"/>
                <w:bCs w:val="1"/>
                <w:color w:val="auto"/>
              </w:rPr>
              <w:t>2013</w:t>
            </w:r>
          </w:p>
        </w:tc>
        <w:tc>
          <w:tcPr>
            <w:tcW w:w="7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w w:val="89"/>
              </w:rPr>
              <w:t>2012</w:t>
            </w:r>
          </w:p>
        </w:tc>
        <w:tc>
          <w:tcPr>
            <w:tcW w:w="138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Change</w:t>
            </w: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Corn</w:t>
            </w:r>
          </w:p>
        </w:tc>
        <w:tc>
          <w:tcPr>
            <w:tcW w:w="1660" w:type="dxa"/>
            <w:vAlign w:val="bottom"/>
            <w:tcBorders>
              <w:bottom w:val="single" w:sz="8" w:color="CCEEFF"/>
            </w:tcBorders>
            <w:shd w:val="clear" w:color="auto" w:fill="CCEEFF"/>
          </w:tcPr>
          <w:p>
            <w:pPr>
              <w:jc w:val="right"/>
              <w:ind w:right="538"/>
              <w:spacing w:after="0"/>
              <w:rPr>
                <w:sz w:val="20"/>
                <w:szCs w:val="20"/>
                <w:color w:val="auto"/>
              </w:rPr>
            </w:pPr>
            <w:r>
              <w:rPr>
                <w:rFonts w:ascii="Arial" w:cs="Arial" w:eastAsia="Arial" w:hAnsi="Arial"/>
                <w:sz w:val="18"/>
                <w:szCs w:val="18"/>
                <w:color w:val="auto"/>
              </w:rPr>
              <w:t>358</w:t>
            </w:r>
          </w:p>
        </w:tc>
        <w:tc>
          <w:tcPr>
            <w:tcW w:w="7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417</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Soybean</w:t>
            </w:r>
          </w:p>
        </w:tc>
        <w:tc>
          <w:tcPr>
            <w:tcW w:w="1660" w:type="dxa"/>
            <w:vAlign w:val="bottom"/>
          </w:tcPr>
          <w:p>
            <w:pPr>
              <w:jc w:val="right"/>
              <w:ind w:right="538"/>
              <w:spacing w:after="0"/>
              <w:rPr>
                <w:sz w:val="20"/>
                <w:szCs w:val="20"/>
                <w:color w:val="auto"/>
              </w:rPr>
            </w:pPr>
            <w:r>
              <w:rPr>
                <w:rFonts w:ascii="Arial" w:cs="Arial" w:eastAsia="Arial" w:hAnsi="Arial"/>
                <w:sz w:val="18"/>
                <w:szCs w:val="18"/>
                <w:color w:val="auto"/>
              </w:rPr>
              <w:t>244</w:t>
            </w: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252</w:t>
            </w:r>
          </w:p>
        </w:tc>
        <w:tc>
          <w:tcPr>
            <w:tcW w:w="1380" w:type="dxa"/>
            <w:vAlign w:val="bottom"/>
          </w:tcPr>
          <w:p>
            <w:pPr>
              <w:jc w:val="right"/>
              <w:ind w:right="94"/>
              <w:spacing w:after="0"/>
              <w:rPr>
                <w:sz w:val="20"/>
                <w:szCs w:val="20"/>
                <w:color w:val="auto"/>
              </w:rPr>
            </w:pPr>
            <w:r>
              <w:rPr>
                <w:rFonts w:ascii="Arial" w:cs="Arial" w:eastAsia="Arial" w:hAnsi="Arial"/>
                <w:sz w:val="18"/>
                <w:szCs w:val="18"/>
                <w:color w:val="auto"/>
              </w:rPr>
              <w:t>(3)</w:t>
            </w:r>
          </w:p>
        </w:tc>
      </w:tr>
      <w:tr>
        <w:trPr>
          <w:trHeight w:val="27"/>
        </w:trPr>
        <w:tc>
          <w:tcPr>
            <w:tcW w:w="76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Wheat</w:t>
            </w:r>
          </w:p>
        </w:tc>
        <w:tc>
          <w:tcPr>
            <w:tcW w:w="1660" w:type="dxa"/>
            <w:vAlign w:val="bottom"/>
            <w:tcBorders>
              <w:bottom w:val="single" w:sz="8" w:color="CCEEFF"/>
            </w:tcBorders>
            <w:shd w:val="clear" w:color="auto" w:fill="CCEEFF"/>
          </w:tcPr>
          <w:p>
            <w:pPr>
              <w:jc w:val="right"/>
              <w:ind w:right="538"/>
              <w:spacing w:after="0"/>
              <w:rPr>
                <w:sz w:val="20"/>
                <w:szCs w:val="20"/>
                <w:color w:val="auto"/>
              </w:rPr>
            </w:pPr>
            <w:r>
              <w:rPr>
                <w:rFonts w:ascii="Arial" w:cs="Arial" w:eastAsia="Arial" w:hAnsi="Arial"/>
                <w:sz w:val="18"/>
                <w:szCs w:val="18"/>
                <w:color w:val="auto"/>
              </w:rPr>
              <w:t>158</w:t>
            </w:r>
          </w:p>
        </w:tc>
        <w:tc>
          <w:tcPr>
            <w:tcW w:w="7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124</w:t>
            </w:r>
          </w:p>
        </w:tc>
        <w:tc>
          <w:tcPr>
            <w:tcW w:w="138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28</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Soybean oil</w:t>
            </w:r>
          </w:p>
        </w:tc>
        <w:tc>
          <w:tcPr>
            <w:tcW w:w="1660" w:type="dxa"/>
            <w:vAlign w:val="bottom"/>
          </w:tcPr>
          <w:p>
            <w:pPr>
              <w:jc w:val="right"/>
              <w:ind w:right="538"/>
              <w:spacing w:after="0"/>
              <w:rPr>
                <w:sz w:val="20"/>
                <w:szCs w:val="20"/>
                <w:color w:val="auto"/>
              </w:rPr>
            </w:pPr>
            <w:r>
              <w:rPr>
                <w:rFonts w:ascii="Arial" w:cs="Arial" w:eastAsia="Arial" w:hAnsi="Arial"/>
                <w:sz w:val="18"/>
                <w:szCs w:val="18"/>
                <w:color w:val="auto"/>
              </w:rPr>
              <w:t>105</w:t>
            </w: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103</w:t>
            </w:r>
          </w:p>
        </w:tc>
        <w:tc>
          <w:tcPr>
            <w:tcW w:w="1380" w:type="dxa"/>
            <w:vAlign w:val="bottom"/>
          </w:tcPr>
          <w:p>
            <w:pPr>
              <w:jc w:val="right"/>
              <w:ind w:right="154"/>
              <w:spacing w:after="0"/>
              <w:rPr>
                <w:sz w:val="20"/>
                <w:szCs w:val="20"/>
                <w:color w:val="auto"/>
              </w:rPr>
            </w:pPr>
            <w:r>
              <w:rPr>
                <w:rFonts w:ascii="Arial" w:cs="Arial" w:eastAsia="Arial" w:hAnsi="Arial"/>
                <w:sz w:val="18"/>
                <w:szCs w:val="18"/>
                <w:color w:val="auto"/>
              </w:rPr>
              <w:t>2</w:t>
            </w:r>
          </w:p>
        </w:tc>
      </w:tr>
    </w:tbl>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Total agricultural commodity contract volume remained relatively flat in the first quarter of 2013 when compared with the same period in 2012. Corn contract volume decreased as a result of lower price volatility and expectations of higher U.S. corn supplies for 2013. The overall decrease in agricultural commodity volume was offset by incremental wheat contract volume resulting from the addition of KCBT's hard red winter wheat contract as well as increased trading due to an increase in global wheat supplies in the first quarter of 2013.</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Energy Products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average daily contract volume for our key energy products.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Quarter Ended</w:t>
            </w:r>
          </w:p>
        </w:tc>
        <w:tc>
          <w:tcPr>
            <w:tcW w:w="72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92"/>
        </w:trPr>
        <w:tc>
          <w:tcPr>
            <w:tcW w:w="7660" w:type="dxa"/>
            <w:vAlign w:val="bottom"/>
          </w:tcPr>
          <w:p>
            <w:pPr>
              <w:spacing w:after="0"/>
              <w:rPr>
                <w:sz w:val="16"/>
                <w:szCs w:val="16"/>
                <w:color w:val="auto"/>
              </w:rPr>
            </w:pPr>
          </w:p>
        </w:tc>
        <w:tc>
          <w:tcPr>
            <w:tcW w:w="166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March 31,</w:t>
            </w:r>
          </w:p>
        </w:tc>
        <w:tc>
          <w:tcPr>
            <w:tcW w:w="720" w:type="dxa"/>
            <w:vAlign w:val="bottom"/>
            <w:tcBorders>
              <w:bottom w:val="single" w:sz="8" w:color="auto"/>
            </w:tcBorders>
          </w:tcPr>
          <w:p>
            <w:pPr>
              <w:spacing w:after="0"/>
              <w:rPr>
                <w:sz w:val="16"/>
                <w:szCs w:val="16"/>
                <w:color w:val="auto"/>
              </w:rPr>
            </w:pPr>
          </w:p>
        </w:tc>
        <w:tc>
          <w:tcPr>
            <w:tcW w:w="1380" w:type="dxa"/>
            <w:vAlign w:val="bottom"/>
          </w:tcPr>
          <w:p>
            <w:pPr>
              <w:spacing w:after="0"/>
              <w:rPr>
                <w:sz w:val="16"/>
                <w:szCs w:val="16"/>
                <w:color w:val="auto"/>
              </w:rPr>
            </w:pPr>
          </w:p>
        </w:tc>
      </w:tr>
      <w:tr>
        <w:trPr>
          <w:trHeight w:val="264"/>
        </w:trPr>
        <w:tc>
          <w:tcPr>
            <w:tcW w:w="76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(amounts in thousands)</w:t>
            </w:r>
          </w:p>
        </w:tc>
        <w:tc>
          <w:tcPr>
            <w:tcW w:w="1660" w:type="dxa"/>
            <w:vAlign w:val="bottom"/>
            <w:tcBorders>
              <w:bottom w:val="single" w:sz="8" w:color="auto"/>
            </w:tcBorders>
          </w:tcPr>
          <w:p>
            <w:pPr>
              <w:jc w:val="right"/>
              <w:ind w:right="859"/>
              <w:spacing w:after="0"/>
              <w:rPr>
                <w:sz w:val="20"/>
                <w:szCs w:val="20"/>
                <w:color w:val="auto"/>
              </w:rPr>
            </w:pPr>
            <w:r>
              <w:rPr>
                <w:rFonts w:ascii="Arial" w:cs="Arial" w:eastAsia="Arial" w:hAnsi="Arial"/>
                <w:sz w:val="14"/>
                <w:szCs w:val="14"/>
                <w:b w:val="1"/>
                <w:bCs w:val="1"/>
                <w:color w:val="auto"/>
              </w:rPr>
              <w:t>2013</w:t>
            </w:r>
          </w:p>
        </w:tc>
        <w:tc>
          <w:tcPr>
            <w:tcW w:w="7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w w:val="89"/>
              </w:rPr>
              <w:t>2012</w:t>
            </w:r>
          </w:p>
        </w:tc>
        <w:tc>
          <w:tcPr>
            <w:tcW w:w="138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Change</w:t>
            </w: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Crude oil</w:t>
            </w:r>
          </w:p>
        </w:tc>
        <w:tc>
          <w:tcPr>
            <w:tcW w:w="1660" w:type="dxa"/>
            <w:vAlign w:val="bottom"/>
            <w:tcBorders>
              <w:bottom w:val="single" w:sz="8" w:color="CCEEFF"/>
            </w:tcBorders>
            <w:shd w:val="clear" w:color="auto" w:fill="CCEEFF"/>
          </w:tcPr>
          <w:p>
            <w:pPr>
              <w:jc w:val="right"/>
              <w:ind w:right="539"/>
              <w:spacing w:after="0"/>
              <w:rPr>
                <w:sz w:val="20"/>
                <w:szCs w:val="20"/>
                <w:color w:val="auto"/>
              </w:rPr>
            </w:pPr>
            <w:r>
              <w:rPr>
                <w:rFonts w:ascii="Arial" w:cs="Arial" w:eastAsia="Arial" w:hAnsi="Arial"/>
                <w:sz w:val="18"/>
                <w:szCs w:val="18"/>
                <w:color w:val="auto"/>
              </w:rPr>
              <w:t>748</w:t>
            </w:r>
          </w:p>
        </w:tc>
        <w:tc>
          <w:tcPr>
            <w:tcW w:w="7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837</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Natural gas</w:t>
            </w:r>
          </w:p>
        </w:tc>
        <w:tc>
          <w:tcPr>
            <w:tcW w:w="1660" w:type="dxa"/>
            <w:vAlign w:val="bottom"/>
          </w:tcPr>
          <w:p>
            <w:pPr>
              <w:jc w:val="right"/>
              <w:ind w:right="539"/>
              <w:spacing w:after="0"/>
              <w:rPr>
                <w:sz w:val="20"/>
                <w:szCs w:val="20"/>
                <w:color w:val="auto"/>
              </w:rPr>
            </w:pPr>
            <w:r>
              <w:rPr>
                <w:rFonts w:ascii="Arial" w:cs="Arial" w:eastAsia="Arial" w:hAnsi="Arial"/>
                <w:sz w:val="18"/>
                <w:szCs w:val="18"/>
                <w:color w:val="auto"/>
              </w:rPr>
              <w:t>597</w:t>
            </w: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734</w:t>
            </w:r>
          </w:p>
        </w:tc>
        <w:tc>
          <w:tcPr>
            <w:tcW w:w="1380" w:type="dxa"/>
            <w:vAlign w:val="bottom"/>
          </w:tcPr>
          <w:p>
            <w:pPr>
              <w:jc w:val="right"/>
              <w:ind w:right="94"/>
              <w:spacing w:after="0"/>
              <w:rPr>
                <w:sz w:val="20"/>
                <w:szCs w:val="20"/>
                <w:color w:val="auto"/>
              </w:rPr>
            </w:pPr>
            <w:r>
              <w:rPr>
                <w:rFonts w:ascii="Arial" w:cs="Arial" w:eastAsia="Arial" w:hAnsi="Arial"/>
                <w:sz w:val="18"/>
                <w:szCs w:val="18"/>
                <w:color w:val="auto"/>
              </w:rPr>
              <w:t>(19)</w:t>
            </w:r>
          </w:p>
        </w:tc>
      </w:tr>
      <w:tr>
        <w:trPr>
          <w:trHeight w:val="27"/>
        </w:trPr>
        <w:tc>
          <w:tcPr>
            <w:tcW w:w="76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43"/>
        </w:trPr>
        <w:tc>
          <w:tcPr>
            <w:tcW w:w="7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Refined products</w:t>
            </w:r>
          </w:p>
        </w:tc>
        <w:tc>
          <w:tcPr>
            <w:tcW w:w="1660" w:type="dxa"/>
            <w:vAlign w:val="bottom"/>
            <w:shd w:val="clear" w:color="auto" w:fill="CCEEFF"/>
          </w:tcPr>
          <w:p>
            <w:pPr>
              <w:jc w:val="right"/>
              <w:ind w:right="539"/>
              <w:spacing w:after="0"/>
              <w:rPr>
                <w:sz w:val="20"/>
                <w:szCs w:val="20"/>
                <w:color w:val="auto"/>
              </w:rPr>
            </w:pPr>
            <w:r>
              <w:rPr>
                <w:rFonts w:ascii="Arial" w:cs="Arial" w:eastAsia="Arial" w:hAnsi="Arial"/>
                <w:sz w:val="18"/>
                <w:szCs w:val="18"/>
                <w:color w:val="auto"/>
              </w:rPr>
              <w:t>330</w:t>
            </w:r>
          </w:p>
        </w:tc>
        <w:tc>
          <w:tcPr>
            <w:tcW w:w="7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327</w:t>
            </w:r>
          </w:p>
        </w:tc>
        <w:tc>
          <w:tcPr>
            <w:tcW w:w="138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1</w:t>
            </w:r>
          </w:p>
        </w:tc>
      </w:tr>
      <w:tr>
        <w:trPr>
          <w:trHeight w:val="27"/>
        </w:trPr>
        <w:tc>
          <w:tcPr>
            <w:tcW w:w="766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Energy contract volume decreased in the first quarter of 2013 when compared with the same period in 2012 largely due to a decline in natural gas contract volume resulting from lower weather-related volatility in the first quarter of 2013. The decline in crude oil contract volume in the first quarter of 2013 was attributable to lower price volatility in the first quarter of 2013 resulting from less uncertainty in 2013. Uncertainty in early 2012 was the result of oversupply constraints prior to the reversal of the Seaway Pipeline in the second quarter of 2012.</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Metal Products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average daily volume for our key metal products.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4"/>
                <w:szCs w:val="14"/>
                <w:color w:val="auto"/>
              </w:rPr>
            </w:pP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Quarter Ended</w:t>
            </w:r>
          </w:p>
        </w:tc>
        <w:tc>
          <w:tcPr>
            <w:tcW w:w="72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92"/>
        </w:trPr>
        <w:tc>
          <w:tcPr>
            <w:tcW w:w="7680" w:type="dxa"/>
            <w:vAlign w:val="bottom"/>
          </w:tcPr>
          <w:p>
            <w:pPr>
              <w:spacing w:after="0"/>
              <w:rPr>
                <w:sz w:val="16"/>
                <w:szCs w:val="16"/>
                <w:color w:val="auto"/>
              </w:rPr>
            </w:pPr>
          </w:p>
        </w:tc>
        <w:tc>
          <w:tcPr>
            <w:tcW w:w="166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March 31,</w:t>
            </w:r>
          </w:p>
        </w:tc>
        <w:tc>
          <w:tcPr>
            <w:tcW w:w="720" w:type="dxa"/>
            <w:vAlign w:val="bottom"/>
            <w:tcBorders>
              <w:bottom w:val="single" w:sz="8" w:color="auto"/>
            </w:tcBorders>
          </w:tcPr>
          <w:p>
            <w:pPr>
              <w:spacing w:after="0"/>
              <w:rPr>
                <w:sz w:val="16"/>
                <w:szCs w:val="16"/>
                <w:color w:val="auto"/>
              </w:rPr>
            </w:pPr>
          </w:p>
        </w:tc>
        <w:tc>
          <w:tcPr>
            <w:tcW w:w="1360" w:type="dxa"/>
            <w:vAlign w:val="bottom"/>
          </w:tcPr>
          <w:p>
            <w:pPr>
              <w:spacing w:after="0"/>
              <w:rPr>
                <w:sz w:val="16"/>
                <w:szCs w:val="16"/>
                <w:color w:val="auto"/>
              </w:rPr>
            </w:pPr>
          </w:p>
        </w:tc>
      </w:tr>
      <w:tr>
        <w:trPr>
          <w:trHeight w:val="264"/>
        </w:trPr>
        <w:tc>
          <w:tcPr>
            <w:tcW w:w="76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(amounts in thousands)</w:t>
            </w:r>
          </w:p>
        </w:tc>
        <w:tc>
          <w:tcPr>
            <w:tcW w:w="1660" w:type="dxa"/>
            <w:vAlign w:val="bottom"/>
            <w:tcBorders>
              <w:bottom w:val="single" w:sz="8" w:color="auto"/>
            </w:tcBorders>
          </w:tcPr>
          <w:p>
            <w:pPr>
              <w:jc w:val="right"/>
              <w:ind w:right="859"/>
              <w:spacing w:after="0"/>
              <w:rPr>
                <w:sz w:val="20"/>
                <w:szCs w:val="20"/>
                <w:color w:val="auto"/>
              </w:rPr>
            </w:pPr>
            <w:r>
              <w:rPr>
                <w:rFonts w:ascii="Arial" w:cs="Arial" w:eastAsia="Arial" w:hAnsi="Arial"/>
                <w:sz w:val="14"/>
                <w:szCs w:val="14"/>
                <w:b w:val="1"/>
                <w:bCs w:val="1"/>
                <w:color w:val="auto"/>
              </w:rPr>
              <w:t>2013</w:t>
            </w:r>
          </w:p>
        </w:tc>
        <w:tc>
          <w:tcPr>
            <w:tcW w:w="7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w w:val="89"/>
              </w:rPr>
              <w:t>2012</w:t>
            </w:r>
          </w:p>
        </w:tc>
        <w:tc>
          <w:tcPr>
            <w:tcW w:w="136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Change</w:t>
            </w:r>
          </w:p>
        </w:tc>
      </w:tr>
      <w:tr>
        <w:trPr>
          <w:trHeight w:val="250"/>
        </w:trPr>
        <w:tc>
          <w:tcPr>
            <w:tcW w:w="7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Gold</w:t>
            </w:r>
          </w:p>
        </w:tc>
        <w:tc>
          <w:tcPr>
            <w:tcW w:w="1660" w:type="dxa"/>
            <w:vAlign w:val="bottom"/>
            <w:tcBorders>
              <w:bottom w:val="single" w:sz="8" w:color="CCEEFF"/>
            </w:tcBorders>
            <w:shd w:val="clear" w:color="auto" w:fill="CCEEFF"/>
          </w:tcPr>
          <w:p>
            <w:pPr>
              <w:jc w:val="right"/>
              <w:ind w:right="559"/>
              <w:spacing w:after="0"/>
              <w:rPr>
                <w:sz w:val="20"/>
                <w:szCs w:val="20"/>
                <w:color w:val="auto"/>
              </w:rPr>
            </w:pPr>
            <w:r>
              <w:rPr>
                <w:rFonts w:ascii="Arial" w:cs="Arial" w:eastAsia="Arial" w:hAnsi="Arial"/>
                <w:sz w:val="18"/>
                <w:szCs w:val="18"/>
                <w:color w:val="auto"/>
              </w:rPr>
              <w:t>247</w:t>
            </w:r>
          </w:p>
        </w:tc>
        <w:tc>
          <w:tcPr>
            <w:tcW w:w="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245</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w:t>
            </w:r>
          </w:p>
        </w:tc>
      </w:tr>
      <w:tr>
        <w:trPr>
          <w:trHeight w:val="243"/>
        </w:trPr>
        <w:tc>
          <w:tcPr>
            <w:tcW w:w="7680" w:type="dxa"/>
            <w:vAlign w:val="bottom"/>
          </w:tcPr>
          <w:p>
            <w:pPr>
              <w:ind w:left="40"/>
              <w:spacing w:after="0"/>
              <w:rPr>
                <w:sz w:val="20"/>
                <w:szCs w:val="20"/>
                <w:color w:val="auto"/>
              </w:rPr>
            </w:pPr>
            <w:r>
              <w:rPr>
                <w:rFonts w:ascii="Arial" w:cs="Arial" w:eastAsia="Arial" w:hAnsi="Arial"/>
                <w:sz w:val="18"/>
                <w:szCs w:val="18"/>
                <w:color w:val="auto"/>
              </w:rPr>
              <w:t>Copper</w:t>
            </w:r>
          </w:p>
        </w:tc>
        <w:tc>
          <w:tcPr>
            <w:tcW w:w="1660" w:type="dxa"/>
            <w:vAlign w:val="bottom"/>
          </w:tcPr>
          <w:p>
            <w:pPr>
              <w:jc w:val="right"/>
              <w:ind w:right="559"/>
              <w:spacing w:after="0"/>
              <w:rPr>
                <w:sz w:val="20"/>
                <w:szCs w:val="20"/>
                <w:color w:val="auto"/>
              </w:rPr>
            </w:pPr>
            <w:r>
              <w:rPr>
                <w:rFonts w:ascii="Arial" w:cs="Arial" w:eastAsia="Arial" w:hAnsi="Arial"/>
                <w:sz w:val="18"/>
                <w:szCs w:val="18"/>
                <w:color w:val="auto"/>
              </w:rPr>
              <w:t>65</w:t>
            </w: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63</w:t>
            </w:r>
          </w:p>
        </w:tc>
        <w:tc>
          <w:tcPr>
            <w:tcW w:w="1360" w:type="dxa"/>
            <w:vAlign w:val="bottom"/>
          </w:tcPr>
          <w:p>
            <w:pPr>
              <w:jc w:val="right"/>
              <w:ind w:right="134"/>
              <w:spacing w:after="0"/>
              <w:rPr>
                <w:sz w:val="20"/>
                <w:szCs w:val="20"/>
                <w:color w:val="auto"/>
              </w:rPr>
            </w:pPr>
            <w:r>
              <w:rPr>
                <w:rFonts w:ascii="Arial" w:cs="Arial" w:eastAsia="Arial" w:hAnsi="Arial"/>
                <w:sz w:val="18"/>
                <w:szCs w:val="18"/>
                <w:color w:val="auto"/>
              </w:rPr>
              <w:t>3</w:t>
            </w:r>
          </w:p>
        </w:tc>
      </w:tr>
      <w:tr>
        <w:trPr>
          <w:trHeight w:val="27"/>
        </w:trPr>
        <w:tc>
          <w:tcPr>
            <w:tcW w:w="76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43"/>
        </w:trPr>
        <w:tc>
          <w:tcPr>
            <w:tcW w:w="7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Silver</w:t>
            </w:r>
          </w:p>
        </w:tc>
        <w:tc>
          <w:tcPr>
            <w:tcW w:w="1660" w:type="dxa"/>
            <w:vAlign w:val="bottom"/>
            <w:shd w:val="clear" w:color="auto" w:fill="CCEEFF"/>
          </w:tcPr>
          <w:p>
            <w:pPr>
              <w:jc w:val="right"/>
              <w:ind w:right="559"/>
              <w:spacing w:after="0"/>
              <w:rPr>
                <w:sz w:val="20"/>
                <w:szCs w:val="20"/>
                <w:color w:val="auto"/>
              </w:rPr>
            </w:pPr>
            <w:r>
              <w:rPr>
                <w:rFonts w:ascii="Arial" w:cs="Arial" w:eastAsia="Arial" w:hAnsi="Arial"/>
                <w:sz w:val="18"/>
                <w:szCs w:val="18"/>
                <w:color w:val="auto"/>
              </w:rPr>
              <w:t>60</w:t>
            </w:r>
          </w:p>
        </w:tc>
        <w:tc>
          <w:tcPr>
            <w:tcW w:w="7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62</w:t>
            </w:r>
          </w:p>
        </w:tc>
        <w:tc>
          <w:tcPr>
            <w:tcW w:w="13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(4)</w:t>
            </w:r>
          </w:p>
        </w:tc>
      </w:tr>
      <w:tr>
        <w:trPr>
          <w:trHeight w:val="27"/>
        </w:trPr>
        <w:tc>
          <w:tcPr>
            <w:tcW w:w="768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Total metal contract volume in the first quarter of 2013 remained consistent with volume in the same period in 2012.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Average Rate per Contract</w:t>
      </w:r>
    </w:p>
    <w:p>
      <w:pPr>
        <w:spacing w:after="0" w:line="22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average rate per contract decreased in the first quarter of 2013 when compared with the same period in 2012 due to a shift in the relative mix of product volume. In the first quarter of 2013, equity and foreign exchange product volumes, when measured as a percentage of total volume, both increased by 1%, while energy product volumes decreased by 2%. Energy products have higher fees compared with equity and foreign exchange products. In addition, the average rate per contract decreased in the first quarter of 2013 when compared with the same period in 2012 due to an increase in incentives and discounts on our energy contracts.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125" w:right="239" w:bottom="1440" w:gutter="0" w:footer="0" w:header="0"/>
          <w:type w:val="continuous"/>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 of Revenue</w:t>
      </w:r>
    </w:p>
    <w:p>
      <w:pPr>
        <w:spacing w:after="0" w:line="22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bill a substantial portion of our clearing and transaction fees to our clearing firms. The majority of clearing and transaction fees received from clearing firms represent charges for trades executed and cleared on behalf of their customers. One firm represented 12% and one firm represented 11% of our clearing and transaction fees revenue in the first quarter of 2013. Should a clearing firm withdraw, we believe that the customer portion of the firm’s trading activity would likely transfer to another clearing firm of the exchange. Therefore, we do not believe we are exposed to significant risk from the ongoing loss of revenue received from or through a particular clearing firm.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Sources of Revenue</w:t>
      </w:r>
    </w:p>
    <w:p>
      <w:pPr>
        <w:spacing w:after="0" w:line="22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decrease in market data and information services revenue in the first quarter of 2013, when compared with the same period in 2012, was attributable to a $27.5 million decrease in revenue resulting from the contribution of the DJI asset group and the sale of CMA. In the second quarter of 2012, the DJI asset group, including assets which generated market data and information services revenue, were contributed to S&amp;P/DJI. CMA was sold to McGraw as part of that transaction. In addition, the decrease in revenue in the first quarter of 2013 was due to a decline in market data subscriber counts due to continued cost-cutting initiatives at customer firms.</w:t>
      </w:r>
    </w:p>
    <w:p>
      <w:pPr>
        <w:spacing w:after="0" w:line="188"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The two largest resellers of our market data represented approximately 53% of our market data and information services revenue in the first quarter of 2013. Despite this concentration, we consider exposure to significant risk of revenue loss to be minimal. In the event that one of these vendors no longer subscribes to our market data, we believe the majority of that vendor’s customers would likely subscribe to our market data through another reseller. Additionally, several of our largest institutional customers that utilize services from our two largest resellers report usage and remit payment of their fees directly to us.</w:t>
      </w:r>
    </w:p>
    <w:p>
      <w:pPr>
        <w:spacing w:after="0" w:line="154" w:lineRule="exact"/>
        <w:rPr>
          <w:sz w:val="20"/>
          <w:szCs w:val="20"/>
          <w:color w:val="auto"/>
        </w:rPr>
      </w:pPr>
    </w:p>
    <w:p>
      <w:pPr>
        <w:ind w:right="600"/>
        <w:spacing w:after="0" w:line="312" w:lineRule="auto"/>
        <w:rPr>
          <w:sz w:val="20"/>
          <w:szCs w:val="20"/>
          <w:color w:val="auto"/>
        </w:rPr>
      </w:pPr>
      <w:r>
        <w:rPr>
          <w:rFonts w:ascii="Arial" w:cs="Arial" w:eastAsia="Arial" w:hAnsi="Arial"/>
          <w:sz w:val="16"/>
          <w:szCs w:val="16"/>
          <w:color w:val="auto"/>
        </w:rPr>
        <w:t>In the first quarter of 2013, when compared with the same period in 2012, the increase in other revenues was attributable to $8.7 million of revenue recognized upon delivery of services under our technology agreement with BM&amp;FBOVESPA S.A. (BM&amp;FBOVESPA). The increase in revenue from BM&amp;FBOVESPA was partially offset by a $4.7 million decrease in rental income resulting from our sale of two CBOT buildings in April 2012.</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gridSpan w:val="3"/>
          </w:tcPr>
          <w:p>
            <w:pPr>
              <w:jc w:val="right"/>
              <w:spacing w:after="0"/>
              <w:rPr>
                <w:sz w:val="20"/>
                <w:szCs w:val="20"/>
                <w:color w:val="auto"/>
              </w:rPr>
            </w:pPr>
            <w:r>
              <w:rPr>
                <w:rFonts w:ascii="Arial" w:cs="Arial" w:eastAsia="Arial" w:hAnsi="Arial"/>
                <w:sz w:val="14"/>
                <w:szCs w:val="14"/>
                <w:b w:val="1"/>
                <w:bCs w:val="1"/>
                <w:color w:val="auto"/>
              </w:rPr>
              <w:t>Quarter Ended</w:t>
            </w:r>
          </w:p>
        </w:tc>
        <w:tc>
          <w:tcPr>
            <w:tcW w:w="72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92"/>
        </w:trPr>
        <w:tc>
          <w:tcPr>
            <w:tcW w:w="76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March 31,</w:t>
            </w:r>
          </w:p>
        </w:tc>
        <w:tc>
          <w:tcPr>
            <w:tcW w:w="720" w:type="dxa"/>
            <w:vAlign w:val="bottom"/>
            <w:tcBorders>
              <w:bottom w:val="single" w:sz="8" w:color="auto"/>
            </w:tcBorders>
          </w:tcPr>
          <w:p>
            <w:pPr>
              <w:spacing w:after="0"/>
              <w:rPr>
                <w:sz w:val="16"/>
                <w:szCs w:val="16"/>
                <w:color w:val="auto"/>
              </w:rPr>
            </w:pPr>
          </w:p>
        </w:tc>
        <w:tc>
          <w:tcPr>
            <w:tcW w:w="1380" w:type="dxa"/>
            <w:vAlign w:val="bottom"/>
          </w:tcPr>
          <w:p>
            <w:pPr>
              <w:spacing w:after="0"/>
              <w:rPr>
                <w:sz w:val="16"/>
                <w:szCs w:val="16"/>
                <w:color w:val="auto"/>
              </w:rPr>
            </w:pPr>
          </w:p>
        </w:tc>
      </w:tr>
      <w:tr>
        <w:trPr>
          <w:trHeight w:val="264"/>
        </w:trPr>
        <w:tc>
          <w:tcPr>
            <w:tcW w:w="76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(dollars in millions)</w:t>
            </w: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w w:val="89"/>
              </w:rPr>
              <w:t>2012</w:t>
            </w:r>
          </w:p>
        </w:tc>
        <w:tc>
          <w:tcPr>
            <w:tcW w:w="138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Change</w:t>
            </w: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Compensation and benefits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129.4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135.1</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Communications</w:t>
            </w:r>
          </w:p>
        </w:tc>
        <w:tc>
          <w:tcPr>
            <w:tcW w:w="28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10.3</w:t>
            </w:r>
          </w:p>
        </w:tc>
        <w:tc>
          <w:tcPr>
            <w:tcW w:w="1380" w:type="dxa"/>
            <w:vAlign w:val="bottom"/>
          </w:tcPr>
          <w:p>
            <w:pPr>
              <w:jc w:val="right"/>
              <w:ind w:right="92"/>
              <w:spacing w:after="0"/>
              <w:rPr>
                <w:sz w:val="20"/>
                <w:szCs w:val="20"/>
                <w:color w:val="auto"/>
              </w:rPr>
            </w:pPr>
            <w:r>
              <w:rPr>
                <w:rFonts w:ascii="Arial" w:cs="Arial" w:eastAsia="Arial" w:hAnsi="Arial"/>
                <w:sz w:val="18"/>
                <w:szCs w:val="18"/>
                <w:color w:val="auto"/>
              </w:rPr>
              <w:t>(13)</w:t>
            </w:r>
          </w:p>
        </w:tc>
      </w:tr>
      <w:tr>
        <w:trPr>
          <w:trHeight w:val="27"/>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Technology support services</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12.8</w:t>
            </w:r>
          </w:p>
        </w:tc>
        <w:tc>
          <w:tcPr>
            <w:tcW w:w="13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Professional fees and outside services</w:t>
            </w:r>
          </w:p>
        </w:tc>
        <w:tc>
          <w:tcPr>
            <w:tcW w:w="28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32.2</w:t>
            </w:r>
          </w:p>
        </w:tc>
        <w:tc>
          <w:tcPr>
            <w:tcW w:w="1380" w:type="dxa"/>
            <w:vAlign w:val="bottom"/>
          </w:tcPr>
          <w:p>
            <w:pPr>
              <w:jc w:val="right"/>
              <w:ind w:right="92"/>
              <w:spacing w:after="0"/>
              <w:rPr>
                <w:sz w:val="20"/>
                <w:szCs w:val="20"/>
                <w:color w:val="auto"/>
              </w:rPr>
            </w:pPr>
            <w:r>
              <w:rPr>
                <w:rFonts w:ascii="Arial" w:cs="Arial" w:eastAsia="Arial" w:hAnsi="Arial"/>
                <w:sz w:val="18"/>
                <w:szCs w:val="18"/>
                <w:color w:val="auto"/>
              </w:rPr>
              <w:t>(32)</w:t>
            </w:r>
          </w:p>
        </w:tc>
      </w:tr>
      <w:tr>
        <w:trPr>
          <w:trHeight w:val="27"/>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purchased intangibles</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32.8</w:t>
            </w:r>
          </w:p>
        </w:tc>
        <w:tc>
          <w:tcPr>
            <w:tcW w:w="13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(21)</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32.6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34.9</w:t>
            </w:r>
          </w:p>
        </w:tc>
        <w:tc>
          <w:tcPr>
            <w:tcW w:w="1380" w:type="dxa"/>
            <w:vAlign w:val="bottom"/>
          </w:tcPr>
          <w:p>
            <w:pPr>
              <w:jc w:val="right"/>
              <w:ind w:right="92"/>
              <w:spacing w:after="0"/>
              <w:rPr>
                <w:sz w:val="20"/>
                <w:szCs w:val="20"/>
                <w:color w:val="auto"/>
              </w:rPr>
            </w:pPr>
            <w:r>
              <w:rPr>
                <w:rFonts w:ascii="Arial" w:cs="Arial" w:eastAsia="Arial" w:hAnsi="Arial"/>
                <w:sz w:val="18"/>
                <w:szCs w:val="18"/>
                <w:color w:val="auto"/>
              </w:rPr>
              <w:t>(7)</w:t>
            </w:r>
          </w:p>
        </w:tc>
      </w:tr>
      <w:tr>
        <w:trPr>
          <w:trHeight w:val="27"/>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Occupancy and building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20.3</w:t>
            </w:r>
          </w:p>
        </w:tc>
        <w:tc>
          <w:tcPr>
            <w:tcW w:w="13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(9)</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Licensing and other fee agreements</w:t>
            </w:r>
          </w:p>
        </w:tc>
        <w:tc>
          <w:tcPr>
            <w:tcW w:w="28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20.7</w:t>
            </w:r>
          </w:p>
        </w:tc>
        <w:tc>
          <w:tcPr>
            <w:tcW w:w="1380" w:type="dxa"/>
            <w:vAlign w:val="bottom"/>
          </w:tcPr>
          <w:p>
            <w:pPr>
              <w:jc w:val="right"/>
              <w:ind w:right="152"/>
              <w:spacing w:after="0"/>
              <w:rPr>
                <w:sz w:val="20"/>
                <w:szCs w:val="20"/>
                <w:color w:val="auto"/>
              </w:rPr>
            </w:pPr>
            <w:r>
              <w:rPr>
                <w:rFonts w:ascii="Arial" w:cs="Arial" w:eastAsia="Arial" w:hAnsi="Arial"/>
                <w:sz w:val="18"/>
                <w:szCs w:val="18"/>
                <w:color w:val="auto"/>
              </w:rPr>
              <w:t>2</w:t>
            </w:r>
          </w:p>
        </w:tc>
      </w:tr>
      <w:tr>
        <w:trPr>
          <w:trHeight w:val="27"/>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42.3</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24.3</w:t>
            </w:r>
          </w:p>
        </w:tc>
        <w:tc>
          <w:tcPr>
            <w:tcW w:w="138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74</w:t>
            </w:r>
          </w:p>
        </w:tc>
      </w:tr>
      <w:tr>
        <w:trPr>
          <w:trHeight w:val="257"/>
        </w:trPr>
        <w:tc>
          <w:tcPr>
            <w:tcW w:w="7660" w:type="dxa"/>
            <w:vAlign w:val="bottom"/>
          </w:tcPr>
          <w:p>
            <w:pPr>
              <w:ind w:left="40"/>
              <w:spacing w:after="0"/>
              <w:rPr>
                <w:sz w:val="20"/>
                <w:szCs w:val="20"/>
                <w:color w:val="auto"/>
              </w:rPr>
            </w:pPr>
            <w:r>
              <w:rPr>
                <w:rFonts w:ascii="Arial" w:cs="Arial" w:eastAsia="Arial" w:hAnsi="Arial"/>
                <w:sz w:val="18"/>
                <w:szCs w:val="18"/>
                <w:color w:val="auto"/>
              </w:rPr>
              <w:t>Total Expenses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313.1</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323.4</w:t>
            </w:r>
          </w:p>
        </w:tc>
        <w:tc>
          <w:tcPr>
            <w:tcW w:w="1380" w:type="dxa"/>
            <w:vAlign w:val="bottom"/>
          </w:tcPr>
          <w:p>
            <w:pPr>
              <w:jc w:val="right"/>
              <w:ind w:right="92"/>
              <w:spacing w:after="0"/>
              <w:rPr>
                <w:sz w:val="20"/>
                <w:szCs w:val="20"/>
                <w:color w:val="auto"/>
              </w:rPr>
            </w:pPr>
            <w:r>
              <w:rPr>
                <w:rFonts w:ascii="Arial" w:cs="Arial" w:eastAsia="Arial" w:hAnsi="Arial"/>
                <w:sz w:val="18"/>
                <w:szCs w:val="18"/>
                <w:color w:val="auto"/>
              </w:rPr>
              <w:t>(3)</w:t>
            </w:r>
          </w:p>
        </w:tc>
      </w:tr>
      <w:tr>
        <w:trPr>
          <w:trHeight w:val="20"/>
        </w:trPr>
        <w:tc>
          <w:tcPr>
            <w:tcW w:w="7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Operating expenses decreased by $10.3 million in the first quarter of 2013 when compared with the same period in 2012. The following table shows the estimated impact of key factors resulting in the change in operating expenses:</w:t>
      </w:r>
    </w:p>
    <w:p>
      <w:pPr>
        <w:spacing w:after="0" w:line="216" w:lineRule="exact"/>
        <w:rPr>
          <w:sz w:val="20"/>
          <w:szCs w:val="20"/>
          <w:color w:val="auto"/>
        </w:rPr>
      </w:pPr>
    </w:p>
    <w:p>
      <w:pPr>
        <w:ind w:left="9560"/>
        <w:spacing w:after="0"/>
        <w:rPr>
          <w:sz w:val="20"/>
          <w:szCs w:val="20"/>
          <w:color w:val="auto"/>
        </w:rPr>
      </w:pPr>
      <w:r>
        <w:rPr>
          <w:rFonts w:ascii="Arial" w:cs="Arial" w:eastAsia="Arial" w:hAnsi="Arial"/>
          <w:sz w:val="14"/>
          <w:szCs w:val="14"/>
          <w:b w:val="1"/>
          <w:bCs w:val="1"/>
          <w:color w:val="auto"/>
        </w:rPr>
        <w:t>Quarter Ended,</w:t>
      </w:r>
    </w:p>
    <w:p>
      <w:pPr>
        <w:spacing w:after="0" w:line="4" w:lineRule="exact"/>
        <w:rPr>
          <w:sz w:val="20"/>
          <w:szCs w:val="20"/>
          <w:color w:val="auto"/>
        </w:rPr>
      </w:pPr>
    </w:p>
    <w:p>
      <w:pPr>
        <w:ind w:left="9580"/>
        <w:spacing w:after="0"/>
        <w:rPr>
          <w:sz w:val="20"/>
          <w:szCs w:val="20"/>
          <w:color w:val="auto"/>
        </w:rPr>
      </w:pPr>
      <w:r>
        <w:rPr>
          <w:rFonts w:ascii="Arial" w:cs="Arial" w:eastAsia="Arial" w:hAnsi="Arial"/>
          <w:sz w:val="14"/>
          <w:szCs w:val="14"/>
          <w:b w:val="1"/>
          <w:bCs w:val="1"/>
          <w:color w:val="auto"/>
        </w:rPr>
        <w:t>March 31,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5510530</wp:posOffset>
            </wp:positionH>
            <wp:positionV relativeFrom="paragraph">
              <wp:posOffset>13335</wp:posOffset>
            </wp:positionV>
            <wp:extent cx="17411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41170" cy="8890"/>
                    </a:xfrm>
                    <a:prstGeom prst="rect">
                      <a:avLst/>
                    </a:prstGeom>
                    <a:noFill/>
                  </pic:spPr>
                </pic:pic>
              </a:graphicData>
            </a:graphic>
          </wp:anchor>
        </w:drawing>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9"/>
              </w:rPr>
              <w:t>Amount of</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4"/>
              </w:rPr>
              <w:t>Change as a</w:t>
            </w:r>
          </w:p>
        </w:tc>
        <w:tc>
          <w:tcPr>
            <w:tcW w:w="0" w:type="dxa"/>
            <w:vAlign w:val="bottom"/>
          </w:tcPr>
          <w:p>
            <w:pPr>
              <w:spacing w:after="0"/>
              <w:rPr>
                <w:sz w:val="1"/>
                <w:szCs w:val="1"/>
                <w:color w:val="auto"/>
              </w:rPr>
            </w:pPr>
          </w:p>
        </w:tc>
      </w:tr>
      <w:tr>
        <w:trPr>
          <w:trHeight w:val="149"/>
        </w:trPr>
        <w:tc>
          <w:tcPr>
            <w:tcW w:w="440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Percentage of</w:t>
            </w:r>
          </w:p>
        </w:tc>
        <w:tc>
          <w:tcPr>
            <w:tcW w:w="0" w:type="dxa"/>
            <w:vAlign w:val="bottom"/>
          </w:tcPr>
          <w:p>
            <w:pPr>
              <w:spacing w:after="0"/>
              <w:rPr>
                <w:sz w:val="1"/>
                <w:szCs w:val="1"/>
                <w:color w:val="auto"/>
              </w:rPr>
            </w:pPr>
          </w:p>
        </w:tc>
      </w:tr>
      <w:tr>
        <w:trPr>
          <w:trHeight w:val="192"/>
        </w:trPr>
        <w:tc>
          <w:tcPr>
            <w:tcW w:w="44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(dollars in millions)</w:t>
            </w:r>
          </w:p>
        </w:tc>
        <w:tc>
          <w:tcPr>
            <w:tcW w:w="42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89"/>
              </w:rPr>
              <w:t>Change</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Total Expenses</w:t>
            </w:r>
          </w:p>
        </w:tc>
        <w:tc>
          <w:tcPr>
            <w:tcW w:w="0" w:type="dxa"/>
            <w:vAlign w:val="bottom"/>
          </w:tcPr>
          <w:p>
            <w:pPr>
              <w:spacing w:after="0"/>
              <w:rPr>
                <w:sz w:val="1"/>
                <w:szCs w:val="1"/>
                <w:color w:val="auto"/>
              </w:rPr>
            </w:pPr>
          </w:p>
        </w:tc>
      </w:tr>
      <w:tr>
        <w:trPr>
          <w:trHeight w:val="250"/>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DJI asset group contribution and CMA sale</w:t>
            </w:r>
          </w:p>
        </w:tc>
        <w:tc>
          <w:tcPr>
            <w:tcW w:w="44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4400" w:type="dxa"/>
            <w:vAlign w:val="bottom"/>
          </w:tcPr>
          <w:p>
            <w:pPr>
              <w:ind w:left="40"/>
              <w:spacing w:after="0"/>
              <w:rPr>
                <w:sz w:val="20"/>
                <w:szCs w:val="20"/>
                <w:color w:val="auto"/>
              </w:rPr>
            </w:pPr>
            <w:r>
              <w:rPr>
                <w:rFonts w:ascii="Arial" w:cs="Arial" w:eastAsia="Arial" w:hAnsi="Arial"/>
                <w:sz w:val="18"/>
                <w:szCs w:val="18"/>
                <w:color w:val="auto"/>
              </w:rPr>
              <w:t>Sale of CBOT building</w:t>
            </w:r>
          </w:p>
        </w:tc>
        <w:tc>
          <w:tcPr>
            <w:tcW w:w="4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1380" w:type="dxa"/>
            <w:vAlign w:val="bottom"/>
          </w:tcPr>
          <w:p>
            <w:pPr>
              <w:jc w:val="right"/>
              <w:ind w:right="97"/>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4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losses on currency fluctuation</w:t>
            </w:r>
          </w:p>
        </w:tc>
        <w:tc>
          <w:tcPr>
            <w:tcW w:w="42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14.3</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57"/>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4400" w:type="dxa"/>
            <w:vAlign w:val="bottom"/>
          </w:tcPr>
          <w:p>
            <w:pPr>
              <w:ind w:left="40"/>
              <w:spacing w:after="0"/>
              <w:rPr>
                <w:sz w:val="20"/>
                <w:szCs w:val="20"/>
                <w:color w:val="auto"/>
              </w:rPr>
            </w:pPr>
            <w:r>
              <w:rPr>
                <w:rFonts w:ascii="Arial" w:cs="Arial" w:eastAsia="Arial" w:hAnsi="Arial"/>
                <w:sz w:val="18"/>
                <w:szCs w:val="18"/>
                <w:color w:val="auto"/>
              </w:rPr>
              <w:t>Other expenses, net</w:t>
            </w:r>
          </w:p>
        </w:tc>
        <w:tc>
          <w:tcPr>
            <w:tcW w:w="4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1380" w:type="dxa"/>
            <w:vAlign w:val="bottom"/>
          </w:tcPr>
          <w:p>
            <w:pPr>
              <w:jc w:val="right"/>
              <w:ind w:right="97"/>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4400" w:type="dxa"/>
            <w:vAlign w:val="bottom"/>
            <w:tcBorders>
              <w:bottom w:val="single" w:sz="8" w:color="CCEEFF"/>
            </w:tcBorders>
          </w:tcPr>
          <w:p>
            <w:pPr>
              <w:spacing w:after="0"/>
              <w:rPr>
                <w:sz w:val="2"/>
                <w:szCs w:val="2"/>
                <w:color w:val="auto"/>
              </w:rPr>
            </w:pPr>
          </w:p>
        </w:tc>
        <w:tc>
          <w:tcPr>
            <w:tcW w:w="42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decrease</w:t>
            </w:r>
          </w:p>
        </w:tc>
        <w:tc>
          <w:tcPr>
            <w:tcW w:w="44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4280" w:type="dxa"/>
            <w:vAlign w:val="bottom"/>
            <w:tcBorders>
              <w:top w:val="single" w:sz="8" w:color="CCEEFF"/>
              <w:bottom w:val="single" w:sz="8" w:color="CCEEFF"/>
            </w:tcBorders>
            <w:vMerge w:val="restart"/>
          </w:tcPr>
          <w:p>
            <w:pPr>
              <w:jc w:val="right"/>
              <w:ind w:right="2790"/>
              <w:spacing w:after="0"/>
              <w:rPr>
                <w:sz w:val="20"/>
                <w:szCs w:val="20"/>
                <w:color w:val="auto"/>
              </w:rPr>
            </w:pPr>
            <w:r>
              <w:rPr>
                <w:rFonts w:ascii="Arial" w:cs="Arial" w:eastAsia="Arial" w:hAnsi="Arial"/>
                <w:sz w:val="18"/>
                <w:szCs w:val="18"/>
                <w:color w:val="auto"/>
              </w:rPr>
              <w:t>22</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400" w:type="dxa"/>
            <w:vAlign w:val="bottom"/>
          </w:tcPr>
          <w:p>
            <w:pPr>
              <w:spacing w:after="0"/>
              <w:rPr>
                <w:sz w:val="24"/>
                <w:szCs w:val="24"/>
                <w:color w:val="auto"/>
              </w:rPr>
            </w:pPr>
          </w:p>
        </w:tc>
        <w:tc>
          <w:tcPr>
            <w:tcW w:w="42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Operating expenses decreased in the first quarter of 2013 when compared with the same period in 2012 largely due to the contribution of the DJI asset group and the sale of CMA. The transaction with McGraw contributed to an overall reduction in expenses, including compensation and benefits, professional fees and outside services and amortization of purchased intangibles.</w:t>
      </w:r>
    </w:p>
    <w:p>
      <w:pPr>
        <w:spacing w:after="0" w:line="181" w:lineRule="exact"/>
        <w:rPr>
          <w:sz w:val="20"/>
          <w:szCs w:val="20"/>
          <w:color w:val="auto"/>
        </w:rPr>
      </w:pPr>
    </w:p>
    <w:p>
      <w:pPr>
        <w:ind w:right="580"/>
        <w:spacing w:after="0" w:line="342" w:lineRule="auto"/>
        <w:rPr>
          <w:sz w:val="20"/>
          <w:szCs w:val="20"/>
          <w:color w:val="auto"/>
        </w:rPr>
      </w:pPr>
      <w:r>
        <w:rPr>
          <w:rFonts w:ascii="Arial" w:cs="Arial" w:eastAsia="Arial" w:hAnsi="Arial"/>
          <w:sz w:val="16"/>
          <w:szCs w:val="16"/>
          <w:color w:val="auto"/>
        </w:rPr>
        <w:t>In April 2012, we sold two buildings in Chicago. The building sale contributed to a decline in depreciation and amortization as well as amortization of purchased intangibles associated with lease-related intangible assets in the first quarter of 2013 when compared with the same period in 2012.</w:t>
      </w:r>
    </w:p>
    <w:p>
      <w:pPr>
        <w:spacing w:after="0" w:line="124"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overall decrease in operating expenses in the first quarter of 2013 when compared with the same period in 2012 was partially offset by an increase in currency fluctuation losses resulting from unfavorable changes in exchange rates on British pound cash balances.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Non-Operating Income (Expense)</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20" w:type="dxa"/>
            <w:vAlign w:val="bottom"/>
            <w:gridSpan w:val="4"/>
          </w:tcPr>
          <w:p>
            <w:pPr>
              <w:jc w:val="right"/>
              <w:ind w:right="534"/>
              <w:spacing w:after="0"/>
              <w:rPr>
                <w:sz w:val="20"/>
                <w:szCs w:val="20"/>
                <w:color w:val="auto"/>
              </w:rPr>
            </w:pPr>
            <w:r>
              <w:rPr>
                <w:rFonts w:ascii="Arial" w:cs="Arial" w:eastAsia="Arial" w:hAnsi="Arial"/>
                <w:sz w:val="14"/>
                <w:szCs w:val="14"/>
                <w:b w:val="1"/>
                <w:bCs w:val="1"/>
                <w:color w:val="auto"/>
              </w:rPr>
              <w:t>Quarter Ended</w:t>
            </w:r>
          </w:p>
        </w:tc>
        <w:tc>
          <w:tcPr>
            <w:tcW w:w="1260" w:type="dxa"/>
            <w:vAlign w:val="bottom"/>
          </w:tcPr>
          <w:p>
            <w:pPr>
              <w:spacing w:after="0"/>
              <w:rPr>
                <w:sz w:val="14"/>
                <w:szCs w:val="14"/>
                <w:color w:val="auto"/>
              </w:rPr>
            </w:pPr>
          </w:p>
        </w:tc>
      </w:tr>
      <w:tr>
        <w:trPr>
          <w:trHeight w:val="192"/>
        </w:trPr>
        <w:tc>
          <w:tcPr>
            <w:tcW w:w="80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700" w:type="dxa"/>
            <w:vAlign w:val="bottom"/>
            <w:tcBorders>
              <w:bottom w:val="single" w:sz="8" w:color="auto"/>
            </w:tcBorders>
          </w:tcPr>
          <w:p>
            <w:pPr>
              <w:spacing w:after="0"/>
              <w:rPr>
                <w:sz w:val="16"/>
                <w:szCs w:val="16"/>
                <w:color w:val="auto"/>
              </w:rPr>
            </w:pPr>
          </w:p>
        </w:tc>
        <w:tc>
          <w:tcPr>
            <w:tcW w:w="1260" w:type="dxa"/>
            <w:vAlign w:val="bottom"/>
          </w:tcPr>
          <w:p>
            <w:pPr>
              <w:spacing w:after="0"/>
              <w:rPr>
                <w:sz w:val="16"/>
                <w:szCs w:val="16"/>
                <w:color w:val="auto"/>
              </w:rPr>
            </w:pPr>
          </w:p>
        </w:tc>
      </w:tr>
      <w:tr>
        <w:trPr>
          <w:trHeight w:val="264"/>
        </w:trPr>
        <w:tc>
          <w:tcPr>
            <w:tcW w:w="80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(dollars in millions)</w:t>
            </w: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8"/>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2012</w:t>
            </w:r>
          </w:p>
        </w:tc>
        <w:tc>
          <w:tcPr>
            <w:tcW w:w="126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Change</w:t>
            </w:r>
          </w:p>
        </w:tc>
      </w:tr>
      <w:tr>
        <w:trPr>
          <w:trHeight w:val="25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 income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12.1</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Interest and other borrowing costs</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(39.0)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(29.1)</w:t>
            </w:r>
          </w:p>
        </w:tc>
        <w:tc>
          <w:tcPr>
            <w:tcW w:w="1260" w:type="dxa"/>
            <w:vAlign w:val="bottom"/>
          </w:tcPr>
          <w:p>
            <w:pPr>
              <w:jc w:val="right"/>
              <w:ind w:right="154"/>
              <w:spacing w:after="0"/>
              <w:rPr>
                <w:sz w:val="20"/>
                <w:szCs w:val="20"/>
                <w:color w:val="auto"/>
              </w:rPr>
            </w:pPr>
            <w:r>
              <w:rPr>
                <w:rFonts w:ascii="Arial" w:cs="Arial" w:eastAsia="Arial" w:hAnsi="Arial"/>
                <w:sz w:val="18"/>
                <w:szCs w:val="18"/>
                <w:color w:val="auto"/>
              </w:rPr>
              <w:t>35</w:t>
            </w:r>
          </w:p>
        </w:tc>
      </w:tr>
      <w:tr>
        <w:trPr>
          <w:trHeight w:val="27"/>
        </w:trPr>
        <w:tc>
          <w:tcPr>
            <w:tcW w:w="8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 net gains (losses) of unconsolidated subsidiaries</w:t>
            </w: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17.5</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26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n.m.</w:t>
            </w:r>
          </w:p>
        </w:tc>
      </w:tr>
      <w:tr>
        <w:trPr>
          <w:trHeight w:val="257"/>
        </w:trPr>
        <w:tc>
          <w:tcPr>
            <w:tcW w:w="8000" w:type="dxa"/>
            <w:vAlign w:val="bottom"/>
          </w:tcPr>
          <w:p>
            <w:pPr>
              <w:ind w:left="40"/>
              <w:spacing w:after="0"/>
              <w:rPr>
                <w:sz w:val="20"/>
                <w:szCs w:val="20"/>
                <w:color w:val="auto"/>
              </w:rPr>
            </w:pPr>
            <w:r>
              <w:rPr>
                <w:rFonts w:ascii="Arial" w:cs="Arial" w:eastAsia="Arial" w:hAnsi="Arial"/>
                <w:sz w:val="18"/>
                <w:szCs w:val="18"/>
                <w:color w:val="auto"/>
              </w:rPr>
              <w:t>Total Non-Operating</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w:t>
            </w:r>
          </w:p>
        </w:tc>
        <w:tc>
          <w:tcPr>
            <w:tcW w:w="1260" w:type="dxa"/>
            <w:vAlign w:val="bottom"/>
          </w:tcPr>
          <w:p>
            <w:pPr>
              <w:jc w:val="right"/>
              <w:ind w:right="154"/>
              <w:spacing w:after="0"/>
              <w:rPr>
                <w:sz w:val="20"/>
                <w:szCs w:val="20"/>
                <w:color w:val="auto"/>
              </w:rPr>
            </w:pPr>
            <w:r>
              <w:rPr>
                <w:rFonts w:ascii="Arial" w:cs="Arial" w:eastAsia="Arial" w:hAnsi="Arial"/>
                <w:sz w:val="18"/>
                <w:szCs w:val="18"/>
                <w:color w:val="auto"/>
              </w:rPr>
              <w:t>1</w:t>
            </w:r>
          </w:p>
        </w:tc>
      </w:tr>
      <w:tr>
        <w:trPr>
          <w:trHeight w:val="20"/>
        </w:trPr>
        <w:tc>
          <w:tcPr>
            <w:tcW w:w="80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n.m. not meaningful</w:t>
      </w:r>
    </w:p>
    <w:p>
      <w:pPr>
        <w:spacing w:after="0" w:line="19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decrease in investment income during the first quarter of 2013, when compared with the same period in 2012, was due largely to a $6.6 million decline in dividend income from our investment in BM&amp;FBOVESPA. BM&amp;FBOVESPA declared a dividend in both February 2012 and 2013. However, the ex-dividend date, which is the basis for revenue recognition, was in the first quarter of 2012 for the 2012 dividend and in the second quarter of 2013 for the 2013 dividend.</w:t>
      </w:r>
    </w:p>
    <w:p>
      <w:pPr>
        <w:spacing w:after="0" w:line="160"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In September 2012, we issued $750.0 million of 3.0% fixed rate notes due September 2022, which contributed to an increase in weighted average borrowings outstanding and a decrease in weighted average effective yield in the first quarter of 2013 when compared with the same period in 2012. Average cost of borrowings remained flat in the first quarter of 2013 when compared with the same period in 2012. The impact of the September 2012 issuance on the average cost of borrowings was offset by higher commitment fees resulting from an increase in our line of credit facilities in the fourth quarter of 2012.</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gridSpan w:val="2"/>
          </w:tcPr>
          <w:p>
            <w:pPr>
              <w:jc w:val="center"/>
              <w:ind w:left="419"/>
              <w:spacing w:after="0"/>
              <w:rPr>
                <w:sz w:val="20"/>
                <w:szCs w:val="20"/>
                <w:color w:val="auto"/>
              </w:rPr>
            </w:pPr>
            <w:r>
              <w:rPr>
                <w:rFonts w:ascii="Arial" w:cs="Arial" w:eastAsia="Arial" w:hAnsi="Arial"/>
                <w:sz w:val="14"/>
                <w:szCs w:val="14"/>
                <w:b w:val="1"/>
                <w:bCs w:val="1"/>
                <w:color w:val="auto"/>
                <w:w w:val="96"/>
              </w:rPr>
              <w:t>Quarter Ended</w:t>
            </w: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92"/>
        </w:trPr>
        <w:tc>
          <w:tcPr>
            <w:tcW w:w="75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center"/>
              <w:ind w:left="439"/>
              <w:spacing w:after="0"/>
              <w:rPr>
                <w:sz w:val="20"/>
                <w:szCs w:val="20"/>
                <w:color w:val="auto"/>
              </w:rPr>
            </w:pPr>
            <w:r>
              <w:rPr>
                <w:rFonts w:ascii="Arial" w:cs="Arial" w:eastAsia="Arial" w:hAnsi="Arial"/>
                <w:sz w:val="14"/>
                <w:szCs w:val="14"/>
                <w:b w:val="1"/>
                <w:bCs w:val="1"/>
                <w:color w:val="auto"/>
                <w:w w:val="99"/>
              </w:rPr>
              <w:t>March 31,</w:t>
            </w:r>
          </w:p>
        </w:tc>
        <w:tc>
          <w:tcPr>
            <w:tcW w:w="780" w:type="dxa"/>
            <w:vAlign w:val="bottom"/>
            <w:tcBorders>
              <w:bottom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64"/>
        </w:trPr>
        <w:tc>
          <w:tcPr>
            <w:tcW w:w="75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2013</w:t>
            </w:r>
          </w:p>
        </w:tc>
        <w:tc>
          <w:tcPr>
            <w:tcW w:w="5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w w:val="96"/>
              </w:rPr>
              <w:t>2012</w:t>
            </w:r>
          </w:p>
        </w:tc>
        <w:tc>
          <w:tcPr>
            <w:tcW w:w="3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Change</w:t>
            </w:r>
          </w:p>
        </w:tc>
      </w:tr>
      <w:tr>
        <w:trPr>
          <w:trHeight w:val="250"/>
        </w:trPr>
        <w:tc>
          <w:tcPr>
            <w:tcW w:w="7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borrowings outstanding (in millions)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8"/>
                <w:szCs w:val="18"/>
                <w:color w:val="auto"/>
              </w:rPr>
              <w:t>2,862.5</w:t>
            </w:r>
          </w:p>
        </w:tc>
        <w:tc>
          <w:tcPr>
            <w:tcW w:w="5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w w:val="93"/>
              </w:rPr>
              <w:t>2,112.5</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750.0</w:t>
            </w:r>
          </w:p>
        </w:tc>
      </w:tr>
      <w:tr>
        <w:trPr>
          <w:trHeight w:val="243"/>
        </w:trPr>
        <w:tc>
          <w:tcPr>
            <w:tcW w:w="7520" w:type="dxa"/>
            <w:vAlign w:val="bottom"/>
          </w:tcPr>
          <w:p>
            <w:pPr>
              <w:ind w:left="40"/>
              <w:spacing w:after="0"/>
              <w:rPr>
                <w:sz w:val="20"/>
                <w:szCs w:val="20"/>
                <w:color w:val="auto"/>
              </w:rPr>
            </w:pPr>
            <w:r>
              <w:rPr>
                <w:rFonts w:ascii="Arial" w:cs="Arial" w:eastAsia="Arial" w:hAnsi="Arial"/>
                <w:sz w:val="18"/>
                <w:szCs w:val="18"/>
                <w:color w:val="auto"/>
              </w:rPr>
              <w:t>Weighted average effective yield</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4.80%</w:t>
            </w:r>
          </w:p>
        </w:tc>
        <w:tc>
          <w:tcPr>
            <w:tcW w:w="5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5.27%</w:t>
            </w: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(0.47)%</w:t>
            </w:r>
          </w:p>
        </w:tc>
      </w:tr>
      <w:tr>
        <w:trPr>
          <w:trHeight w:val="27"/>
        </w:trPr>
        <w:tc>
          <w:tcPr>
            <w:tcW w:w="7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43"/>
        </w:trPr>
        <w:tc>
          <w:tcPr>
            <w:tcW w:w="7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Average cost of borrowings (1)</w:t>
            </w: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59"/>
              <w:spacing w:after="0"/>
              <w:rPr>
                <w:sz w:val="20"/>
                <w:szCs w:val="20"/>
                <w:color w:val="auto"/>
              </w:rPr>
            </w:pPr>
            <w:r>
              <w:rPr>
                <w:rFonts w:ascii="Arial" w:cs="Arial" w:eastAsia="Arial" w:hAnsi="Arial"/>
                <w:sz w:val="18"/>
                <w:szCs w:val="18"/>
                <w:color w:val="auto"/>
              </w:rPr>
              <w:t>5.52</w:t>
            </w:r>
          </w:p>
        </w:tc>
        <w:tc>
          <w:tcPr>
            <w:tcW w:w="50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5.51</w:t>
            </w:r>
          </w:p>
        </w:tc>
        <w:tc>
          <w:tcPr>
            <w:tcW w:w="36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0.01</w:t>
            </w:r>
          </w:p>
        </w:tc>
      </w:tr>
      <w:tr>
        <w:trPr>
          <w:trHeight w:val="27"/>
        </w:trPr>
        <w:tc>
          <w:tcPr>
            <w:tcW w:w="75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660" w:right="32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Average cost of borrowings includes interest, the effective portion of interest rate hedges, commitment fees, discount accretion and debt issuance costs.</w:t>
      </w:r>
    </w:p>
    <w:p>
      <w:pPr>
        <w:spacing w:after="0" w:line="170" w:lineRule="exact"/>
        <w:rPr>
          <w:sz w:val="20"/>
          <w:szCs w:val="20"/>
          <w:color w:val="auto"/>
        </w:rPr>
      </w:pPr>
    </w:p>
    <w:p>
      <w:pPr>
        <w:ind w:left="60" w:right="760"/>
        <w:spacing w:after="0" w:line="277" w:lineRule="auto"/>
        <w:rPr>
          <w:sz w:val="20"/>
          <w:szCs w:val="20"/>
          <w:color w:val="auto"/>
        </w:rPr>
      </w:pPr>
      <w:r>
        <w:rPr>
          <w:rFonts w:ascii="Arial" w:cs="Arial" w:eastAsia="Arial" w:hAnsi="Arial"/>
          <w:sz w:val="18"/>
          <w:szCs w:val="18"/>
          <w:color w:val="auto"/>
        </w:rPr>
        <w:t>In the first quarter of 2013, we recognized income from our S&amp;P/DJI investment, which contributed to an increase in equity in net gains (losses) of unconsolidated subsidiaries when compared with the first quarter of 2012.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line="273" w:lineRule="auto"/>
        <w:rPr>
          <w:sz w:val="20"/>
          <w:szCs w:val="20"/>
          <w:color w:val="auto"/>
        </w:rPr>
      </w:pPr>
      <w:r>
        <w:rPr>
          <w:rFonts w:ascii="Arial" w:cs="Arial" w:eastAsia="Arial" w:hAnsi="Arial"/>
          <w:sz w:val="17"/>
          <w:szCs w:val="17"/>
          <w:i w:val="1"/>
          <w:iCs w:val="1"/>
          <w:u w:val="single" w:color="auto"/>
          <w:color w:val="auto"/>
        </w:rPr>
        <w:t>Sources and Uses of Cash</w:t>
      </w:r>
      <w:r>
        <w:rPr>
          <w:rFonts w:ascii="Arial" w:cs="Arial" w:eastAsia="Arial" w:hAnsi="Arial"/>
          <w:sz w:val="17"/>
          <w:szCs w:val="17"/>
          <w:i w:val="1"/>
          <w:iCs w:val="1"/>
          <w:color w:val="auto"/>
        </w:rPr>
        <w:t xml:space="preserve">. </w:t>
      </w:r>
      <w:r>
        <w:rPr>
          <w:rFonts w:ascii="Arial" w:cs="Arial" w:eastAsia="Arial" w:hAnsi="Arial"/>
          <w:sz w:val="17"/>
          <w:szCs w:val="17"/>
          <w:color w:val="auto"/>
        </w:rPr>
        <w:t>Net cash provided by operating activities in the first quarter of 2013 was relatively consistent with net cash provided by operating</w:t>
      </w:r>
      <w:r>
        <w:rPr>
          <w:rFonts w:ascii="Arial" w:cs="Arial" w:eastAsia="Arial" w:hAnsi="Arial"/>
          <w:sz w:val="17"/>
          <w:szCs w:val="17"/>
          <w:i w:val="1"/>
          <w:iCs w:val="1"/>
          <w:color w:val="auto"/>
        </w:rPr>
        <w:t xml:space="preserve"> </w:t>
      </w:r>
      <w:r>
        <w:rPr>
          <w:rFonts w:ascii="Arial" w:cs="Arial" w:eastAsia="Arial" w:hAnsi="Arial"/>
          <w:sz w:val="17"/>
          <w:szCs w:val="17"/>
          <w:color w:val="auto"/>
        </w:rPr>
        <w:t>activities in the first quarter in 2012. Net cash used in investing activities decreased in the first quarter of 2013 when compared with the same period of 2012 due to our additional investment in a business venture in the first quarter of 2012. Cash used in financing activities was lower in the first quarter of 2013 when compared with the same period in 2012. The decrease was attributable to lower cash dividends in the first quarter of 2013 when compared with the same period in 2012 due to the payment of the 2012 annual variable dividend in the first quarter of 2012. The annual variable dividend for 2013 was accelerated to the fourth quarter of 2012 due to uncertainty surrounding dividend income tax treatment beginning in 2013.</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Debt Instruments.</w:t>
      </w:r>
      <w:r>
        <w:rPr>
          <w:rFonts w:ascii="Arial" w:cs="Arial" w:eastAsia="Arial" w:hAnsi="Arial"/>
          <w:sz w:val="18"/>
          <w:szCs w:val="18"/>
          <w:i w:val="1"/>
          <w:iCs w:val="1"/>
          <w:color w:val="auto"/>
        </w:rPr>
        <w:t xml:space="preserve"> </w:t>
      </w:r>
      <w:r>
        <w:rPr>
          <w:rFonts w:ascii="Arial" w:cs="Arial" w:eastAsia="Arial" w:hAnsi="Arial"/>
          <w:sz w:val="18"/>
          <w:szCs w:val="18"/>
          <w:color w:val="auto"/>
        </w:rPr>
        <w:t>The following table summarizes our debt outstanding as of March 31, 2013:</w:t>
      </w: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29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Par Value</w:t>
            </w:r>
          </w:p>
        </w:tc>
      </w:tr>
      <w:tr>
        <w:trPr>
          <w:trHeight w:val="250"/>
        </w:trPr>
        <w:tc>
          <w:tcPr>
            <w:tcW w:w="7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rate notes due August 2013, interest equal to 5.40%</w:t>
            </w:r>
          </w:p>
        </w:tc>
        <w:tc>
          <w:tcPr>
            <w:tcW w:w="2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750.0</w:t>
            </w:r>
          </w:p>
        </w:tc>
      </w:tr>
      <w:tr>
        <w:trPr>
          <w:trHeight w:val="243"/>
        </w:trPr>
        <w:tc>
          <w:tcPr>
            <w:tcW w:w="7480" w:type="dxa"/>
            <w:vAlign w:val="bottom"/>
          </w:tcPr>
          <w:p>
            <w:pPr>
              <w:ind w:left="40"/>
              <w:spacing w:after="0"/>
              <w:rPr>
                <w:sz w:val="20"/>
                <w:szCs w:val="20"/>
                <w:color w:val="auto"/>
              </w:rPr>
            </w:pPr>
            <w:r>
              <w:rPr>
                <w:rFonts w:ascii="Arial" w:cs="Arial" w:eastAsia="Arial" w:hAnsi="Arial"/>
                <w:sz w:val="18"/>
                <w:szCs w:val="18"/>
                <w:color w:val="auto"/>
              </w:rPr>
              <w:t>Fixed rate notes due February 2014, interest equal to 5.75%</w:t>
            </w:r>
          </w:p>
        </w:tc>
        <w:tc>
          <w:tcPr>
            <w:tcW w:w="29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750.0</w:t>
            </w:r>
          </w:p>
        </w:tc>
      </w:tr>
      <w:tr>
        <w:trPr>
          <w:trHeight w:val="27"/>
        </w:trPr>
        <w:tc>
          <w:tcPr>
            <w:tcW w:w="7480" w:type="dxa"/>
            <w:vAlign w:val="bottom"/>
          </w:tcPr>
          <w:p>
            <w:pPr>
              <w:spacing w:after="0"/>
              <w:rPr>
                <w:sz w:val="2"/>
                <w:szCs w:val="2"/>
                <w:color w:val="auto"/>
              </w:rPr>
            </w:pPr>
          </w:p>
        </w:tc>
        <w:tc>
          <w:tcPr>
            <w:tcW w:w="29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74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Fixed rate notes due March 2018, interest equal to 4.40% </w:t>
            </w:r>
            <w:r>
              <w:rPr>
                <w:rFonts w:ascii="Arial" w:cs="Arial" w:eastAsia="Arial" w:hAnsi="Arial"/>
                <w:sz w:val="25"/>
                <w:szCs w:val="25"/>
                <w:color w:val="auto"/>
                <w:vertAlign w:val="superscript"/>
              </w:rPr>
              <w:t>(1)</w:t>
            </w:r>
          </w:p>
        </w:tc>
        <w:tc>
          <w:tcPr>
            <w:tcW w:w="29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612.5</w:t>
            </w:r>
          </w:p>
        </w:tc>
      </w:tr>
      <w:tr>
        <w:trPr>
          <w:trHeight w:val="341"/>
        </w:trPr>
        <w:tc>
          <w:tcPr>
            <w:tcW w:w="7480" w:type="dxa"/>
            <w:vAlign w:val="bottom"/>
          </w:tcPr>
          <w:p>
            <w:pPr>
              <w:ind w:left="40"/>
              <w:spacing w:after="0"/>
              <w:rPr>
                <w:sz w:val="20"/>
                <w:szCs w:val="20"/>
                <w:color w:val="auto"/>
              </w:rPr>
            </w:pPr>
            <w:r>
              <w:rPr>
                <w:rFonts w:ascii="Arial" w:cs="Arial" w:eastAsia="Arial" w:hAnsi="Arial"/>
                <w:sz w:val="18"/>
                <w:szCs w:val="18"/>
                <w:color w:val="auto"/>
              </w:rPr>
              <w:t xml:space="preserve">Fixed rate notes due September 2022, interest equal to 3.00% </w:t>
            </w:r>
            <w:r>
              <w:rPr>
                <w:rFonts w:ascii="Arial" w:cs="Arial" w:eastAsia="Arial" w:hAnsi="Arial"/>
                <w:sz w:val="25"/>
                <w:szCs w:val="25"/>
                <w:color w:val="auto"/>
                <w:vertAlign w:val="superscript"/>
              </w:rPr>
              <w:t>(2)</w:t>
            </w:r>
          </w:p>
        </w:tc>
        <w:tc>
          <w:tcPr>
            <w:tcW w:w="2960" w:type="dxa"/>
            <w:vAlign w:val="bottom"/>
          </w:tcPr>
          <w:p>
            <w:pPr>
              <w:spacing w:after="0"/>
              <w:rPr>
                <w:sz w:val="24"/>
                <w:szCs w:val="24"/>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750.0</w:t>
            </w:r>
          </w:p>
        </w:tc>
      </w:tr>
    </w:tbl>
    <w:p>
      <w:pPr>
        <w:spacing w:after="0" w:line="130" w:lineRule="exact"/>
        <w:rPr>
          <w:sz w:val="20"/>
          <w:szCs w:val="20"/>
          <w:color w:val="auto"/>
        </w:rPr>
      </w:pPr>
    </w:p>
    <w:p>
      <w:pPr>
        <w:ind w:left="660" w:right="4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February 2010, we entered into a forward-starting interest rate swap agreement that modified the interest obligation associated with these notes so that the interest payable on the notes effectively became fixed at a rate of 4.46%.</w:t>
      </w:r>
    </w:p>
    <w:p>
      <w:pPr>
        <w:spacing w:after="0" w:line="170" w:lineRule="exact"/>
        <w:rPr>
          <w:rFonts w:ascii="Arial" w:cs="Arial" w:eastAsia="Arial" w:hAnsi="Arial"/>
          <w:sz w:val="18"/>
          <w:szCs w:val="18"/>
          <w:color w:val="auto"/>
        </w:rPr>
      </w:pPr>
    </w:p>
    <w:p>
      <w:pPr>
        <w:ind w:left="660" w:right="16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August 2012, we entered into a forward-starting interest rate swap agreement that modified the interest obligation associated with these notes so that the interest payable effectively became fixed at a rate of 3.32%.</w:t>
      </w:r>
    </w:p>
    <w:p>
      <w:pPr>
        <w:spacing w:after="0" w:line="170"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We maintain a $1.8 billion multi-currency revolving senior credit facility with various financial institutions. The proceeds from the revolving senior credit facility can be used for general corporate purposes, which includes providing liquidity for our CME clearing house in certain circumstances at CME Group's discretion and, if necessary, for maturities of commercial paper. As long as we are not in default under the new senior credit facility, we have the option to increase the facility up to $2.3 billion with the consent of the agent and lenders providing the additional funds. The senior credit facility matures in January 2016 except for $95.0 million of the existing commitments that expire in January 2014. The $1.8 billion multi-currency revolving senior credit facility includes a provision to issue up to $250.0 million of stand-by letters of credit. The senior credit facility is voluntarily prepayable from time to time without premium or penalty. Under our credit facility, we are required to remain in compliance with a consolidated net worth test, which is defined as our consolidated shareholders' equity as of September 30, 2012, giving effect to share repurchases made and special dividends paid during the term of the agreement (and in no event greater than $2.0 billion in aggregate), multiplied by 0.65. We currently do not have any borrowings under this credit facility.</w:t>
      </w:r>
    </w:p>
    <w:p>
      <w:pPr>
        <w:spacing w:after="0" w:line="14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maintain a 364-day multi-currency line of credit with a consortium of domestic and international banks to be used in certain situations by our CME clearing house. We may use the proceeds to provide temporary liquidity in the unlikely event of a clearing firm default, in the event of a liquidity constraint or default by a depositary (custodian for our collateral), or in the event of a temporary disruption with the domestic payments system that would delay payment of settlement variation between us and our clearing firms. CME clearing firm guaranty fund contributions received in the form of U.S. Treasury securities, U.S. government agency securities or money market mutual funds as well as the performance bond assets of a defaulting firm can be used to collateralize the facility. At March 31, 2013, guaranty funds available to collateralize the facility totaled $4.9 billion. The line of credit provides for borrowings of up to $5.0 billion. We have the option to request an increase in the line from $5.0 billion to $7.0 billion, subject to the approval of participating banks. In addition to the 364-day multi-currency line of credit, we also have the option to use the $1.8 billion multi-currency revolving senior credit facility to provide liquidity for our clearing house in the unlikely event of default in certain circumstances.</w:t>
      </w:r>
    </w:p>
    <w:p>
      <w:pPr>
        <w:spacing w:after="0" w:line="128"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In addition, our 364-day multi-currency line of credit contains a requirement that CME remain in compliance with a consolidated tangible net worth test, defined as CME consolidated shareholder's equity less intangible assets (as defined in the agreement) of not less than $625.0 million. In the event that CME elects to increase the facility, the minimum consolidated tangible net worth test would increase ratably up to $875.0 million.</w:t>
      </w:r>
    </w:p>
    <w:p>
      <w:pPr>
        <w:spacing w:after="0" w:line="111"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indentures governing our fixed rate notes, our $1.8 billion multi-currency revolving senior credit facility and our 364-day multi-currency line of credit for $5.0 billion do not contain specific covenants that restrict the ability to pay dividends. These documents, however, do contain other customary financial and operating covenants that place restrictions on the operations of the company that could indirectly affect the ability to pay dividends.</w:t>
      </w:r>
    </w:p>
    <w:p>
      <w:pPr>
        <w:spacing w:after="0" w:line="13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At March 31, 2013, we have excess borrowing capacity for general corporate purposes of approximately $1.8 billion under our multi-currency revolving senior credit facility.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2013, we were in compliance with the various covenant requirements of all our debt facilities.</w:t>
      </w:r>
    </w:p>
    <w:p>
      <w:pPr>
        <w:spacing w:after="0" w:line="19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CME Group, as a holding company, has no operations of its own. Instead, it relies on dividends declared and paid to it by its subsidiaries in order to provide a portion of the funds which it uses to pay dividends to its shareholders.</w:t>
      </w:r>
    </w:p>
    <w:p>
      <w:pPr>
        <w:spacing w:after="0" w:line="143"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To satisfy our performance bond obligation with Singapore Exchange Limited, we may pledge CME-owned U.S. Treasury securities in lieu of, or in combination with, irrevocable letters of credit. At March 31, 2013, the letters of credit totaled $231.0 million.</w:t>
      </w:r>
    </w:p>
    <w:p>
      <w:pPr>
        <w:sectPr>
          <w:pgSz w:w="11900" w:h="16838" w:orient="portrait"/>
          <w:cols w:equalWidth="0" w:num="1">
            <w:col w:w="11400"/>
          </w:cols>
          <w:pgMar w:left="240" w:top="125"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00"/>
          </w:cols>
          <w:pgMar w:left="240" w:top="125" w:right="259" w:bottom="1440" w:gutter="0" w:footer="0" w:header="0"/>
          <w:type w:val="continuous"/>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credit ratings as of March 31, 2013:</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80" w:type="dxa"/>
            <w:vAlign w:val="bottom"/>
          </w:tcPr>
          <w:p>
            <w:pPr>
              <w:spacing w:after="0"/>
              <w:rPr>
                <w:sz w:val="16"/>
                <w:szCs w:val="16"/>
                <w:color w:val="auto"/>
              </w:rPr>
            </w:pPr>
          </w:p>
        </w:tc>
        <w:tc>
          <w:tcPr>
            <w:tcW w:w="1960" w:type="dxa"/>
            <w:vAlign w:val="bottom"/>
            <w:gridSpan w:val="2"/>
          </w:tcPr>
          <w:p>
            <w:pPr>
              <w:ind w:left="560"/>
              <w:spacing w:after="0"/>
              <w:rPr>
                <w:sz w:val="20"/>
                <w:szCs w:val="20"/>
                <w:color w:val="auto"/>
              </w:rPr>
            </w:pPr>
            <w:r>
              <w:rPr>
                <w:rFonts w:ascii="Arial" w:cs="Arial" w:eastAsia="Arial" w:hAnsi="Arial"/>
                <w:sz w:val="14"/>
                <w:szCs w:val="14"/>
                <w:b w:val="1"/>
                <w:bCs w:val="1"/>
                <w:color w:val="auto"/>
              </w:rPr>
              <w:t>Short-Term</w:t>
            </w:r>
          </w:p>
        </w:tc>
        <w:tc>
          <w:tcPr>
            <w:tcW w:w="19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Long-Term</w:t>
            </w:r>
          </w:p>
        </w:tc>
        <w:tc>
          <w:tcPr>
            <w:tcW w:w="1820" w:type="dxa"/>
            <w:vAlign w:val="bottom"/>
          </w:tcPr>
          <w:p>
            <w:pPr>
              <w:spacing w:after="0"/>
              <w:rPr>
                <w:sz w:val="16"/>
                <w:szCs w:val="16"/>
                <w:color w:val="auto"/>
              </w:rPr>
            </w:pPr>
          </w:p>
        </w:tc>
      </w:tr>
      <w:tr>
        <w:trPr>
          <w:trHeight w:val="209"/>
        </w:trPr>
        <w:tc>
          <w:tcPr>
            <w:tcW w:w="56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Rating Agency</w:t>
            </w:r>
          </w:p>
        </w:tc>
        <w:tc>
          <w:tcPr>
            <w:tcW w:w="1820" w:type="dxa"/>
            <w:vAlign w:val="bottom"/>
            <w:tcBorders>
              <w:bottom w:val="single" w:sz="8" w:color="auto"/>
            </w:tcBorders>
          </w:tcPr>
          <w:p>
            <w:pPr>
              <w:ind w:left="540"/>
              <w:spacing w:after="0"/>
              <w:rPr>
                <w:sz w:val="20"/>
                <w:szCs w:val="20"/>
                <w:color w:val="auto"/>
              </w:rPr>
            </w:pPr>
            <w:r>
              <w:rPr>
                <w:rFonts w:ascii="Arial" w:cs="Arial" w:eastAsia="Arial" w:hAnsi="Arial"/>
                <w:sz w:val="14"/>
                <w:szCs w:val="14"/>
                <w:b w:val="1"/>
                <w:bCs w:val="1"/>
                <w:color w:val="auto"/>
              </w:rPr>
              <w:t>Debt Rating</w:t>
            </w:r>
          </w:p>
        </w:tc>
        <w:tc>
          <w:tcPr>
            <w:tcW w:w="140" w:type="dxa"/>
            <w:vAlign w:val="bottom"/>
            <w:tcBorders>
              <w:bottom w:val="single" w:sz="8" w:color="CCEEFF"/>
            </w:tcBorders>
          </w:tcPr>
          <w:p>
            <w:pPr>
              <w:spacing w:after="0"/>
              <w:rPr>
                <w:sz w:val="18"/>
                <w:szCs w:val="18"/>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Debt Rating</w:t>
            </w:r>
          </w:p>
        </w:tc>
        <w:tc>
          <w:tcPr>
            <w:tcW w:w="140" w:type="dxa"/>
            <w:vAlign w:val="bottom"/>
            <w:tcBorders>
              <w:bottom w:val="single" w:sz="8" w:color="CCEEFF"/>
            </w:tcBorders>
          </w:tcPr>
          <w:p>
            <w:pPr>
              <w:spacing w:after="0"/>
              <w:rPr>
                <w:sz w:val="18"/>
                <w:szCs w:val="18"/>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Outlook</w:t>
            </w:r>
          </w:p>
        </w:tc>
      </w:tr>
      <w:tr>
        <w:trPr>
          <w:trHeight w:val="250"/>
        </w:trPr>
        <w:tc>
          <w:tcPr>
            <w:tcW w:w="5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Standard &amp; Poor’s</w:t>
            </w:r>
          </w:p>
        </w:tc>
        <w:tc>
          <w:tcPr>
            <w:tcW w:w="19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8"/>
              </w:rPr>
              <w:t>A1+</w:t>
            </w:r>
          </w:p>
        </w:tc>
        <w:tc>
          <w:tcPr>
            <w:tcW w:w="19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AA-</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Negative</w:t>
            </w:r>
          </w:p>
        </w:tc>
      </w:tr>
      <w:tr>
        <w:trPr>
          <w:trHeight w:val="243"/>
        </w:trPr>
        <w:tc>
          <w:tcPr>
            <w:tcW w:w="5680" w:type="dxa"/>
            <w:vAlign w:val="bottom"/>
          </w:tcPr>
          <w:p>
            <w:pPr>
              <w:ind w:left="40"/>
              <w:spacing w:after="0"/>
              <w:rPr>
                <w:sz w:val="20"/>
                <w:szCs w:val="20"/>
                <w:color w:val="auto"/>
              </w:rPr>
            </w:pPr>
            <w:r>
              <w:rPr>
                <w:rFonts w:ascii="Arial" w:cs="Arial" w:eastAsia="Arial" w:hAnsi="Arial"/>
                <w:sz w:val="18"/>
                <w:szCs w:val="18"/>
                <w:color w:val="auto"/>
              </w:rPr>
              <w:t>Moody’s Investors Service</w:t>
            </w:r>
          </w:p>
        </w:tc>
        <w:tc>
          <w:tcPr>
            <w:tcW w:w="1960" w:type="dxa"/>
            <w:vAlign w:val="bottom"/>
            <w:gridSpan w:val="2"/>
          </w:tcPr>
          <w:p>
            <w:pPr>
              <w:jc w:val="center"/>
              <w:ind w:right="140"/>
              <w:spacing w:after="0"/>
              <w:rPr>
                <w:sz w:val="20"/>
                <w:szCs w:val="20"/>
                <w:color w:val="auto"/>
              </w:rPr>
            </w:pPr>
            <w:r>
              <w:rPr>
                <w:rFonts w:ascii="Arial" w:cs="Arial" w:eastAsia="Arial" w:hAnsi="Arial"/>
                <w:sz w:val="18"/>
                <w:szCs w:val="18"/>
                <w:color w:val="auto"/>
                <w:w w:val="81"/>
              </w:rPr>
              <w:t>P1</w:t>
            </w:r>
          </w:p>
        </w:tc>
        <w:tc>
          <w:tcPr>
            <w:tcW w:w="196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Aa3</w:t>
            </w:r>
          </w:p>
        </w:tc>
        <w:tc>
          <w:tcPr>
            <w:tcW w:w="1820" w:type="dxa"/>
            <w:vAlign w:val="bottom"/>
          </w:tcPr>
          <w:p>
            <w:pPr>
              <w:jc w:val="center"/>
              <w:spacing w:after="0"/>
              <w:rPr>
                <w:sz w:val="20"/>
                <w:szCs w:val="20"/>
                <w:color w:val="auto"/>
              </w:rPr>
            </w:pPr>
            <w:r>
              <w:rPr>
                <w:rFonts w:ascii="Arial" w:cs="Arial" w:eastAsia="Arial" w:hAnsi="Arial"/>
                <w:sz w:val="18"/>
                <w:szCs w:val="18"/>
                <w:color w:val="auto"/>
                <w:w w:val="90"/>
              </w:rPr>
              <w:t>Stable</w:t>
            </w:r>
          </w:p>
        </w:tc>
      </w:tr>
    </w:tbl>
    <w:p>
      <w:pPr>
        <w:spacing w:after="0" w:line="94"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Given our cash flow generation, our ability to pay down debt levels and our ability to refinance existing debt facilities if necessary, we expect to maintain an investment grade rating. If our ratings are downgraded below investment grade due to a change of control, we are required to make an offer to repurchase our fixed rate notes at a price equal to 101% of the principal amount, plus accrued and unpaid interest.</w:t>
      </w:r>
    </w:p>
    <w:p>
      <w:pPr>
        <w:spacing w:after="0" w:line="154" w:lineRule="exact"/>
        <w:rPr>
          <w:sz w:val="20"/>
          <w:szCs w:val="20"/>
          <w:color w:val="auto"/>
        </w:rPr>
      </w:pPr>
    </w:p>
    <w:p>
      <w:pPr>
        <w:jc w:val="both"/>
        <w:ind w:right="520"/>
        <w:spacing w:after="0" w:line="288" w:lineRule="auto"/>
        <w:rPr>
          <w:sz w:val="20"/>
          <w:szCs w:val="20"/>
          <w:color w:val="auto"/>
        </w:rPr>
      </w:pPr>
      <w:r>
        <w:rPr>
          <w:rFonts w:ascii="Arial" w:cs="Arial" w:eastAsia="Arial" w:hAnsi="Arial"/>
          <w:sz w:val="16"/>
          <w:szCs w:val="16"/>
          <w:i w:val="1"/>
          <w:iCs w:val="1"/>
          <w:u w:val="single" w:color="auto"/>
          <w:color w:val="auto"/>
        </w:rPr>
        <w:t>Liquidity and Cash Management</w:t>
      </w:r>
      <w:r>
        <w:rPr>
          <w:rFonts w:ascii="Arial" w:cs="Arial" w:eastAsia="Arial" w:hAnsi="Arial"/>
          <w:sz w:val="16"/>
          <w:szCs w:val="16"/>
          <w:color w:val="auto"/>
        </w:rPr>
        <w:t>. Cash and cash equivalents totaled $1.8 billion at March 31, 2013 and $1.6 billion at December 31, 2012. The balance</w:t>
      </w:r>
      <w:r>
        <w:rPr>
          <w:rFonts w:ascii="Arial" w:cs="Arial" w:eastAsia="Arial" w:hAnsi="Arial"/>
          <w:sz w:val="16"/>
          <w:szCs w:val="16"/>
          <w:i w:val="1"/>
          <w:iCs w:val="1"/>
          <w:color w:val="auto"/>
        </w:rPr>
        <w:t xml:space="preserve"> </w:t>
      </w:r>
      <w:r>
        <w:rPr>
          <w:rFonts w:ascii="Arial" w:cs="Arial" w:eastAsia="Arial" w:hAnsi="Arial"/>
          <w:sz w:val="16"/>
          <w:szCs w:val="16"/>
          <w:color w:val="auto"/>
        </w:rPr>
        <w:t>retained in cash and cash equivalents is a function of anticipated or possible short-term cash needs, prevailing interest rates, our investment policy and alternative investment choices. A majority of our cash and cash equivalents balance is invested in money market mutual funds that invest only in U.S.</w:t>
      </w:r>
    </w:p>
    <w:p>
      <w:pPr>
        <w:ind w:right="20"/>
        <w:spacing w:after="0" w:line="255" w:lineRule="auto"/>
        <w:rPr>
          <w:sz w:val="20"/>
          <w:szCs w:val="20"/>
          <w:color w:val="auto"/>
        </w:rPr>
      </w:pPr>
      <w:r>
        <w:rPr>
          <w:rFonts w:ascii="Arial" w:cs="Arial" w:eastAsia="Arial" w:hAnsi="Arial"/>
          <w:sz w:val="18"/>
          <w:szCs w:val="18"/>
          <w:color w:val="auto"/>
        </w:rPr>
        <w:t>Treasury securities or U.S. government agency securities. Our exposure to credit and liquidity risk is minimal given the nature of the investments. Cash that is not available for general corporate purposes is classified as restricted cash and is included in other current assets or other assets in the consolidated balance sheets.</w:t>
      </w:r>
    </w:p>
    <w:p>
      <w:pPr>
        <w:spacing w:after="0" w:line="19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Net current deferred tax assets of $34.1 million are included in other current assets at both March 31, 2013 and December 31, 2012. Total net current deferred tax assets are attributable to unrealized losses, stock-based compensation and accrued expenses.</w:t>
      </w:r>
    </w:p>
    <w:p>
      <w:pPr>
        <w:spacing w:after="0" w:line="17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Net long-term deferred tax liabilities were $7.4 billion at March 31, 2013 and December 31, 2012. Net deferred tax liabilities are principally the result of purchase accounting for intangible assets in our various mergers including CBOT Holdings and NYMEX Holdings.</w:t>
      </w:r>
    </w:p>
    <w:p>
      <w:pPr>
        <w:spacing w:after="0" w:line="170"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color w:val="auto"/>
        </w:rPr>
        <w:t>Valuation allowances of $24.8 million as of March 31, 2013 and December 31, 2012 have been provided for domestic and foreign net operating losses in various jurisdictions for which we do not believe that we currently meet the more-likely-than-not-threshold for recognition.</w:t>
      </w:r>
    </w:p>
    <w:p>
      <w:pPr>
        <w:spacing w:after="0" w:line="147"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i w:val="1"/>
          <w:iCs w:val="1"/>
          <w:u w:val="single" w:color="auto"/>
          <w:color w:val="auto"/>
        </w:rPr>
        <w:t>Regulatory Requirements.</w:t>
      </w:r>
      <w:r>
        <w:rPr>
          <w:rFonts w:ascii="Arial" w:cs="Arial" w:eastAsia="Arial" w:hAnsi="Arial"/>
          <w:sz w:val="16"/>
          <w:szCs w:val="16"/>
          <w:i w:val="1"/>
          <w:iCs w:val="1"/>
          <w:color w:val="auto"/>
        </w:rPr>
        <w:t xml:space="preserve"> </w:t>
      </w:r>
      <w:r>
        <w:rPr>
          <w:rFonts w:ascii="Arial" w:cs="Arial" w:eastAsia="Arial" w:hAnsi="Arial"/>
          <w:sz w:val="16"/>
          <w:szCs w:val="16"/>
          <w:color w:val="auto"/>
        </w:rPr>
        <w:t>CME is regulated by the Commodity Futures Trading Commission (CFTC) as a U.S. Derivatives Clearing Organization (DCO).</w:t>
      </w:r>
      <w:r>
        <w:rPr>
          <w:rFonts w:ascii="Arial" w:cs="Arial" w:eastAsia="Arial" w:hAnsi="Arial"/>
          <w:sz w:val="16"/>
          <w:szCs w:val="16"/>
          <w:i w:val="1"/>
          <w:iCs w:val="1"/>
          <w:color w:val="auto"/>
        </w:rPr>
        <w:t xml:space="preserve"> </w:t>
      </w:r>
      <w:r>
        <w:rPr>
          <w:rFonts w:ascii="Arial" w:cs="Arial" w:eastAsia="Arial" w:hAnsi="Arial"/>
          <w:sz w:val="16"/>
          <w:szCs w:val="16"/>
          <w:color w:val="auto"/>
        </w:rPr>
        <w:t>DCOs are required to maintain capital as defined by the CFTC in an amount at least equal to one year of projected operating expenses as well as cash, liquid securities, or a line of credit at least equal to six months of projected operating expenses. CME is in compliance with the DCO financial requirements.</w:t>
      </w:r>
    </w:p>
    <w:p>
      <w:pPr>
        <w:spacing w:after="0" w:line="120"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CME, CBOT, NYMEX, COMEX and KCBT are regulated by the CFTC as Designated Contract Markets (DCM). DCMs are also required to maintain capital as defined by the CFTC in an amount at least equal to one year of projected operating expenses as well as cash, liquid securities, or a line of credit at least equal to six months of projected operating expenses. Our DCMs are in compliance with the DCM financial requirements.</w:t>
      </w:r>
    </w:p>
    <w:p>
      <w:pPr>
        <w:spacing w:after="0" w:line="189"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148"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We are subject to various market risks, including those caused by changes in interest rates, credit, foreign currency exchange rates and equity prices. There have not been material changes in our exposure to market risk since December 31, 2012. Refer to Item 7A. of CME Group’s Annual Report on Form 10-K for the year ended December 31, 2012 for additional information.</w:t>
      </w:r>
    </w:p>
    <w:p>
      <w:pPr>
        <w:spacing w:after="0" w:line="231"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48" w:lineRule="exact"/>
        <w:rPr>
          <w:sz w:val="20"/>
          <w:szCs w:val="20"/>
          <w:color w:val="auto"/>
        </w:rPr>
      </w:pPr>
    </w:p>
    <w:p>
      <w:pPr>
        <w:jc w:val="both"/>
        <w:ind w:right="20" w:firstLine="8"/>
        <w:spacing w:after="0" w:line="279" w:lineRule="auto"/>
        <w:tabs>
          <w:tab w:leader="none" w:pos="245" w:val="left"/>
        </w:tabs>
        <w:numPr>
          <w:ilvl w:val="0"/>
          <w:numId w:val="12"/>
        </w:numPr>
        <w:rPr>
          <w:rFonts w:ascii="Arial" w:cs="Arial" w:eastAsia="Arial" w:hAnsi="Arial"/>
          <w:sz w:val="17"/>
          <w:szCs w:val="17"/>
          <w:color w:val="auto"/>
        </w:rPr>
      </w:pPr>
      <w:r>
        <w:rPr>
          <w:rFonts w:ascii="Arial" w:cs="Arial" w:eastAsia="Arial" w:hAnsi="Arial"/>
          <w:sz w:val="17"/>
          <w:szCs w:val="17"/>
          <w:color w:val="auto"/>
        </w:rPr>
        <w:t>Disclosure Controls and Procedures. Our management, with the participation of our Chief Executive Officer and Chief Financial Officer, has evaluated the effectiveness of our disclosure controls and procedures (as such term is defined in Rules 13a-15(e) and 15d-15(e) under the Securities Exchange Act of 1934, as amended (the Exchange Act)) as of the end of the period covered by this report. Based on such evaluation, our Chief Executive Officer and Chief Financial Officer have concluded that, as of the end of such period, our disclosure controls and procedures are effective.</w:t>
      </w:r>
    </w:p>
    <w:p>
      <w:pPr>
        <w:spacing w:after="0" w:line="171" w:lineRule="exact"/>
        <w:rPr>
          <w:rFonts w:ascii="Arial" w:cs="Arial" w:eastAsia="Arial" w:hAnsi="Arial"/>
          <w:sz w:val="17"/>
          <w:szCs w:val="17"/>
          <w:color w:val="auto"/>
        </w:rPr>
      </w:pPr>
    </w:p>
    <w:p>
      <w:pPr>
        <w:ind w:right="60" w:firstLine="8"/>
        <w:spacing w:after="0" w:line="273" w:lineRule="auto"/>
        <w:tabs>
          <w:tab w:leader="none" w:pos="255" w:val="left"/>
        </w:tabs>
        <w:numPr>
          <w:ilvl w:val="0"/>
          <w:numId w:val="12"/>
        </w:numPr>
        <w:rPr>
          <w:rFonts w:ascii="Arial" w:cs="Arial" w:eastAsia="Arial" w:hAnsi="Arial"/>
          <w:sz w:val="17"/>
          <w:szCs w:val="17"/>
          <w:color w:val="auto"/>
        </w:rPr>
      </w:pPr>
      <w:r>
        <w:rPr>
          <w:rFonts w:ascii="Arial" w:cs="Arial" w:eastAsia="Arial" w:hAnsi="Arial"/>
          <w:sz w:val="17"/>
          <w:szCs w:val="17"/>
          <w:color w:val="auto"/>
        </w:rPr>
        <w:t>Changes in Internal Control Over Financial Reporting. As required by Rule 13a-15(d) under the Exchange Act, the company’s management, including the company’s Chief Executive Officer and Chief Financial Officer, have evaluated the company’s internal control over financial reporting (as such term is defined in Rules 13a-15(f) and 15d-15(f) under the Exchange Act) to determine whether any changes occurred during the quarter covered by this quarterly report that have materially affected, or are reasonably likely to materially affect, the company’s internal control over financial reporting. There were no changes in the company’s internal control over financial reporting during the period covered by this quarterly report that have materially affected, or are reasonably likely to materially affect, internal control over financial reporting.</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PART II. OTHER INFORMATION</w:t>
      </w:r>
    </w:p>
    <w:p>
      <w:pPr>
        <w:spacing w:after="0" w:line="279"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14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following is an update to the legal proceedings disclosure included in the company’s Annual Report on Form 10-K, filed with the SEC on February 28, 2013.</w:t>
      </w:r>
    </w:p>
    <w:p>
      <w:pPr>
        <w:spacing w:after="0" w:line="17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See “Legal Matters” in Note 5. Contingencies to the Consolidated Financial Statements for updates to CME Group’s existing legal proceedings disclosure which is incorporated herein by reference.</w:t>
      </w:r>
    </w:p>
    <w:p>
      <w:pPr>
        <w:spacing w:after="0" w:line="329"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56"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There have been no material updates to the Risk Factors disclosure included in the company’s Annual Report on Form 10-K, filed with the SEC on February 28, 2013. In addition to the other information contained in this Quarterly Report on Form 10-Q, you should carefully consider the factors discussed in our Annual Report on Form 10-K, which are the risks that we believe are material at this time. These risks could materially and adversely affect our business, financial condition and results of operations. These risks and uncertainties are not the only ones facing us. Additional risks and uncertainties not presently known to us or that we currently believe to be immaterial may also adversely affect our business in the future.</w:t>
      </w:r>
    </w:p>
    <w:p>
      <w:pPr>
        <w:spacing w:after="0" w:line="331"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(c) Issuer Purchases of Equity Securities</w:t>
      </w: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3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3"/>
              </w:rPr>
              <w:t>(c) Total Number of Class A</w:t>
            </w:r>
          </w:p>
        </w:tc>
        <w:tc>
          <w:tcPr>
            <w:tcW w:w="2280" w:type="dxa"/>
            <w:vAlign w:val="bottom"/>
          </w:tcPr>
          <w:p>
            <w:pPr>
              <w:jc w:val="center"/>
              <w:ind w:right="141"/>
              <w:spacing w:after="0"/>
              <w:rPr>
                <w:sz w:val="20"/>
                <w:szCs w:val="20"/>
                <w:color w:val="auto"/>
              </w:rPr>
            </w:pPr>
            <w:r>
              <w:rPr>
                <w:rFonts w:ascii="Arial" w:cs="Arial" w:eastAsia="Arial" w:hAnsi="Arial"/>
                <w:sz w:val="14"/>
                <w:szCs w:val="14"/>
                <w:b w:val="1"/>
                <w:bCs w:val="1"/>
                <w:color w:val="auto"/>
                <w:w w:val="97"/>
              </w:rPr>
              <w:t>(d) Maximum Number (or</w:t>
            </w: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1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(a) Total Number of</w:t>
            </w:r>
          </w:p>
        </w:tc>
        <w:tc>
          <w:tcPr>
            <w:tcW w:w="3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380" w:type="dxa"/>
            <w:vAlign w:val="bottom"/>
            <w:gridSpan w:val="2"/>
            <w:vMerge w:val="continue"/>
          </w:tcPr>
          <w:p>
            <w:pPr>
              <w:spacing w:after="0"/>
              <w:rPr>
                <w:sz w:val="12"/>
                <w:szCs w:val="12"/>
                <w:color w:val="auto"/>
              </w:rPr>
            </w:pPr>
          </w:p>
        </w:tc>
        <w:tc>
          <w:tcPr>
            <w:tcW w:w="2280" w:type="dxa"/>
            <w:vAlign w:val="bottom"/>
          </w:tcPr>
          <w:p>
            <w:pPr>
              <w:jc w:val="center"/>
              <w:ind w:right="161"/>
              <w:spacing w:after="0" w:line="149" w:lineRule="exact"/>
              <w:rPr>
                <w:sz w:val="20"/>
                <w:szCs w:val="20"/>
                <w:color w:val="auto"/>
              </w:rPr>
            </w:pPr>
            <w:r>
              <w:rPr>
                <w:rFonts w:ascii="Arial" w:cs="Arial" w:eastAsia="Arial" w:hAnsi="Arial"/>
                <w:sz w:val="14"/>
                <w:szCs w:val="14"/>
                <w:b w:val="1"/>
                <w:bCs w:val="1"/>
                <w:color w:val="auto"/>
                <w:w w:val="94"/>
              </w:rPr>
              <w:t>Approximate Value) that</w:t>
            </w: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184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500" w:type="dxa"/>
            <w:vAlign w:val="bottom"/>
            <w:vMerge w:val="restart"/>
          </w:tcPr>
          <w:p>
            <w:pPr>
              <w:jc w:val="right"/>
              <w:ind w:right="296"/>
              <w:spacing w:after="0"/>
              <w:rPr>
                <w:sz w:val="20"/>
                <w:szCs w:val="20"/>
                <w:color w:val="auto"/>
              </w:rPr>
            </w:pPr>
            <w:r>
              <w:rPr>
                <w:rFonts w:ascii="Arial" w:cs="Arial" w:eastAsia="Arial" w:hAnsi="Arial"/>
                <w:sz w:val="14"/>
                <w:szCs w:val="14"/>
                <w:b w:val="1"/>
                <w:bCs w:val="1"/>
                <w:color w:val="auto"/>
                <w:w w:val="95"/>
              </w:rPr>
              <w:t>(b) Average Price</w:t>
            </w:r>
          </w:p>
        </w:tc>
        <w:tc>
          <w:tcPr>
            <w:tcW w:w="23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Shares Purchased as</w:t>
            </w:r>
          </w:p>
        </w:tc>
        <w:tc>
          <w:tcPr>
            <w:tcW w:w="2280" w:type="dxa"/>
            <w:vAlign w:val="bottom"/>
          </w:tcPr>
          <w:p>
            <w:pPr>
              <w:jc w:val="center"/>
              <w:ind w:right="141"/>
              <w:spacing w:after="0" w:line="149" w:lineRule="exact"/>
              <w:rPr>
                <w:sz w:val="20"/>
                <w:szCs w:val="20"/>
                <w:color w:val="auto"/>
              </w:rPr>
            </w:pPr>
            <w:r>
              <w:rPr>
                <w:rFonts w:ascii="Arial" w:cs="Arial" w:eastAsia="Arial" w:hAnsi="Arial"/>
                <w:sz w:val="14"/>
                <w:szCs w:val="14"/>
                <w:b w:val="1"/>
                <w:bCs w:val="1"/>
                <w:color w:val="auto"/>
                <w:w w:val="91"/>
              </w:rPr>
              <w:t>May Yet Be Purchased</w:t>
            </w:r>
          </w:p>
        </w:tc>
        <w:tc>
          <w:tcPr>
            <w:tcW w:w="0" w:type="dxa"/>
            <w:vAlign w:val="bottom"/>
          </w:tcPr>
          <w:p>
            <w:pPr>
              <w:spacing w:after="0"/>
              <w:rPr>
                <w:sz w:val="1"/>
                <w:szCs w:val="1"/>
                <w:color w:val="auto"/>
              </w:rPr>
            </w:pPr>
          </w:p>
        </w:tc>
      </w:tr>
      <w:tr>
        <w:trPr>
          <w:trHeight w:val="149"/>
        </w:trPr>
        <w:tc>
          <w:tcPr>
            <w:tcW w:w="31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Class A</w:t>
            </w:r>
          </w:p>
        </w:tc>
        <w:tc>
          <w:tcPr>
            <w:tcW w:w="32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23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Part of Publicly Announced</w:t>
            </w:r>
          </w:p>
        </w:tc>
        <w:tc>
          <w:tcPr>
            <w:tcW w:w="2280" w:type="dxa"/>
            <w:vAlign w:val="bottom"/>
          </w:tcPr>
          <w:p>
            <w:pPr>
              <w:jc w:val="center"/>
              <w:ind w:right="161"/>
              <w:spacing w:after="0" w:line="149" w:lineRule="exact"/>
              <w:rPr>
                <w:sz w:val="20"/>
                <w:szCs w:val="20"/>
                <w:color w:val="auto"/>
              </w:rPr>
            </w:pPr>
            <w:r>
              <w:rPr>
                <w:rFonts w:ascii="Arial" w:cs="Arial" w:eastAsia="Arial" w:hAnsi="Arial"/>
                <w:sz w:val="14"/>
                <w:szCs w:val="14"/>
                <w:b w:val="1"/>
                <w:bCs w:val="1"/>
                <w:color w:val="auto"/>
                <w:w w:val="92"/>
              </w:rPr>
              <w:t>Under the Plans or Programs</w:t>
            </w:r>
          </w:p>
        </w:tc>
        <w:tc>
          <w:tcPr>
            <w:tcW w:w="0" w:type="dxa"/>
            <w:vAlign w:val="bottom"/>
          </w:tcPr>
          <w:p>
            <w:pPr>
              <w:spacing w:after="0"/>
              <w:rPr>
                <w:sz w:val="1"/>
                <w:szCs w:val="1"/>
                <w:color w:val="auto"/>
              </w:rPr>
            </w:pPr>
          </w:p>
        </w:tc>
      </w:tr>
      <w:tr>
        <w:trPr>
          <w:trHeight w:val="192"/>
        </w:trPr>
        <w:tc>
          <w:tcPr>
            <w:tcW w:w="3100" w:type="dxa"/>
            <w:vAlign w:val="bottom"/>
            <w:tcBorders>
              <w:bottom w:val="single" w:sz="8" w:color="auto"/>
            </w:tcBorders>
            <w:vMerge w:val="continue"/>
          </w:tcPr>
          <w:p>
            <w:pPr>
              <w:spacing w:after="0"/>
              <w:rPr>
                <w:sz w:val="16"/>
                <w:szCs w:val="16"/>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Shares Purchased (1)</w:t>
            </w:r>
          </w:p>
        </w:tc>
        <w:tc>
          <w:tcPr>
            <w:tcW w:w="3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Paid Per Share</w:t>
            </w:r>
          </w:p>
        </w:tc>
        <w:tc>
          <w:tcPr>
            <w:tcW w:w="238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3"/>
              </w:rPr>
              <w:t>Plans or Programs</w:t>
            </w:r>
          </w:p>
        </w:tc>
        <w:tc>
          <w:tcPr>
            <w:tcW w:w="2280" w:type="dxa"/>
            <w:vAlign w:val="bottom"/>
            <w:tcBorders>
              <w:bottom w:val="single" w:sz="8" w:color="auto"/>
            </w:tcBorders>
          </w:tcPr>
          <w:p>
            <w:pPr>
              <w:jc w:val="center"/>
              <w:ind w:right="141"/>
              <w:spacing w:after="0"/>
              <w:rPr>
                <w:sz w:val="20"/>
                <w:szCs w:val="20"/>
                <w:color w:val="auto"/>
              </w:rPr>
            </w:pPr>
            <w:r>
              <w:rPr>
                <w:rFonts w:ascii="Arial" w:cs="Arial" w:eastAsia="Arial" w:hAnsi="Arial"/>
                <w:sz w:val="14"/>
                <w:szCs w:val="14"/>
                <w:b w:val="1"/>
                <w:bCs w:val="1"/>
                <w:color w:val="auto"/>
                <w:w w:val="94"/>
              </w:rPr>
              <w:t>(in millions)</w:t>
            </w:r>
          </w:p>
        </w:tc>
        <w:tc>
          <w:tcPr>
            <w:tcW w:w="0" w:type="dxa"/>
            <w:vAlign w:val="bottom"/>
          </w:tcPr>
          <w:p>
            <w:pPr>
              <w:spacing w:after="0"/>
              <w:rPr>
                <w:sz w:val="1"/>
                <w:szCs w:val="1"/>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January 1 to January 31</w:t>
            </w:r>
          </w:p>
        </w:tc>
        <w:tc>
          <w:tcPr>
            <w:tcW w:w="18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268</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rPr>
              <w:t>53.32</w:t>
            </w:r>
          </w:p>
        </w:tc>
        <w:tc>
          <w:tcPr>
            <w:tcW w:w="2380" w:type="dxa"/>
            <w:vAlign w:val="bottom"/>
            <w:tcBorders>
              <w:bottom w:val="single" w:sz="8" w:color="CCEEFF"/>
            </w:tcBorders>
            <w:gridSpan w:val="2"/>
            <w:shd w:val="clear" w:color="auto" w:fill="CCEEFF"/>
          </w:tcPr>
          <w:p>
            <w:pPr>
              <w:ind w:left="1760"/>
              <w:spacing w:after="0"/>
              <w:rPr>
                <w:sz w:val="20"/>
                <w:szCs w:val="20"/>
                <w:color w:val="auto"/>
              </w:rPr>
            </w:pPr>
            <w:r>
              <w:rPr>
                <w:rFonts w:ascii="Arial" w:cs="Arial" w:eastAsia="Arial" w:hAnsi="Arial"/>
                <w:sz w:val="18"/>
                <w:szCs w:val="18"/>
                <w:color w:val="auto"/>
              </w:rPr>
              <w:t>—   $</w:t>
            </w:r>
          </w:p>
        </w:tc>
        <w:tc>
          <w:tcPr>
            <w:tcW w:w="2280" w:type="dxa"/>
            <w:vAlign w:val="bottom"/>
            <w:tcBorders>
              <w:bottom w:val="single" w:sz="8" w:color="CCEEFF"/>
            </w:tcBorders>
            <w:shd w:val="clear" w:color="auto" w:fill="CCEEFF"/>
          </w:tcPr>
          <w:p>
            <w:pPr>
              <w:ind w:left="2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February 1 to February 28</w:t>
            </w:r>
          </w:p>
        </w:tc>
        <w:tc>
          <w:tcPr>
            <w:tcW w:w="1840" w:type="dxa"/>
            <w:vAlign w:val="bottom"/>
          </w:tcPr>
          <w:p>
            <w:pPr>
              <w:jc w:val="right"/>
              <w:ind w:right="38"/>
              <w:spacing w:after="0"/>
              <w:rPr>
                <w:sz w:val="20"/>
                <w:szCs w:val="20"/>
                <w:color w:val="auto"/>
              </w:rPr>
            </w:pPr>
            <w:r>
              <w:rPr>
                <w:rFonts w:ascii="Arial" w:cs="Arial" w:eastAsia="Arial" w:hAnsi="Arial"/>
                <w:sz w:val="18"/>
                <w:szCs w:val="18"/>
                <w:color w:val="auto"/>
              </w:rPr>
              <w:t>578</w:t>
            </w:r>
          </w:p>
        </w:tc>
        <w:tc>
          <w:tcPr>
            <w:tcW w:w="320" w:type="dxa"/>
            <w:vAlign w:val="bottom"/>
          </w:tcPr>
          <w:p>
            <w:pPr>
              <w:spacing w:after="0"/>
              <w:rPr>
                <w:sz w:val="21"/>
                <w:szCs w:val="21"/>
                <w:color w:val="auto"/>
              </w:rPr>
            </w:pPr>
          </w:p>
        </w:tc>
        <w:tc>
          <w:tcPr>
            <w:tcW w:w="1500" w:type="dxa"/>
            <w:vAlign w:val="bottom"/>
          </w:tcPr>
          <w:p>
            <w:pPr>
              <w:jc w:val="right"/>
              <w:ind w:right="136"/>
              <w:spacing w:after="0"/>
              <w:rPr>
                <w:sz w:val="20"/>
                <w:szCs w:val="20"/>
                <w:color w:val="auto"/>
              </w:rPr>
            </w:pPr>
            <w:r>
              <w:rPr>
                <w:rFonts w:ascii="Arial" w:cs="Arial" w:eastAsia="Arial" w:hAnsi="Arial"/>
                <w:sz w:val="18"/>
                <w:szCs w:val="18"/>
                <w:color w:val="auto"/>
              </w:rPr>
              <w:t>58.12</w:t>
            </w:r>
          </w:p>
        </w:tc>
        <w:tc>
          <w:tcPr>
            <w:tcW w:w="23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280" w:type="dxa"/>
            <w:vAlign w:val="bottom"/>
          </w:tcPr>
          <w:p>
            <w:pPr>
              <w:ind w:left="2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March 1 to March 31</w:t>
            </w:r>
          </w:p>
        </w:tc>
        <w:tc>
          <w:tcPr>
            <w:tcW w:w="18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17,780</w:t>
            </w:r>
          </w:p>
        </w:tc>
        <w:tc>
          <w:tcPr>
            <w:tcW w:w="3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rPr>
              <w:t>63.13</w:t>
            </w:r>
          </w:p>
        </w:tc>
        <w:tc>
          <w:tcPr>
            <w:tcW w:w="2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212</w:t>
            </w:r>
          </w:p>
        </w:tc>
        <w:tc>
          <w:tcPr>
            <w:tcW w:w="340" w:type="dxa"/>
            <w:vAlign w:val="bottom"/>
            <w:tcBorders>
              <w:bottom w:val="single" w:sz="8" w:color="CCEEFF"/>
            </w:tcBorders>
            <w:shd w:val="clear" w:color="auto" w:fill="CCEEFF"/>
          </w:tcPr>
          <w:p>
            <w:pPr>
              <w:spacing w:after="0"/>
              <w:rPr>
                <w:sz w:val="23"/>
                <w:szCs w:val="23"/>
                <w:color w:val="auto"/>
              </w:rPr>
            </w:pPr>
          </w:p>
        </w:tc>
        <w:tc>
          <w:tcPr>
            <w:tcW w:w="2280" w:type="dxa"/>
            <w:vAlign w:val="bottom"/>
            <w:tcBorders>
              <w:bottom w:val="single" w:sz="8" w:color="CCEEFF"/>
            </w:tcBorders>
            <w:shd w:val="clear" w:color="auto" w:fill="CCEEFF"/>
          </w:tcPr>
          <w:p>
            <w:pPr>
              <w:ind w:left="2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tcPr>
          <w:p>
            <w:pPr>
              <w:ind w:left="40"/>
              <w:spacing w:after="0"/>
              <w:rPr>
                <w:sz w:val="20"/>
                <w:szCs w:val="20"/>
                <w:color w:val="auto"/>
              </w:rPr>
            </w:pPr>
            <w:r>
              <w:rPr>
                <w:rFonts w:ascii="Arial" w:cs="Arial" w:eastAsia="Arial" w:hAnsi="Arial"/>
                <w:sz w:val="18"/>
                <w:szCs w:val="18"/>
                <w:color w:val="auto"/>
              </w:rPr>
              <w:t>Total</w:t>
            </w:r>
          </w:p>
        </w:tc>
        <w:tc>
          <w:tcPr>
            <w:tcW w:w="184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18,626</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36"/>
              <w:spacing w:after="0"/>
              <w:rPr>
                <w:sz w:val="20"/>
                <w:szCs w:val="20"/>
                <w:color w:val="auto"/>
              </w:rPr>
            </w:pPr>
            <w:r>
              <w:rPr>
                <w:rFonts w:ascii="Arial" w:cs="Arial" w:eastAsia="Arial" w:hAnsi="Arial"/>
                <w:sz w:val="18"/>
                <w:szCs w:val="18"/>
                <w:color w:val="auto"/>
              </w:rPr>
              <w:t>62.83</w:t>
            </w:r>
          </w:p>
        </w:tc>
        <w:tc>
          <w:tcPr>
            <w:tcW w:w="20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rPr>
              <w:t>212</w:t>
            </w:r>
          </w:p>
        </w:tc>
        <w:tc>
          <w:tcPr>
            <w:tcW w:w="34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right="2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Shares purchased consist of an aggregate of 18,414 shares of Class A common stock surrendered in the first quarter of 2013 to satisfy employees’ tax obligations upon the vesting of restricted stock.</w:t>
      </w:r>
    </w:p>
    <w:p>
      <w:pPr>
        <w:spacing w:after="0" w:line="170" w:lineRule="exact"/>
        <w:rPr>
          <w:rFonts w:ascii="Arial" w:cs="Arial" w:eastAsia="Arial" w:hAnsi="Arial"/>
          <w:sz w:val="18"/>
          <w:szCs w:val="18"/>
          <w:color w:val="auto"/>
        </w:rPr>
      </w:pPr>
    </w:p>
    <w:p>
      <w:pPr>
        <w:ind w:left="660" w:right="100" w:hanging="328"/>
        <w:spacing w:after="0" w:line="259"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March 2013, the company repurchased an aggregate of 212 shares in connection with a Fractional Share Repurchase Program that was made available to holders of fractional shares of CME Group Class A common stock held as of February, 15, 2013. The fractional shares were purchased at a price of $62.34 which was based on the average closing price per share of Class A common stock over the five trading day period ending on the last trading day immediately preceding March 14, 2013.</w:t>
      </w:r>
    </w:p>
    <w:p>
      <w:pPr>
        <w:spacing w:after="0" w:line="200" w:lineRule="exact"/>
        <w:rPr>
          <w:sz w:val="20"/>
          <w:szCs w:val="20"/>
          <w:color w:val="auto"/>
        </w:rPr>
      </w:pPr>
    </w:p>
    <w:p>
      <w:pPr>
        <w:spacing w:after="0" w:line="253"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688" w:right="2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FF"/>
            </w:tcBorders>
          </w:tcPr>
          <w:p>
            <w:pPr>
              <w:spacing w:after="0"/>
              <w:rPr>
                <w:rFonts w:ascii="Arial" w:cs="Arial" w:eastAsia="Arial" w:hAnsi="Arial"/>
                <w:sz w:val="18"/>
                <w:szCs w:val="18"/>
                <w:color w:val="0000FF"/>
                <w:w w:val="88"/>
              </w:rPr>
            </w:pPr>
            <w:hyperlink w:anchor="page1">
              <w:r>
                <w:rPr>
                  <w:rFonts w:ascii="Arial" w:cs="Arial" w:eastAsia="Arial" w:hAnsi="Arial"/>
                  <w:sz w:val="18"/>
                  <w:szCs w:val="18"/>
                  <w:color w:val="0000FF"/>
                  <w:w w:val="88"/>
                </w:rPr>
                <w:t>Table of Contents</w:t>
              </w:r>
            </w:hyperlink>
          </w:p>
        </w:tc>
        <w:tc>
          <w:tcPr>
            <w:tcW w:w="1240" w:type="dxa"/>
            <w:vAlign w:val="bottom"/>
          </w:tcPr>
          <w:p>
            <w:pPr>
              <w:spacing w:after="0"/>
              <w:rPr>
                <w:sz w:val="17"/>
                <w:szCs w:val="17"/>
                <w:color w:val="auto"/>
              </w:rPr>
            </w:pPr>
          </w:p>
        </w:tc>
        <w:tc>
          <w:tcPr>
            <w:tcW w:w="3620" w:type="dxa"/>
            <w:vAlign w:val="bottom"/>
          </w:tcPr>
          <w:p>
            <w:pPr>
              <w:spacing w:after="0"/>
              <w:rPr>
                <w:sz w:val="17"/>
                <w:szCs w:val="17"/>
                <w:color w:val="auto"/>
              </w:rPr>
            </w:pPr>
          </w:p>
        </w:tc>
      </w:tr>
      <w:tr>
        <w:trPr>
          <w:trHeight w:val="858"/>
        </w:trPr>
        <w:tc>
          <w:tcPr>
            <w:tcW w:w="1280" w:type="dxa"/>
            <w:vAlign w:val="bottom"/>
          </w:tcPr>
          <w:p>
            <w:pPr>
              <w:ind w:left="40"/>
              <w:spacing w:after="0"/>
              <w:rPr>
                <w:sz w:val="20"/>
                <w:szCs w:val="20"/>
                <w:color w:val="auto"/>
              </w:rPr>
            </w:pPr>
            <w:r>
              <w:rPr>
                <w:rFonts w:ascii="Arial" w:cs="Arial" w:eastAsia="Arial" w:hAnsi="Arial"/>
                <w:sz w:val="18"/>
                <w:szCs w:val="18"/>
                <w:b w:val="1"/>
                <w:bCs w:val="1"/>
                <w:color w:val="auto"/>
              </w:rPr>
              <w:t>ITEM 6.</w:t>
            </w:r>
          </w:p>
        </w:tc>
        <w:tc>
          <w:tcPr>
            <w:tcW w:w="1240" w:type="dxa"/>
            <w:vAlign w:val="bottom"/>
          </w:tcPr>
          <w:p>
            <w:pPr>
              <w:ind w:left="20"/>
              <w:spacing w:after="0"/>
              <w:rPr>
                <w:sz w:val="20"/>
                <w:szCs w:val="20"/>
                <w:color w:val="auto"/>
              </w:rPr>
            </w:pPr>
            <w:r>
              <w:rPr>
                <w:rFonts w:ascii="Arial" w:cs="Arial" w:eastAsia="Arial" w:hAnsi="Arial"/>
                <w:sz w:val="18"/>
                <w:szCs w:val="18"/>
                <w:b w:val="1"/>
                <w:bCs w:val="1"/>
                <w:color w:val="auto"/>
              </w:rPr>
              <w:t>EXHIBITS</w:t>
            </w:r>
          </w:p>
        </w:tc>
        <w:tc>
          <w:tcPr>
            <w:tcW w:w="3620" w:type="dxa"/>
            <w:vAlign w:val="bottom"/>
          </w:tcPr>
          <w:p>
            <w:pPr>
              <w:spacing w:after="0"/>
              <w:rPr>
                <w:sz w:val="24"/>
                <w:szCs w:val="24"/>
                <w:color w:val="auto"/>
              </w:rPr>
            </w:pPr>
          </w:p>
        </w:tc>
      </w:tr>
      <w:tr>
        <w:trPr>
          <w:trHeight w:val="783"/>
        </w:trPr>
        <w:tc>
          <w:tcPr>
            <w:tcW w:w="1280" w:type="dxa"/>
            <w:vAlign w:val="bottom"/>
          </w:tcPr>
          <w:p>
            <w:pPr>
              <w:ind w:left="40"/>
              <w:spacing w:after="0"/>
              <w:rPr>
                <w:sz w:val="20"/>
                <w:szCs w:val="20"/>
                <w:color w:val="auto"/>
              </w:rPr>
            </w:pPr>
            <w:r>
              <w:rPr>
                <w:rFonts w:ascii="Arial" w:cs="Arial" w:eastAsia="Arial" w:hAnsi="Arial"/>
                <w:sz w:val="18"/>
                <w:szCs w:val="18"/>
                <w:color w:val="auto"/>
              </w:rPr>
              <w:t>31.1</w:t>
            </w:r>
          </w:p>
        </w:tc>
        <w:tc>
          <w:tcPr>
            <w:tcW w:w="1240" w:type="dxa"/>
            <w:vAlign w:val="bottom"/>
          </w:tcPr>
          <w:p>
            <w:pPr>
              <w:ind w:left="360"/>
              <w:spacing w:after="0"/>
              <w:rPr>
                <w:sz w:val="20"/>
                <w:szCs w:val="20"/>
                <w:color w:val="auto"/>
              </w:rPr>
            </w:pPr>
            <w:r>
              <w:rPr>
                <w:rFonts w:ascii="Arial" w:cs="Arial" w:eastAsia="Arial" w:hAnsi="Arial"/>
                <w:sz w:val="18"/>
                <w:szCs w:val="18"/>
                <w:color w:val="auto"/>
                <w:w w:val="90"/>
              </w:rPr>
              <w:t>Section 302</w:t>
            </w:r>
          </w:p>
        </w:tc>
        <w:tc>
          <w:tcPr>
            <w:tcW w:w="3620" w:type="dxa"/>
            <w:vAlign w:val="bottom"/>
          </w:tcPr>
          <w:p>
            <w:pPr>
              <w:ind w:left="20"/>
              <w:spacing w:after="0"/>
              <w:rPr>
                <w:sz w:val="20"/>
                <w:szCs w:val="20"/>
                <w:color w:val="auto"/>
              </w:rPr>
            </w:pPr>
            <w:r>
              <w:rPr>
                <w:rFonts w:ascii="Arial" w:cs="Arial" w:eastAsia="Arial" w:hAnsi="Arial"/>
                <w:sz w:val="18"/>
                <w:szCs w:val="18"/>
                <w:color w:val="auto"/>
              </w:rPr>
              <w:t>Certification—Phupinder S. Gill</w:t>
            </w:r>
          </w:p>
        </w:tc>
      </w:tr>
      <w:tr>
        <w:trPr>
          <w:trHeight w:val="432"/>
        </w:trPr>
        <w:tc>
          <w:tcPr>
            <w:tcW w:w="1280" w:type="dxa"/>
            <w:vAlign w:val="bottom"/>
          </w:tcPr>
          <w:p>
            <w:pPr>
              <w:ind w:left="40"/>
              <w:spacing w:after="0"/>
              <w:rPr>
                <w:sz w:val="20"/>
                <w:szCs w:val="20"/>
                <w:color w:val="auto"/>
              </w:rPr>
            </w:pPr>
            <w:r>
              <w:rPr>
                <w:rFonts w:ascii="Arial" w:cs="Arial" w:eastAsia="Arial" w:hAnsi="Arial"/>
                <w:sz w:val="18"/>
                <w:szCs w:val="18"/>
                <w:color w:val="auto"/>
              </w:rPr>
              <w:t>31.2</w:t>
            </w:r>
          </w:p>
        </w:tc>
        <w:tc>
          <w:tcPr>
            <w:tcW w:w="1240" w:type="dxa"/>
            <w:vAlign w:val="bottom"/>
          </w:tcPr>
          <w:p>
            <w:pPr>
              <w:ind w:left="360"/>
              <w:spacing w:after="0"/>
              <w:rPr>
                <w:sz w:val="20"/>
                <w:szCs w:val="20"/>
                <w:color w:val="auto"/>
              </w:rPr>
            </w:pPr>
            <w:r>
              <w:rPr>
                <w:rFonts w:ascii="Arial" w:cs="Arial" w:eastAsia="Arial" w:hAnsi="Arial"/>
                <w:sz w:val="18"/>
                <w:szCs w:val="18"/>
                <w:color w:val="auto"/>
                <w:w w:val="90"/>
              </w:rPr>
              <w:t>Section 302</w:t>
            </w:r>
          </w:p>
        </w:tc>
        <w:tc>
          <w:tcPr>
            <w:tcW w:w="3620" w:type="dxa"/>
            <w:vAlign w:val="bottom"/>
          </w:tcPr>
          <w:p>
            <w:pPr>
              <w:ind w:left="20"/>
              <w:spacing w:after="0"/>
              <w:rPr>
                <w:sz w:val="20"/>
                <w:szCs w:val="20"/>
                <w:color w:val="auto"/>
              </w:rPr>
            </w:pPr>
            <w:r>
              <w:rPr>
                <w:rFonts w:ascii="Arial" w:cs="Arial" w:eastAsia="Arial" w:hAnsi="Arial"/>
                <w:sz w:val="18"/>
                <w:szCs w:val="18"/>
                <w:color w:val="auto"/>
              </w:rPr>
              <w:t>Certification—James E. Parisi</w:t>
            </w:r>
          </w:p>
        </w:tc>
      </w:tr>
      <w:tr>
        <w:trPr>
          <w:trHeight w:val="432"/>
        </w:trPr>
        <w:tc>
          <w:tcPr>
            <w:tcW w:w="1280" w:type="dxa"/>
            <w:vAlign w:val="bottom"/>
          </w:tcPr>
          <w:p>
            <w:pPr>
              <w:ind w:left="40"/>
              <w:spacing w:after="0"/>
              <w:rPr>
                <w:sz w:val="20"/>
                <w:szCs w:val="20"/>
                <w:color w:val="auto"/>
              </w:rPr>
            </w:pPr>
            <w:r>
              <w:rPr>
                <w:rFonts w:ascii="Arial" w:cs="Arial" w:eastAsia="Arial" w:hAnsi="Arial"/>
                <w:sz w:val="18"/>
                <w:szCs w:val="18"/>
                <w:color w:val="auto"/>
              </w:rPr>
              <w:t>32.1</w:t>
            </w:r>
          </w:p>
        </w:tc>
        <w:tc>
          <w:tcPr>
            <w:tcW w:w="1240" w:type="dxa"/>
            <w:vAlign w:val="bottom"/>
          </w:tcPr>
          <w:p>
            <w:pPr>
              <w:ind w:left="360"/>
              <w:spacing w:after="0"/>
              <w:rPr>
                <w:sz w:val="20"/>
                <w:szCs w:val="20"/>
                <w:color w:val="auto"/>
              </w:rPr>
            </w:pPr>
            <w:r>
              <w:rPr>
                <w:rFonts w:ascii="Arial" w:cs="Arial" w:eastAsia="Arial" w:hAnsi="Arial"/>
                <w:sz w:val="18"/>
                <w:szCs w:val="18"/>
                <w:color w:val="auto"/>
                <w:w w:val="90"/>
              </w:rPr>
              <w:t>Section 906</w:t>
            </w:r>
          </w:p>
        </w:tc>
        <w:tc>
          <w:tcPr>
            <w:tcW w:w="3620" w:type="dxa"/>
            <w:vAlign w:val="bottom"/>
          </w:tcPr>
          <w:p>
            <w:pPr>
              <w:ind w:left="20"/>
              <w:spacing w:after="0"/>
              <w:rPr>
                <w:sz w:val="20"/>
                <w:szCs w:val="20"/>
                <w:color w:val="auto"/>
              </w:rPr>
            </w:pPr>
            <w:r>
              <w:rPr>
                <w:rFonts w:ascii="Arial" w:cs="Arial" w:eastAsia="Arial" w:hAnsi="Arial"/>
                <w:sz w:val="18"/>
                <w:szCs w:val="18"/>
                <w:color w:val="auto"/>
              </w:rPr>
              <w:t>Certification</w:t>
            </w:r>
          </w:p>
        </w:tc>
      </w:tr>
      <w:tr>
        <w:trPr>
          <w:trHeight w:val="432"/>
        </w:trPr>
        <w:tc>
          <w:tcPr>
            <w:tcW w:w="1280" w:type="dxa"/>
            <w:vAlign w:val="bottom"/>
          </w:tcPr>
          <w:p>
            <w:pPr>
              <w:ind w:left="40"/>
              <w:spacing w:after="0"/>
              <w:rPr>
                <w:sz w:val="20"/>
                <w:szCs w:val="20"/>
                <w:color w:val="auto"/>
              </w:rPr>
            </w:pPr>
            <w:r>
              <w:rPr>
                <w:rFonts w:ascii="Arial" w:cs="Arial" w:eastAsia="Arial" w:hAnsi="Arial"/>
                <w:sz w:val="18"/>
                <w:szCs w:val="18"/>
                <w:color w:val="auto"/>
              </w:rPr>
              <w:t>101.INS</w:t>
            </w:r>
          </w:p>
        </w:tc>
        <w:tc>
          <w:tcPr>
            <w:tcW w:w="4860" w:type="dxa"/>
            <w:vAlign w:val="bottom"/>
            <w:gridSpan w:val="2"/>
          </w:tcPr>
          <w:p>
            <w:pPr>
              <w:ind w:left="360"/>
              <w:spacing w:after="0"/>
              <w:rPr>
                <w:sz w:val="20"/>
                <w:szCs w:val="20"/>
                <w:color w:val="auto"/>
              </w:rPr>
            </w:pPr>
            <w:r>
              <w:rPr>
                <w:rFonts w:ascii="Arial" w:cs="Arial" w:eastAsia="Arial" w:hAnsi="Arial"/>
                <w:sz w:val="18"/>
                <w:szCs w:val="18"/>
                <w:color w:val="auto"/>
              </w:rPr>
              <w:t>XBRL Instance Document</w:t>
            </w:r>
          </w:p>
        </w:tc>
      </w:tr>
      <w:tr>
        <w:trPr>
          <w:trHeight w:val="432"/>
        </w:trPr>
        <w:tc>
          <w:tcPr>
            <w:tcW w:w="1280" w:type="dxa"/>
            <w:vAlign w:val="bottom"/>
          </w:tcPr>
          <w:p>
            <w:pPr>
              <w:ind w:left="40"/>
              <w:spacing w:after="0"/>
              <w:rPr>
                <w:sz w:val="20"/>
                <w:szCs w:val="20"/>
                <w:color w:val="auto"/>
              </w:rPr>
            </w:pPr>
            <w:r>
              <w:rPr>
                <w:rFonts w:ascii="Arial" w:cs="Arial" w:eastAsia="Arial" w:hAnsi="Arial"/>
                <w:sz w:val="18"/>
                <w:szCs w:val="18"/>
                <w:color w:val="auto"/>
              </w:rPr>
              <w:t>101.SCH</w:t>
            </w:r>
          </w:p>
        </w:tc>
        <w:tc>
          <w:tcPr>
            <w:tcW w:w="4860" w:type="dxa"/>
            <w:vAlign w:val="bottom"/>
            <w:gridSpan w:val="2"/>
          </w:tcPr>
          <w:p>
            <w:pPr>
              <w:ind w:left="360"/>
              <w:spacing w:after="0"/>
              <w:rPr>
                <w:sz w:val="20"/>
                <w:szCs w:val="20"/>
                <w:color w:val="auto"/>
              </w:rPr>
            </w:pPr>
            <w:r>
              <w:rPr>
                <w:rFonts w:ascii="Arial" w:cs="Arial" w:eastAsia="Arial" w:hAnsi="Arial"/>
                <w:sz w:val="18"/>
                <w:szCs w:val="18"/>
                <w:color w:val="auto"/>
              </w:rPr>
              <w:t>XBRL Taxonomy Extension Schema Document</w:t>
            </w:r>
          </w:p>
        </w:tc>
      </w:tr>
      <w:tr>
        <w:trPr>
          <w:trHeight w:val="432"/>
        </w:trPr>
        <w:tc>
          <w:tcPr>
            <w:tcW w:w="1280" w:type="dxa"/>
            <w:vAlign w:val="bottom"/>
          </w:tcPr>
          <w:p>
            <w:pPr>
              <w:ind w:left="40"/>
              <w:spacing w:after="0"/>
              <w:rPr>
                <w:sz w:val="20"/>
                <w:szCs w:val="20"/>
                <w:color w:val="auto"/>
              </w:rPr>
            </w:pPr>
            <w:r>
              <w:rPr>
                <w:rFonts w:ascii="Arial" w:cs="Arial" w:eastAsia="Arial" w:hAnsi="Arial"/>
                <w:sz w:val="18"/>
                <w:szCs w:val="18"/>
                <w:color w:val="auto"/>
              </w:rPr>
              <w:t>101.CAL</w:t>
            </w:r>
          </w:p>
        </w:tc>
        <w:tc>
          <w:tcPr>
            <w:tcW w:w="4860" w:type="dxa"/>
            <w:vAlign w:val="bottom"/>
            <w:gridSpan w:val="2"/>
          </w:tcPr>
          <w:p>
            <w:pPr>
              <w:ind w:left="360"/>
              <w:spacing w:after="0"/>
              <w:rPr>
                <w:sz w:val="20"/>
                <w:szCs w:val="20"/>
                <w:color w:val="auto"/>
              </w:rPr>
            </w:pPr>
            <w:r>
              <w:rPr>
                <w:rFonts w:ascii="Arial" w:cs="Arial" w:eastAsia="Arial" w:hAnsi="Arial"/>
                <w:sz w:val="18"/>
                <w:szCs w:val="18"/>
                <w:color w:val="auto"/>
                <w:w w:val="93"/>
              </w:rPr>
              <w:t>XBRL Taxonomy Extension Calculation Linkbase Document</w:t>
            </w:r>
          </w:p>
        </w:tc>
      </w:tr>
      <w:tr>
        <w:trPr>
          <w:trHeight w:val="432"/>
        </w:trPr>
        <w:tc>
          <w:tcPr>
            <w:tcW w:w="1280" w:type="dxa"/>
            <w:vAlign w:val="bottom"/>
          </w:tcPr>
          <w:p>
            <w:pPr>
              <w:ind w:left="40"/>
              <w:spacing w:after="0"/>
              <w:rPr>
                <w:sz w:val="20"/>
                <w:szCs w:val="20"/>
                <w:color w:val="auto"/>
              </w:rPr>
            </w:pPr>
            <w:r>
              <w:rPr>
                <w:rFonts w:ascii="Arial" w:cs="Arial" w:eastAsia="Arial" w:hAnsi="Arial"/>
                <w:sz w:val="18"/>
                <w:szCs w:val="18"/>
                <w:color w:val="auto"/>
              </w:rPr>
              <w:t>101.DEF</w:t>
            </w:r>
          </w:p>
        </w:tc>
        <w:tc>
          <w:tcPr>
            <w:tcW w:w="4860" w:type="dxa"/>
            <w:vAlign w:val="bottom"/>
            <w:gridSpan w:val="2"/>
          </w:tcPr>
          <w:p>
            <w:pPr>
              <w:ind w:left="360"/>
              <w:spacing w:after="0"/>
              <w:rPr>
                <w:sz w:val="20"/>
                <w:szCs w:val="20"/>
                <w:color w:val="auto"/>
              </w:rPr>
            </w:pPr>
            <w:r>
              <w:rPr>
                <w:rFonts w:ascii="Arial" w:cs="Arial" w:eastAsia="Arial" w:hAnsi="Arial"/>
                <w:sz w:val="18"/>
                <w:szCs w:val="18"/>
                <w:color w:val="auto"/>
              </w:rPr>
              <w:t>XBRL Taxonomy Extension Definition Linkbase</w:t>
            </w:r>
          </w:p>
        </w:tc>
      </w:tr>
      <w:tr>
        <w:trPr>
          <w:trHeight w:val="432"/>
        </w:trPr>
        <w:tc>
          <w:tcPr>
            <w:tcW w:w="1280" w:type="dxa"/>
            <w:vAlign w:val="bottom"/>
          </w:tcPr>
          <w:p>
            <w:pPr>
              <w:ind w:left="40"/>
              <w:spacing w:after="0"/>
              <w:rPr>
                <w:sz w:val="20"/>
                <w:szCs w:val="20"/>
                <w:color w:val="auto"/>
              </w:rPr>
            </w:pPr>
            <w:r>
              <w:rPr>
                <w:rFonts w:ascii="Arial" w:cs="Arial" w:eastAsia="Arial" w:hAnsi="Arial"/>
                <w:sz w:val="18"/>
                <w:szCs w:val="18"/>
                <w:color w:val="auto"/>
              </w:rPr>
              <w:t>101.LAB</w:t>
            </w:r>
          </w:p>
        </w:tc>
        <w:tc>
          <w:tcPr>
            <w:tcW w:w="4860" w:type="dxa"/>
            <w:vAlign w:val="bottom"/>
            <w:gridSpan w:val="2"/>
          </w:tcPr>
          <w:p>
            <w:pPr>
              <w:ind w:left="360"/>
              <w:spacing w:after="0"/>
              <w:rPr>
                <w:sz w:val="20"/>
                <w:szCs w:val="20"/>
                <w:color w:val="auto"/>
              </w:rPr>
            </w:pPr>
            <w:r>
              <w:rPr>
                <w:rFonts w:ascii="Arial" w:cs="Arial" w:eastAsia="Arial" w:hAnsi="Arial"/>
                <w:sz w:val="18"/>
                <w:szCs w:val="18"/>
                <w:color w:val="auto"/>
              </w:rPr>
              <w:t>XBRL Taxonomy Extension Label Linkbase Document</w:t>
            </w:r>
          </w:p>
        </w:tc>
      </w:tr>
      <w:tr>
        <w:trPr>
          <w:trHeight w:val="432"/>
        </w:trPr>
        <w:tc>
          <w:tcPr>
            <w:tcW w:w="1280" w:type="dxa"/>
            <w:vAlign w:val="bottom"/>
          </w:tcPr>
          <w:p>
            <w:pPr>
              <w:ind w:left="40"/>
              <w:spacing w:after="0"/>
              <w:rPr>
                <w:sz w:val="20"/>
                <w:szCs w:val="20"/>
                <w:color w:val="auto"/>
              </w:rPr>
            </w:pPr>
            <w:r>
              <w:rPr>
                <w:rFonts w:ascii="Arial" w:cs="Arial" w:eastAsia="Arial" w:hAnsi="Arial"/>
                <w:sz w:val="18"/>
                <w:szCs w:val="18"/>
                <w:color w:val="auto"/>
              </w:rPr>
              <w:t>101.PRE</w:t>
            </w:r>
          </w:p>
        </w:tc>
        <w:tc>
          <w:tcPr>
            <w:tcW w:w="4860" w:type="dxa"/>
            <w:vAlign w:val="bottom"/>
            <w:gridSpan w:val="2"/>
          </w:tcPr>
          <w:p>
            <w:pPr>
              <w:ind w:left="360"/>
              <w:spacing w:after="0"/>
              <w:rPr>
                <w:sz w:val="20"/>
                <w:szCs w:val="20"/>
                <w:color w:val="auto"/>
              </w:rPr>
            </w:pPr>
            <w:r>
              <w:rPr>
                <w:rFonts w:ascii="Arial" w:cs="Arial" w:eastAsia="Arial" w:hAnsi="Arial"/>
                <w:sz w:val="18"/>
                <w:szCs w:val="18"/>
                <w:color w:val="auto"/>
                <w:w w:val="91"/>
              </w:rPr>
              <w:t>XBRL Taxonomy Extension Presentation Linkbase 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219"/>
          </w:cols>
          <w:pgMar w:left="240" w:top="108" w:right="1440"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SIGNATURES</w:t>
      </w:r>
    </w:p>
    <w:p>
      <w:pPr>
        <w:spacing w:after="0" w:line="9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CME Group Inc.</w:t>
      </w:r>
    </w:p>
    <w:p>
      <w:pPr>
        <w:spacing w:after="0" w:line="27"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(Registrant)</w:t>
      </w:r>
    </w:p>
    <w:p>
      <w:pPr>
        <w:spacing w:after="0" w:line="373" w:lineRule="exact"/>
        <w:rPr>
          <w:sz w:val="20"/>
          <w:szCs w:val="20"/>
          <w:color w:val="auto"/>
        </w:rPr>
      </w:pPr>
    </w:p>
    <w:p>
      <w:pPr>
        <w:ind w:left="40"/>
        <w:spacing w:after="0"/>
        <w:tabs>
          <w:tab w:leader="none" w:pos="5160" w:val="left"/>
          <w:tab w:leader="none" w:pos="8060" w:val="left"/>
        </w:tabs>
        <w:rPr>
          <w:sz w:val="20"/>
          <w:szCs w:val="20"/>
          <w:color w:val="auto"/>
        </w:rPr>
      </w:pPr>
      <w:r>
        <w:rPr>
          <w:rFonts w:ascii="Arial" w:cs="Arial" w:eastAsia="Arial" w:hAnsi="Arial"/>
          <w:sz w:val="18"/>
          <w:szCs w:val="18"/>
          <w:color w:val="auto"/>
        </w:rPr>
        <w:t>Dated: May 7, 2013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James E. Parisi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3" w:lineRule="exact"/>
        <w:rPr>
          <w:sz w:val="20"/>
          <w:szCs w:val="20"/>
          <w:color w:val="auto"/>
        </w:rPr>
      </w:pPr>
    </w:p>
    <w:p>
      <w:pPr>
        <w:jc w:val="center"/>
        <w:ind w:left="6060"/>
        <w:spacing w:after="0"/>
        <w:rPr>
          <w:sz w:val="20"/>
          <w:szCs w:val="20"/>
          <w:color w:val="auto"/>
        </w:rPr>
      </w:pPr>
      <w:r>
        <w:rPr>
          <w:rFonts w:ascii="Arial" w:cs="Arial" w:eastAsia="Arial" w:hAnsi="Arial"/>
          <w:sz w:val="18"/>
          <w:szCs w:val="18"/>
          <w:b w:val="1"/>
          <w:bCs w:val="1"/>
          <w:color w:val="auto"/>
        </w:rPr>
        <w:t>Chief Financial Officer &amp; Senior Managing</w:t>
      </w:r>
    </w:p>
    <w:p>
      <w:pPr>
        <w:spacing w:after="0" w:line="27" w:lineRule="exact"/>
        <w:rPr>
          <w:sz w:val="20"/>
          <w:szCs w:val="20"/>
          <w:color w:val="auto"/>
        </w:rPr>
      </w:pPr>
    </w:p>
    <w:p>
      <w:pPr>
        <w:jc w:val="center"/>
        <w:ind w:left="6060"/>
        <w:spacing w:after="0"/>
        <w:rPr>
          <w:sz w:val="20"/>
          <w:szCs w:val="20"/>
          <w:color w:val="auto"/>
        </w:rPr>
      </w:pPr>
      <w:r>
        <w:rPr>
          <w:rFonts w:ascii="Arial" w:cs="Arial" w:eastAsia="Arial" w:hAnsi="Arial"/>
          <w:sz w:val="18"/>
          <w:szCs w:val="18"/>
          <w:b w:val="1"/>
          <w:bCs w:val="1"/>
          <w:color w:val="auto"/>
        </w:rPr>
        <w:t>Director Finance</w:t>
      </w:r>
    </w:p>
    <w:p>
      <w:pPr>
        <w:spacing w:after="0" w:line="9" w:lineRule="exact"/>
        <w:rPr>
          <w:sz w:val="20"/>
          <w:szCs w:val="20"/>
          <w:color w:val="auto"/>
        </w:rPr>
      </w:pPr>
    </w:p>
    <w:p>
      <w:pPr>
        <w:jc w:val="center"/>
        <w:ind w:left="6060"/>
        <w:spacing w:after="0"/>
        <w:rPr>
          <w:sz w:val="20"/>
          <w:szCs w:val="20"/>
          <w:color w:val="auto"/>
        </w:rPr>
      </w:pPr>
      <w:r>
        <w:rPr>
          <w:rFonts w:ascii="Arial" w:cs="Arial" w:eastAsia="Arial" w:hAnsi="Arial"/>
          <w:sz w:val="18"/>
          <w:szCs w:val="18"/>
          <w:b w:val="1"/>
          <w:bCs w:val="1"/>
          <w:color w:val="auto"/>
        </w:rPr>
        <w:t>and Corporate Development</w:t>
      </w:r>
    </w:p>
    <w:p>
      <w:pPr>
        <w:spacing w:after="0" w:line="26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20"/>
          </w:cols>
          <w:pgMar w:left="240" w:top="125" w:right="4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Phupinder S. Gill, certify that:</w:t>
      </w:r>
    </w:p>
    <w:p>
      <w:pPr>
        <w:spacing w:after="0" w:line="171" w:lineRule="exact"/>
        <w:rPr>
          <w:sz w:val="20"/>
          <w:szCs w:val="20"/>
          <w:color w:val="auto"/>
        </w:rPr>
      </w:pPr>
    </w:p>
    <w:p>
      <w:pPr>
        <w:ind w:left="840" w:hanging="184"/>
        <w:spacing w:after="0"/>
        <w:tabs>
          <w:tab w:leader="none" w:pos="8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report on Form 10-Q of CME Group Inc.;</w:t>
      </w:r>
    </w:p>
    <w:p>
      <w:pPr>
        <w:spacing w:after="0" w:line="171" w:lineRule="exact"/>
        <w:rPr>
          <w:rFonts w:ascii="Arial" w:cs="Arial" w:eastAsia="Arial" w:hAnsi="Arial"/>
          <w:sz w:val="18"/>
          <w:szCs w:val="18"/>
          <w:color w:val="auto"/>
        </w:rPr>
      </w:pPr>
    </w:p>
    <w:p>
      <w:pPr>
        <w:ind w:right="120" w:firstLine="656"/>
        <w:spacing w:after="0" w:line="342" w:lineRule="auto"/>
        <w:tabs>
          <w:tab w:leader="none" w:pos="828" w:val="left"/>
        </w:tabs>
        <w:numPr>
          <w:ilvl w:val="0"/>
          <w:numId w:val="1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80" w:firstLine="656"/>
        <w:spacing w:after="0" w:line="277" w:lineRule="auto"/>
        <w:tabs>
          <w:tab w:leader="none" w:pos="828"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right="260" w:firstLine="656"/>
        <w:spacing w:after="0" w:line="264" w:lineRule="auto"/>
        <w:tabs>
          <w:tab w:leader="none" w:pos="828"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sz w:val="20"/>
          <w:szCs w:val="20"/>
          <w:color w:val="auto"/>
        </w:rPr>
      </w:pPr>
    </w:p>
    <w:p>
      <w:pPr>
        <w:ind w:right="360" w:firstLine="656"/>
        <w:spacing w:after="0" w:line="264" w:lineRule="auto"/>
        <w:tabs>
          <w:tab w:leader="none" w:pos="833"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right="20" w:firstLine="656"/>
        <w:spacing w:after="0" w:line="264" w:lineRule="auto"/>
        <w:tabs>
          <w:tab w:leader="none" w:pos="843"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right="880" w:firstLine="656"/>
        <w:spacing w:after="0" w:line="342" w:lineRule="auto"/>
        <w:tabs>
          <w:tab w:leader="none" w:pos="833" w:val="left"/>
        </w:tabs>
        <w:numPr>
          <w:ilvl w:val="0"/>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right="140" w:firstLine="656"/>
        <w:spacing w:after="0" w:line="264" w:lineRule="auto"/>
        <w:tabs>
          <w:tab w:leader="none" w:pos="843"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sz w:val="20"/>
          <w:szCs w:val="20"/>
          <w:color w:val="auto"/>
        </w:rPr>
      </w:pPr>
    </w:p>
    <w:p>
      <w:pPr>
        <w:ind w:firstLine="656"/>
        <w:spacing w:after="0" w:line="277" w:lineRule="auto"/>
        <w:tabs>
          <w:tab w:leader="none" w:pos="828"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116" w:lineRule="exact"/>
        <w:rPr>
          <w:sz w:val="20"/>
          <w:szCs w:val="20"/>
          <w:color w:val="auto"/>
        </w:rPr>
      </w:pPr>
    </w:p>
    <w:p>
      <w:pPr>
        <w:ind w:right="260" w:firstLine="656"/>
        <w:spacing w:after="0" w:line="277" w:lineRule="auto"/>
        <w:tabs>
          <w:tab w:leader="none" w:pos="833"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right="220" w:firstLine="656"/>
        <w:spacing w:after="0" w:line="277" w:lineRule="auto"/>
        <w:tabs>
          <w:tab w:leader="none" w:pos="843"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18"/>
          <w:szCs w:val="18"/>
          <w:color w:val="auto"/>
        </w:rPr>
        <w:t>Date: May 7, 2013</w:t>
      </w:r>
      <w:r>
        <w:rPr>
          <w:sz w:val="20"/>
          <w:szCs w:val="20"/>
          <w:color w:val="auto"/>
        </w:rPr>
        <w:tab/>
      </w:r>
      <w:r>
        <w:rPr>
          <w:rFonts w:ascii="Arial" w:cs="Arial" w:eastAsia="Arial" w:hAnsi="Arial"/>
          <w:sz w:val="16"/>
          <w:szCs w:val="16"/>
          <w:color w:val="auto"/>
        </w:rPr>
        <w:t>/s/ Phupinder S. Gill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Name: Phupinder S. Gill</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Title: Chief Executive Officer</w:t>
      </w:r>
    </w:p>
    <w:p>
      <w:pPr>
        <w:sectPr>
          <w:pgSz w:w="11900" w:h="16838" w:orient="portrait"/>
          <w:cols w:equalWidth="0" w:num="1">
            <w:col w:w="11420"/>
          </w:cols>
          <w:pgMar w:left="240" w:top="661"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James E. Parisi, certify that:</w:t>
      </w:r>
    </w:p>
    <w:p>
      <w:pPr>
        <w:spacing w:after="0" w:line="171" w:lineRule="exact"/>
        <w:rPr>
          <w:sz w:val="20"/>
          <w:szCs w:val="20"/>
          <w:color w:val="auto"/>
        </w:rPr>
      </w:pPr>
    </w:p>
    <w:p>
      <w:pPr>
        <w:ind w:left="840" w:hanging="184"/>
        <w:spacing w:after="0"/>
        <w:tabs>
          <w:tab w:leader="none" w:pos="8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report on Form 10-Q of CME Group Inc.;</w:t>
      </w:r>
    </w:p>
    <w:p>
      <w:pPr>
        <w:spacing w:after="0" w:line="171" w:lineRule="exact"/>
        <w:rPr>
          <w:rFonts w:ascii="Arial" w:cs="Arial" w:eastAsia="Arial" w:hAnsi="Arial"/>
          <w:sz w:val="18"/>
          <w:szCs w:val="18"/>
          <w:color w:val="auto"/>
        </w:rPr>
      </w:pPr>
    </w:p>
    <w:p>
      <w:pPr>
        <w:ind w:right="120" w:firstLine="656"/>
        <w:spacing w:after="0" w:line="342" w:lineRule="auto"/>
        <w:tabs>
          <w:tab w:leader="none" w:pos="828"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80" w:firstLine="656"/>
        <w:spacing w:after="0" w:line="277" w:lineRule="auto"/>
        <w:tabs>
          <w:tab w:leader="none" w:pos="828"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right="260" w:firstLine="656"/>
        <w:spacing w:after="0" w:line="264" w:lineRule="auto"/>
        <w:tabs>
          <w:tab w:leader="none" w:pos="828"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sz w:val="20"/>
          <w:szCs w:val="20"/>
          <w:color w:val="auto"/>
        </w:rPr>
      </w:pPr>
    </w:p>
    <w:p>
      <w:pPr>
        <w:ind w:right="360" w:firstLine="656"/>
        <w:spacing w:after="0" w:line="264" w:lineRule="auto"/>
        <w:tabs>
          <w:tab w:leader="none" w:pos="833"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right="20" w:firstLine="656"/>
        <w:spacing w:after="0" w:line="264" w:lineRule="auto"/>
        <w:tabs>
          <w:tab w:leader="none" w:pos="843"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right="880" w:firstLine="656"/>
        <w:spacing w:after="0" w:line="342" w:lineRule="auto"/>
        <w:tabs>
          <w:tab w:leader="none" w:pos="833" w:val="left"/>
        </w:tabs>
        <w:numPr>
          <w:ilvl w:val="0"/>
          <w:numId w:val="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right="140" w:firstLine="656"/>
        <w:spacing w:after="0" w:line="264" w:lineRule="auto"/>
        <w:tabs>
          <w:tab w:leader="none" w:pos="843"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sz w:val="20"/>
          <w:szCs w:val="20"/>
          <w:color w:val="auto"/>
        </w:rPr>
      </w:pPr>
    </w:p>
    <w:p>
      <w:pPr>
        <w:ind w:firstLine="656"/>
        <w:spacing w:after="0" w:line="277" w:lineRule="auto"/>
        <w:tabs>
          <w:tab w:leader="none" w:pos="828"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116" w:lineRule="exact"/>
        <w:rPr>
          <w:sz w:val="20"/>
          <w:szCs w:val="20"/>
          <w:color w:val="auto"/>
        </w:rPr>
      </w:pPr>
    </w:p>
    <w:p>
      <w:pPr>
        <w:ind w:right="260" w:firstLine="656"/>
        <w:spacing w:after="0" w:line="277" w:lineRule="auto"/>
        <w:tabs>
          <w:tab w:leader="none" w:pos="833" w:val="left"/>
        </w:tabs>
        <w:numPr>
          <w:ilvl w:val="0"/>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right="220" w:firstLine="656"/>
        <w:spacing w:after="0" w:line="277" w:lineRule="auto"/>
        <w:tabs>
          <w:tab w:leader="none" w:pos="843"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40"/>
        <w:spacing w:after="0"/>
        <w:tabs>
          <w:tab w:leader="none" w:pos="5840" w:val="left"/>
        </w:tabs>
        <w:rPr>
          <w:sz w:val="20"/>
          <w:szCs w:val="20"/>
          <w:color w:val="auto"/>
        </w:rPr>
      </w:pPr>
      <w:r>
        <w:rPr>
          <w:rFonts w:ascii="Arial" w:cs="Arial" w:eastAsia="Arial" w:hAnsi="Arial"/>
          <w:sz w:val="18"/>
          <w:szCs w:val="18"/>
          <w:color w:val="auto"/>
        </w:rPr>
        <w:t>Date: May 7, 2013</w:t>
      </w:r>
      <w:r>
        <w:rPr>
          <w:sz w:val="20"/>
          <w:szCs w:val="20"/>
          <w:color w:val="auto"/>
        </w:rPr>
        <w:tab/>
      </w:r>
      <w:r>
        <w:rPr>
          <w:rFonts w:ascii="Arial" w:cs="Arial" w:eastAsia="Arial" w:hAnsi="Arial"/>
          <w:sz w:val="15"/>
          <w:szCs w:val="15"/>
          <w:color w:val="auto"/>
        </w:rPr>
        <w:t>/s/ James E. Parisi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Name: James E. Parisi</w:t>
      </w:r>
    </w:p>
    <w:p>
      <w:pPr>
        <w:spacing w:after="0" w:line="6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Title: Chief Financial Officer</w:t>
      </w:r>
    </w:p>
    <w:p>
      <w:pPr>
        <w:sectPr>
          <w:pgSz w:w="11900" w:h="16838" w:orient="portrait"/>
          <w:cols w:equalWidth="0" w:num="1">
            <w:col w:w="11420"/>
          </w:cols>
          <w:pgMar w:left="240" w:top="661"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32.1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7"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76"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In connection with the Quarterly Report on Form 10-Q of CME Group Inc. (the “Company”) for the quarter ended March 31, 2013 as filed with the Securities and Exchange Commission on the date hereof (the “Report”), Phupinder S. Gill, as Chief Executive Officer of the Company, and James E. Parisi, as Chief Financial Officer of the Company, each hereby certifies, pursuant to 18 U.S.C. § 1350, as adopted pursuant to § 906 of the Sarbanes-Oxley Act of 2002, that, to the best of his knowledge:</w:t>
      </w:r>
    </w:p>
    <w:p>
      <w:pPr>
        <w:spacing w:after="0" w:line="133" w:lineRule="exact"/>
        <w:rPr>
          <w:sz w:val="20"/>
          <w:szCs w:val="20"/>
          <w:color w:val="auto"/>
        </w:rPr>
      </w:pPr>
    </w:p>
    <w:p>
      <w:pPr>
        <w:ind w:left="1560" w:hanging="255"/>
        <w:spacing w:after="0"/>
        <w:tabs>
          <w:tab w:leader="none" w:pos="15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1560" w:hanging="255"/>
        <w:spacing w:after="0"/>
        <w:tabs>
          <w:tab w:leader="none" w:pos="15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Company.</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 Phupinder S. Gill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Name: Phupinder S. Gill</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Title: Chief Executive Officer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Date: May 7, 2013</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James E. Parisi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 James E. Parisi</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 Chief Financial Officer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Date: May 7, 2013</w:t>
      </w:r>
    </w:p>
    <w:p>
      <w:pPr>
        <w:spacing w:after="0" w:line="171" w:lineRule="exact"/>
        <w:rPr>
          <w:sz w:val="20"/>
          <w:szCs w:val="20"/>
          <w:color w:val="auto"/>
        </w:rPr>
      </w:pPr>
    </w:p>
    <w:p>
      <w:pPr>
        <w:ind w:right="300" w:firstLine="648"/>
        <w:spacing w:after="0" w:line="308" w:lineRule="auto"/>
        <w:rPr>
          <w:sz w:val="20"/>
          <w:szCs w:val="20"/>
          <w:color w:val="auto"/>
        </w:rPr>
      </w:pPr>
      <w:r>
        <w:rPr>
          <w:rFonts w:ascii="Arial" w:cs="Arial" w:eastAsia="Arial" w:hAnsi="Arial"/>
          <w:sz w:val="17"/>
          <w:szCs w:val="17"/>
          <w:color w:val="auto"/>
        </w:rPr>
        <w:t>This certification accompanies the Report pursuant to § 906 of the Sarbanes-Oxley Act of 2002 and shall not, except to the extent required by the Sarbanes-Oxley Act of 2002, be deemed filed by the Company for purposes of §18 of the Securities Exchange Act of 1934, as amended.</w:t>
      </w:r>
    </w:p>
    <w:p>
      <w:pPr>
        <w:spacing w:after="0" w:line="93"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A signed original of this written statement required by § 906 of the Sarbanes-Oxley Act of 2002 has been provided to the Company and will be retained by the Company and furnished to the Securities and Exchange Commission or its staff upon request.</w:t>
      </w:r>
    </w:p>
    <w:sectPr>
      <w:pgSz w:w="11900" w:h="16838" w:orient="portrait"/>
      <w:cols w:equalWidth="0" w:num="1">
        <w:col w:w="11420"/>
      </w:cols>
      <w:pgMar w:left="240" w:top="66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1)"/>
      <w:numFmt w:val="decimal"/>
      <w:start w:val="1"/>
    </w:lvl>
  </w:abstractNum>
  <w:abstractNum w:abstractNumId="5">
    <w:nsid w:val="DED7263"/>
    <w:multiLevelType w:val="hybridMultilevel"/>
    <w:lvl w:ilvl="0">
      <w:lvlJc w:val="left"/>
      <w:lvlText w:val="(%1)"/>
      <w:numFmt w:val="decimal"/>
      <w:start w:val="1"/>
    </w:lvl>
  </w:abstractNum>
  <w:abstractNum w:abstractNumId="6">
    <w:nsid w:val="7FDCC233"/>
    <w:multiLevelType w:val="hybridMultilevel"/>
    <w:lvl w:ilvl="0">
      <w:lvlJc w:val="left"/>
      <w:lvlText w:val="•"/>
      <w:numFmt w:val="bullet"/>
      <w:start w:val="1"/>
    </w:lvl>
  </w:abstractNum>
  <w:abstractNum w:abstractNumId="7">
    <w:nsid w:val="1BEFD79F"/>
    <w:multiLevelType w:val="hybridMultilevel"/>
    <w:lvl w:ilvl="0">
      <w:lvlJc w:val="left"/>
      <w:lvlText w:val="•"/>
      <w:numFmt w:val="bullet"/>
      <w:start w:val="1"/>
    </w:lvl>
  </w:abstractNum>
  <w:abstractNum w:abstractNumId="8">
    <w:nsid w:val="41A7C4C9"/>
    <w:multiLevelType w:val="hybridMultilevel"/>
    <w:lvl w:ilvl="0">
      <w:lvlJc w:val="left"/>
      <w:lvlText w:val="(%1)"/>
      <w:numFmt w:val="decimal"/>
      <w:start w:val="1"/>
    </w:lvl>
  </w:abstractNum>
  <w:abstractNum w:abstractNumId="9">
    <w:nsid w:val="6B68079A"/>
    <w:multiLevelType w:val="hybridMultilevel"/>
    <w:lvl w:ilvl="0">
      <w:lvlJc w:val="left"/>
      <w:lvlText w:val="(%1)"/>
      <w:numFmt w:val="decimal"/>
      <w:start w:val="1"/>
    </w:lvl>
  </w:abstractNum>
  <w:abstractNum w:abstractNumId="10">
    <w:nsid w:val="4E6AFB66"/>
    <w:multiLevelType w:val="hybridMultilevel"/>
    <w:lvl w:ilvl="0">
      <w:lvlJc w:val="left"/>
      <w:lvlText w:val="(%1)"/>
      <w:numFmt w:val="decimal"/>
      <w:start w:val="1"/>
    </w:lvl>
  </w:abstractNum>
  <w:abstractNum w:abstractNumId="11">
    <w:nsid w:val="25E45D32"/>
    <w:multiLevelType w:val="hybridMultilevel"/>
    <w:lvl w:ilvl="0">
      <w:lvlJc w:val="left"/>
      <w:lvlText w:val="(%1)"/>
      <w:numFmt w:val="lowerLetter"/>
      <w:start w:val="1"/>
    </w:lvl>
  </w:abstractNum>
  <w:abstractNum w:abstractNumId="12">
    <w:nsid w:val="519B500D"/>
    <w:multiLevelType w:val="hybridMultilevel"/>
    <w:lvl w:ilvl="0">
      <w:lvlJc w:val="left"/>
      <w:lvlText w:val="(%1)"/>
      <w:numFmt w:val="decimal"/>
      <w:start w:val="1"/>
    </w:lvl>
  </w:abstractNum>
  <w:abstractNum w:abstractNumId="13">
    <w:nsid w:val="431BD7B7"/>
    <w:multiLevelType w:val="hybridMultilevel"/>
    <w:lvl w:ilvl="0">
      <w:lvlJc w:val="left"/>
      <w:lvlText w:val="%1."/>
      <w:numFmt w:val="decimal"/>
      <w:start w:val="1"/>
    </w:lvl>
  </w:abstractNum>
  <w:abstractNum w:abstractNumId="14">
    <w:nsid w:val="3F2DBA31"/>
    <w:multiLevelType w:val="hybridMultilevel"/>
    <w:lvl w:ilvl="0">
      <w:lvlJc w:val="left"/>
      <w:lvlText w:val="%1)"/>
      <w:numFmt w:val="lowerLetter"/>
      <w:start w:val="1"/>
    </w:lvl>
  </w:abstractNum>
  <w:abstractNum w:abstractNumId="15">
    <w:nsid w:val="7C83E458"/>
    <w:multiLevelType w:val="hybridMultilevel"/>
    <w:lvl w:ilvl="0">
      <w:lvlJc w:val="left"/>
      <w:lvlText w:val="%1."/>
      <w:numFmt w:val="decimal"/>
      <w:start w:val="5"/>
    </w:lvl>
  </w:abstractNum>
  <w:abstractNum w:abstractNumId="16">
    <w:nsid w:val="257130A3"/>
    <w:multiLevelType w:val="hybridMultilevel"/>
    <w:lvl w:ilvl="0">
      <w:lvlJc w:val="left"/>
      <w:lvlText w:val="%1)"/>
      <w:numFmt w:val="lowerLetter"/>
      <w:start w:val="1"/>
    </w:lvl>
  </w:abstractNum>
  <w:abstractNum w:abstractNumId="17">
    <w:nsid w:val="62BBD95A"/>
    <w:multiLevelType w:val="hybridMultilevel"/>
    <w:lvl w:ilvl="0">
      <w:lvlJc w:val="left"/>
      <w:lvlText w:val="%1."/>
      <w:numFmt w:val="decimal"/>
      <w:start w:val="1"/>
    </w:lvl>
  </w:abstractNum>
  <w:abstractNum w:abstractNumId="18">
    <w:nsid w:val="436C6125"/>
    <w:multiLevelType w:val="hybridMultilevel"/>
    <w:lvl w:ilvl="0">
      <w:lvlJc w:val="left"/>
      <w:lvlText w:val="%1)"/>
      <w:numFmt w:val="lowerLetter"/>
      <w:start w:val="1"/>
    </w:lvl>
  </w:abstractNum>
  <w:abstractNum w:abstractNumId="19">
    <w:nsid w:val="628C895D"/>
    <w:multiLevelType w:val="hybridMultilevel"/>
    <w:lvl w:ilvl="0">
      <w:lvlJc w:val="left"/>
      <w:lvlText w:val="%1."/>
      <w:numFmt w:val="decimal"/>
      <w:start w:val="5"/>
    </w:lvl>
  </w:abstractNum>
  <w:abstractNum w:abstractNumId="20">
    <w:nsid w:val="333AB105"/>
    <w:multiLevelType w:val="hybridMultilevel"/>
    <w:lvl w:ilvl="0">
      <w:lvlJc w:val="left"/>
      <w:lvlText w:val="%1)"/>
      <w:numFmt w:val="lowerLetter"/>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2019-12-07T02:32:09Z</dcterms:created>
  <dcterms:modified xsi:type="dcterms:W3CDTF">2019-12-07T02:32:09Z</dcterms:modified>
</cp:coreProperties>
</file>